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7"/>
          <w:szCs w:val="17"/>
          <w:b w:val="1"/>
          <w:bCs w:val="1"/>
          <w:color w:val="auto"/>
        </w:rPr>
        <w:t>Filed Pursuant to Rule 424(b)(3)</w:t>
      </w:r>
    </w:p>
    <w:p>
      <w:pPr>
        <w:jc w:val="right"/>
        <w:spacing w:after="0" w:line="227" w:lineRule="auto"/>
        <w:rPr>
          <w:sz w:val="20"/>
          <w:szCs w:val="20"/>
          <w:color w:val="auto"/>
        </w:rPr>
      </w:pPr>
      <w:r>
        <w:rPr>
          <w:rFonts w:ascii="Arial" w:cs="Arial" w:eastAsia="Arial" w:hAnsi="Arial"/>
          <w:sz w:val="17"/>
          <w:szCs w:val="17"/>
          <w:b w:val="1"/>
          <w:bCs w:val="1"/>
          <w:color w:val="auto"/>
        </w:rPr>
        <w:t>Registration No. 333-257774</w:t>
      </w:r>
    </w:p>
    <w:p>
      <w:pPr>
        <w:spacing w:after="0" w:line="222" w:lineRule="auto"/>
        <w:rPr>
          <w:sz w:val="20"/>
          <w:szCs w:val="20"/>
          <w:color w:val="auto"/>
        </w:rPr>
      </w:pPr>
      <w:r>
        <w:rPr>
          <w:rFonts w:ascii="Arial" w:cs="Arial" w:eastAsia="Arial" w:hAnsi="Arial"/>
          <w:sz w:val="17"/>
          <w:szCs w:val="17"/>
          <w:b w:val="1"/>
          <w:bCs w:val="1"/>
          <w:color w:val="auto"/>
        </w:rPr>
        <w:t>Prospectus Supplement No. 2</w:t>
      </w:r>
    </w:p>
    <w:p>
      <w:pPr>
        <w:spacing w:after="0"/>
        <w:rPr>
          <w:sz w:val="20"/>
          <w:szCs w:val="20"/>
          <w:color w:val="auto"/>
        </w:rPr>
      </w:pPr>
      <w:r>
        <w:rPr>
          <w:rFonts w:ascii="Arial" w:cs="Arial" w:eastAsia="Arial" w:hAnsi="Arial"/>
          <w:sz w:val="17"/>
          <w:szCs w:val="17"/>
          <w:b w:val="1"/>
          <w:bCs w:val="1"/>
          <w:color w:val="auto"/>
        </w:rPr>
        <w:t>(To Prospectus dated July 20,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2048510</wp:posOffset>
            </wp:positionH>
            <wp:positionV relativeFrom="paragraph">
              <wp:posOffset>144780</wp:posOffset>
            </wp:positionV>
            <wp:extent cx="3069590" cy="957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069590" cy="957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jc w:val="both"/>
        <w:ind w:firstLine="344"/>
        <w:spacing w:after="0" w:line="230" w:lineRule="auto"/>
        <w:rPr>
          <w:sz w:val="20"/>
          <w:szCs w:val="20"/>
          <w:color w:val="auto"/>
        </w:rPr>
      </w:pPr>
      <w:r>
        <w:rPr>
          <w:rFonts w:ascii="Arial" w:cs="Arial" w:eastAsia="Arial" w:hAnsi="Arial"/>
          <w:sz w:val="17"/>
          <w:szCs w:val="17"/>
          <w:color w:val="auto"/>
        </w:rPr>
        <w:t>This prospectus supplement updates and supplements the prospectus dated July 20, 2021 (the “Prospectus”), which forms a part of our Registration Statement on Form S-1, as amended (Registration No. 333-257774). This prospectus supplement is being filed to update and supplement the information in the Prospectus with the information contained in our Quarterly Report on Form 10-Q covering the quarter ended September 30, 2021, filed with the Securities and Exchange Commission on November 12, 2021 (the “Quarterly Report on Form 10-Q”). Accordingly, we have attached the Quarterly Report on Form 10-Q to this prospectus supplement.</w:t>
      </w:r>
    </w:p>
    <w:p>
      <w:pPr>
        <w:spacing w:after="0" w:line="198" w:lineRule="exact"/>
        <w:rPr>
          <w:sz w:val="24"/>
          <w:szCs w:val="24"/>
          <w:color w:val="auto"/>
        </w:rPr>
      </w:pPr>
    </w:p>
    <w:p>
      <w:pPr>
        <w:jc w:val="both"/>
        <w:ind w:firstLine="344"/>
        <w:spacing w:after="0" w:line="241" w:lineRule="auto"/>
        <w:rPr>
          <w:sz w:val="20"/>
          <w:szCs w:val="20"/>
          <w:color w:val="auto"/>
        </w:rPr>
      </w:pPr>
      <w:r>
        <w:rPr>
          <w:rFonts w:ascii="Arial" w:cs="Arial" w:eastAsia="Arial" w:hAnsi="Arial"/>
          <w:sz w:val="16"/>
          <w:szCs w:val="16"/>
          <w:color w:val="auto"/>
        </w:rPr>
        <w:t>You should read this prospectus supplement in conjunction with the Prospectus, including any amendments or supplements to it. This prospectus supplement is not complete without, and may not be delivered or used except in conjunction with, the Prospectus, including any amendments or supplements to it. This prospectus supplement is qualified by reference to the Prospectus, except to the extent that the information provided by this prospectus supplement supersedes information contained in the Prospectus. You should not assume that the information provided in this prospectus supplement, the Prospectus or any prior prospectus supplement is accurate as of any date other than their respective dates. Neither the delivery of this prospectus supplement, the Prospectus or any prior prospectus supplement, nor any sale made hereunder or thereunder, shall under any circumstances create any implication that there has been no change in our affairs since the date of this prospectus supplement, or that the information contained in this prospectus supplement, the Prospectus or any prior prospectus supplement is correct as of any time after the date of that information.</w:t>
      </w:r>
    </w:p>
    <w:p>
      <w:pPr>
        <w:spacing w:after="0" w:line="198" w:lineRule="exact"/>
        <w:rPr>
          <w:sz w:val="24"/>
          <w:szCs w:val="24"/>
          <w:color w:val="auto"/>
        </w:rPr>
      </w:pPr>
    </w:p>
    <w:p>
      <w:pPr>
        <w:jc w:val="both"/>
        <w:ind w:firstLine="344"/>
        <w:spacing w:after="0" w:line="278" w:lineRule="auto"/>
        <w:rPr>
          <w:sz w:val="20"/>
          <w:szCs w:val="20"/>
          <w:color w:val="auto"/>
        </w:rPr>
      </w:pPr>
      <w:r>
        <w:rPr>
          <w:rFonts w:ascii="Arial" w:cs="Arial" w:eastAsia="Arial" w:hAnsi="Arial"/>
          <w:sz w:val="16"/>
          <w:szCs w:val="16"/>
          <w:color w:val="auto"/>
        </w:rPr>
        <w:t>Our Class A Common Stock and Public Warrants are listed on The Nasdaq Global Select Market (“Nasdaq”) under the symbols “MAPS” and “MAPSW,” respectively. On November 11, 2021, the closing price of our Class A Common Stock was $11.61 and the closing price for our Public Warrants was $3.28.</w:t>
      </w:r>
    </w:p>
    <w:p>
      <w:pPr>
        <w:spacing w:after="0" w:line="161" w:lineRule="exact"/>
        <w:rPr>
          <w:sz w:val="24"/>
          <w:szCs w:val="24"/>
          <w:color w:val="auto"/>
        </w:rPr>
      </w:pPr>
    </w:p>
    <w:p>
      <w:pPr>
        <w:jc w:val="both"/>
        <w:ind w:firstLine="344"/>
        <w:spacing w:after="0" w:line="234" w:lineRule="auto"/>
        <w:rPr>
          <w:sz w:val="20"/>
          <w:szCs w:val="20"/>
          <w:color w:val="auto"/>
        </w:rPr>
      </w:pPr>
      <w:r>
        <w:rPr>
          <w:rFonts w:ascii="Arial" w:cs="Arial" w:eastAsia="Arial" w:hAnsi="Arial"/>
          <w:sz w:val="17"/>
          <w:szCs w:val="17"/>
          <w:b w:val="1"/>
          <w:bCs w:val="1"/>
          <w:color w:val="auto"/>
        </w:rPr>
        <w:t>SEE THE SECTION ENTITLED “RISK FACTORS” BEGINNING ON PAGE 7 OF THE PROSPECTUS, AS UPDATED AND SUPPLEMENTED BY THE SECTION ENTITLED “RISK FACTORS” IN THIS PROSPECTUS SUPPLEMENT AND UNDER SIMILAR HEADINGS IN ANY FURTHER AMENDMENTS OR SUPPLEMENTS TO THE PROSPECTUS TO READ ABOUT FACTORS YOU SHOULD CONSIDER BEFORE BUYING OUR SECURITIES.</w:t>
      </w:r>
    </w:p>
    <w:p>
      <w:pPr>
        <w:spacing w:after="0" w:line="192" w:lineRule="exact"/>
        <w:rPr>
          <w:sz w:val="24"/>
          <w:szCs w:val="24"/>
          <w:color w:val="auto"/>
        </w:rPr>
      </w:pPr>
    </w:p>
    <w:p>
      <w:pPr>
        <w:jc w:val="both"/>
        <w:ind w:firstLine="344"/>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date of this prospectus supplement is November 12,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403225</wp:posOffset>
            </wp:positionV>
            <wp:extent cx="71386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86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427990</wp:posOffset>
            </wp:positionV>
            <wp:extent cx="71386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86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tbl>
      <w:tblPr>
        <w:tblLayout w:type="fixed"/>
        <w:tblInd w:w="20" w:type="dxa"/>
        <w:tblCellMar>
          <w:top w:w="0" w:type="dxa"/>
          <w:left w:w="0" w:type="dxa"/>
          <w:bottom w:w="0" w:type="dxa"/>
          <w:right w:w="0" w:type="dxa"/>
        </w:tblCellMar>
      </w:tblPr>
      <w:tr>
        <w:trPr>
          <w:trHeight w:val="32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UNITED STATES</w:t>
            </w:r>
          </w:p>
        </w:tc>
      </w:tr>
      <w:tr>
        <w:trPr>
          <w:trHeight w:val="359"/>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SECURITIES AND EXCHANGE COMMISSION</w:t>
            </w:r>
          </w:p>
        </w:tc>
      </w:tr>
      <w:tr>
        <w:trPr>
          <w:trHeight w:val="282"/>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17"/>
                <w:szCs w:val="17"/>
                <w:b w:val="1"/>
                <w:bCs w:val="1"/>
                <w:color w:val="auto"/>
                <w:w w:val="91"/>
              </w:rPr>
              <w:t>Washington, D.C. 20549</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r>
        <w:trPr>
          <w:trHeight w:val="389"/>
        </w:trPr>
        <w:tc>
          <w:tcPr>
            <w:tcW w:w="1000" w:type="dxa"/>
            <w:vAlign w:val="bottom"/>
          </w:tcPr>
          <w:p>
            <w:pPr>
              <w:spacing w:after="0"/>
              <w:rPr>
                <w:sz w:val="24"/>
                <w:szCs w:val="24"/>
                <w:color w:val="auto"/>
              </w:rPr>
            </w:pPr>
          </w:p>
        </w:tc>
        <w:tc>
          <w:tcPr>
            <w:tcW w:w="8700" w:type="dxa"/>
            <w:vAlign w:val="bottom"/>
          </w:tcPr>
          <w:p>
            <w:pPr>
              <w:jc w:val="center"/>
              <w:ind w:left="412"/>
              <w:spacing w:after="0"/>
              <w:rPr>
                <w:sz w:val="20"/>
                <w:szCs w:val="20"/>
                <w:color w:val="auto"/>
              </w:rPr>
            </w:pPr>
            <w:r>
              <w:rPr>
                <w:rFonts w:ascii="Arial" w:cs="Arial" w:eastAsia="Arial" w:hAnsi="Arial"/>
                <w:sz w:val="27"/>
                <w:szCs w:val="27"/>
                <w:b w:val="1"/>
                <w:bCs w:val="1"/>
                <w:color w:val="auto"/>
              </w:rPr>
              <w:t>FORM 10-Q</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r>
        <w:trPr>
          <w:trHeight w:val="365"/>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tc>
      </w:tr>
      <w:tr>
        <w:trPr>
          <w:trHeight w:val="260"/>
        </w:trPr>
        <w:tc>
          <w:tcPr>
            <w:tcW w:w="1000" w:type="dxa"/>
            <w:vAlign w:val="bottom"/>
          </w:tcPr>
          <w:p>
            <w:pPr>
              <w:spacing w:after="0"/>
              <w:rPr>
                <w:sz w:val="22"/>
                <w:szCs w:val="22"/>
                <w:color w:val="auto"/>
              </w:rPr>
            </w:pPr>
          </w:p>
        </w:tc>
        <w:tc>
          <w:tcPr>
            <w:tcW w:w="8700" w:type="dxa"/>
            <w:vAlign w:val="bottom"/>
          </w:tcPr>
          <w:p>
            <w:pPr>
              <w:jc w:val="center"/>
              <w:ind w:left="432"/>
              <w:spacing w:after="0"/>
              <w:rPr>
                <w:sz w:val="20"/>
                <w:szCs w:val="20"/>
                <w:color w:val="auto"/>
              </w:rPr>
            </w:pPr>
            <w:r>
              <w:rPr>
                <w:rFonts w:ascii="Arial" w:cs="Arial" w:eastAsia="Arial" w:hAnsi="Arial"/>
                <w:sz w:val="15"/>
                <w:szCs w:val="15"/>
                <w:b w:val="1"/>
                <w:bCs w:val="1"/>
                <w:color w:val="auto"/>
                <w:w w:val="93"/>
              </w:rPr>
              <w:t>For the quarterly period ended September 30, 2021</w:t>
            </w:r>
          </w:p>
        </w:tc>
      </w:tr>
      <w:tr>
        <w:trPr>
          <w:trHeight w:val="252"/>
        </w:trPr>
        <w:tc>
          <w:tcPr>
            <w:tcW w:w="1000" w:type="dxa"/>
            <w:vAlign w:val="bottom"/>
          </w:tcPr>
          <w:p>
            <w:pPr>
              <w:spacing w:after="0"/>
              <w:rPr>
                <w:sz w:val="21"/>
                <w:szCs w:val="21"/>
                <w:color w:val="auto"/>
              </w:rPr>
            </w:pPr>
          </w:p>
        </w:tc>
        <w:tc>
          <w:tcPr>
            <w:tcW w:w="8700" w:type="dxa"/>
            <w:vAlign w:val="bottom"/>
          </w:tcPr>
          <w:p>
            <w:pPr>
              <w:jc w:val="center"/>
              <w:ind w:left="412"/>
              <w:spacing w:after="0"/>
              <w:rPr>
                <w:sz w:val="20"/>
                <w:szCs w:val="20"/>
                <w:color w:val="auto"/>
              </w:rPr>
            </w:pPr>
            <w:r>
              <w:rPr>
                <w:rFonts w:ascii="Arial" w:cs="Arial" w:eastAsia="Arial" w:hAnsi="Arial"/>
                <w:sz w:val="14"/>
                <w:szCs w:val="14"/>
                <w:b w:val="1"/>
                <w:bCs w:val="1"/>
                <w:color w:val="auto"/>
                <w:w w:val="95"/>
              </w:rPr>
              <w:t>OR</w:t>
            </w:r>
          </w:p>
        </w:tc>
      </w:tr>
      <w:tr>
        <w:trPr>
          <w:trHeight w:val="365"/>
        </w:trPr>
        <w:tc>
          <w:tcPr>
            <w:tcW w:w="1000" w:type="dxa"/>
            <w:vAlign w:val="bottom"/>
          </w:tcPr>
          <w:p>
            <w:pPr>
              <w:spacing w:after="0" w:line="171" w:lineRule="exact"/>
              <w:rPr>
                <w:sz w:val="20"/>
                <w:szCs w:val="20"/>
                <w:color w:val="auto"/>
              </w:rPr>
            </w:pPr>
            <w:r>
              <w:rPr>
                <w:rFonts w:ascii="MS PGothic" w:cs="MS PGothic" w:eastAsia="MS PGothic" w:hAnsi="MS PGothic"/>
                <w:sz w:val="17"/>
                <w:szCs w:val="17"/>
                <w:color w:val="auto"/>
              </w:rPr>
              <w:t>☐</w:t>
            </w:r>
          </w:p>
        </w:tc>
        <w:tc>
          <w:tcPr>
            <w:tcW w:w="8700" w:type="dxa"/>
            <w:vAlign w:val="bottom"/>
          </w:tcPr>
          <w:p>
            <w:pPr>
              <w:ind w:left="840"/>
              <w:spacing w:after="0"/>
              <w:rPr>
                <w:sz w:val="20"/>
                <w:szCs w:val="20"/>
                <w:color w:val="auto"/>
              </w:rPr>
            </w:pPr>
            <w:r>
              <w:rPr>
                <w:rFonts w:ascii="Arial" w:cs="Arial" w:eastAsia="Arial" w:hAnsi="Arial"/>
                <w:sz w:val="15"/>
                <w:szCs w:val="15"/>
                <w:b w:val="1"/>
                <w:bCs w:val="1"/>
                <w:color w:val="auto"/>
              </w:rPr>
              <w:t>TRANSITION REPORT PURSUANT TO SECTION 13 OR 15(d) OF THE SECURITIES EXCHANGE ACT OF 1934</w:t>
            </w:r>
          </w:p>
        </w:tc>
      </w:tr>
      <w:tr>
        <w:trPr>
          <w:trHeight w:val="215"/>
        </w:trPr>
        <w:tc>
          <w:tcPr>
            <w:tcW w:w="1000" w:type="dxa"/>
            <w:vAlign w:val="bottom"/>
          </w:tcPr>
          <w:p>
            <w:pPr>
              <w:spacing w:after="0"/>
              <w:rPr>
                <w:sz w:val="18"/>
                <w:szCs w:val="18"/>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9"/>
              </w:rPr>
              <w:t>For the transition period from ____ to ____</w:t>
            </w:r>
          </w:p>
        </w:tc>
      </w:tr>
      <w:tr>
        <w:trPr>
          <w:trHeight w:val="234"/>
        </w:trPr>
        <w:tc>
          <w:tcPr>
            <w:tcW w:w="1000" w:type="dxa"/>
            <w:vAlign w:val="bottom"/>
          </w:tcPr>
          <w:p>
            <w:pPr>
              <w:spacing w:after="0"/>
              <w:rPr>
                <w:sz w:val="20"/>
                <w:szCs w:val="20"/>
                <w:color w:val="auto"/>
              </w:rPr>
            </w:pPr>
          </w:p>
        </w:tc>
        <w:tc>
          <w:tcPr>
            <w:tcW w:w="8700" w:type="dxa"/>
            <w:vAlign w:val="bottom"/>
          </w:tcPr>
          <w:p>
            <w:pPr>
              <w:jc w:val="center"/>
              <w:ind w:left="412"/>
              <w:spacing w:after="0"/>
              <w:rPr>
                <w:sz w:val="20"/>
                <w:szCs w:val="20"/>
                <w:color w:val="auto"/>
              </w:rPr>
            </w:pPr>
            <w:r>
              <w:rPr>
                <w:rFonts w:ascii="Arial" w:cs="Arial" w:eastAsia="Arial" w:hAnsi="Arial"/>
                <w:sz w:val="14"/>
                <w:szCs w:val="14"/>
                <w:b w:val="1"/>
                <w:bCs w:val="1"/>
                <w:color w:val="auto"/>
                <w:w w:val="88"/>
              </w:rPr>
              <w:t>Commission file number 001-39021</w:t>
            </w:r>
          </w:p>
        </w:tc>
      </w:tr>
      <w:tr>
        <w:trPr>
          <w:trHeight w:val="178"/>
        </w:trPr>
        <w:tc>
          <w:tcPr>
            <w:tcW w:w="1000" w:type="dxa"/>
            <w:vAlign w:val="bottom"/>
          </w:tcPr>
          <w:p>
            <w:pPr>
              <w:spacing w:after="0"/>
              <w:rPr>
                <w:sz w:val="15"/>
                <w:szCs w:val="15"/>
                <w:color w:val="auto"/>
              </w:rPr>
            </w:pPr>
          </w:p>
        </w:tc>
        <w:tc>
          <w:tcPr>
            <w:tcW w:w="8700" w:type="dxa"/>
            <w:vAlign w:val="bottom"/>
          </w:tcPr>
          <w:p>
            <w:pPr>
              <w:jc w:val="center"/>
              <w:ind w:left="432"/>
              <w:spacing w:after="0"/>
              <w:rPr>
                <w:sz w:val="20"/>
                <w:szCs w:val="20"/>
                <w:color w:val="auto"/>
              </w:rPr>
            </w:pPr>
            <w:r>
              <w:rPr>
                <w:rFonts w:ascii="Arial" w:cs="Arial" w:eastAsia="Arial" w:hAnsi="Arial"/>
                <w:sz w:val="14"/>
                <w:szCs w:val="14"/>
                <w:b w:val="1"/>
                <w:bCs w:val="1"/>
                <w:color w:val="auto"/>
                <w:w w:val="88"/>
              </w:rPr>
              <w:t>_______________________________________________________________________________</w:t>
            </w:r>
          </w:p>
        </w:tc>
      </w:tr>
    </w:tbl>
    <w:p>
      <w:pPr>
        <w:spacing w:after="0" w:line="146"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WM TECHNOLOGY,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ind w:left="2920"/>
        <w:spacing w:after="0"/>
        <w:rPr>
          <w:sz w:val="20"/>
          <w:szCs w:val="20"/>
          <w:color w:val="auto"/>
        </w:rPr>
      </w:pPr>
      <w:r>
        <w:rPr>
          <w:rFonts w:ascii="Arial" w:cs="Arial" w:eastAsia="Arial" w:hAnsi="Arial"/>
          <w:sz w:val="14"/>
          <w:szCs w:val="14"/>
          <w:b w:val="1"/>
          <w:bCs w:val="1"/>
          <w:color w:val="auto"/>
        </w:rPr>
        <w:t>_______________________________________________________________________________</w:t>
      </w:r>
    </w:p>
    <w:p>
      <w:pPr>
        <w:spacing w:after="0" w:line="197" w:lineRule="exact"/>
        <w:rPr>
          <w:sz w:val="24"/>
          <w:szCs w:val="24"/>
          <w:color w:val="auto"/>
        </w:rPr>
      </w:pPr>
    </w:p>
    <w:tbl>
      <w:tblPr>
        <w:tblLayout w:type="fixed"/>
        <w:tblInd w:w="980" w:type="dxa"/>
        <w:tblCellMar>
          <w:top w:w="0" w:type="dxa"/>
          <w:left w:w="0" w:type="dxa"/>
          <w:bottom w:w="0" w:type="dxa"/>
          <w:right w:w="0" w:type="dxa"/>
        </w:tblCellMar>
      </w:tblPr>
      <w:tr>
        <w:trPr>
          <w:trHeight w:val="178"/>
        </w:trPr>
        <w:tc>
          <w:tcPr>
            <w:tcW w:w="6500" w:type="dxa"/>
            <w:vAlign w:val="bottom"/>
          </w:tcPr>
          <w:p>
            <w:pPr>
              <w:jc w:val="center"/>
              <w:ind w:right="3151"/>
              <w:spacing w:after="0"/>
              <w:rPr>
                <w:sz w:val="20"/>
                <w:szCs w:val="20"/>
                <w:color w:val="auto"/>
              </w:rPr>
            </w:pPr>
            <w:r>
              <w:rPr>
                <w:rFonts w:ascii="Arial" w:cs="Arial" w:eastAsia="Arial" w:hAnsi="Arial"/>
                <w:sz w:val="14"/>
                <w:szCs w:val="14"/>
                <w:b w:val="1"/>
                <w:bCs w:val="1"/>
                <w:color w:val="auto"/>
                <w:w w:val="91"/>
              </w:rPr>
              <w:t>Delaware</w:t>
            </w:r>
          </w:p>
        </w:tc>
        <w:tc>
          <w:tcPr>
            <w:tcW w:w="2180" w:type="dxa"/>
            <w:vAlign w:val="bottom"/>
          </w:tcPr>
          <w:p>
            <w:pPr>
              <w:jc w:val="right"/>
              <w:ind w:right="611"/>
              <w:spacing w:after="0"/>
              <w:rPr>
                <w:sz w:val="20"/>
                <w:szCs w:val="20"/>
                <w:color w:val="auto"/>
              </w:rPr>
            </w:pPr>
            <w:r>
              <w:rPr>
                <w:rFonts w:ascii="Arial" w:cs="Arial" w:eastAsia="Arial" w:hAnsi="Arial"/>
                <w:sz w:val="14"/>
                <w:szCs w:val="14"/>
                <w:b w:val="1"/>
                <w:bCs w:val="1"/>
                <w:color w:val="auto"/>
              </w:rPr>
              <w:t>98-1605615</w:t>
            </w:r>
          </w:p>
        </w:tc>
        <w:tc>
          <w:tcPr>
            <w:tcW w:w="0" w:type="dxa"/>
            <w:vAlign w:val="bottom"/>
          </w:tcPr>
          <w:p>
            <w:pPr>
              <w:spacing w:after="0"/>
              <w:rPr>
                <w:sz w:val="1"/>
                <w:szCs w:val="1"/>
                <w:color w:val="auto"/>
              </w:rPr>
            </w:pPr>
          </w:p>
        </w:tc>
      </w:tr>
      <w:tr>
        <w:trPr>
          <w:trHeight w:val="193"/>
        </w:trPr>
        <w:tc>
          <w:tcPr>
            <w:tcW w:w="6500" w:type="dxa"/>
            <w:vAlign w:val="bottom"/>
          </w:tcPr>
          <w:p>
            <w:pPr>
              <w:jc w:val="center"/>
              <w:ind w:right="3151"/>
              <w:spacing w:after="0"/>
              <w:rPr>
                <w:sz w:val="20"/>
                <w:szCs w:val="20"/>
                <w:color w:val="auto"/>
              </w:rPr>
            </w:pPr>
            <w:r>
              <w:rPr>
                <w:rFonts w:ascii="Arial" w:cs="Arial" w:eastAsia="Arial" w:hAnsi="Arial"/>
                <w:sz w:val="14"/>
                <w:szCs w:val="14"/>
                <w:color w:val="auto"/>
                <w:w w:val="90"/>
              </w:rPr>
              <w:t>(State or other jurisdiction of incorporation or organization)</w:t>
            </w:r>
          </w:p>
        </w:tc>
        <w:tc>
          <w:tcPr>
            <w:tcW w:w="2180" w:type="dxa"/>
            <w:vAlign w:val="bottom"/>
          </w:tcPr>
          <w:p>
            <w:pPr>
              <w:jc w:val="center"/>
              <w:ind w:left="111"/>
              <w:spacing w:after="0"/>
              <w:rPr>
                <w:sz w:val="20"/>
                <w:szCs w:val="20"/>
                <w:color w:val="auto"/>
              </w:rPr>
            </w:pPr>
            <w:r>
              <w:rPr>
                <w:rFonts w:ascii="Arial" w:cs="Arial" w:eastAsia="Arial" w:hAnsi="Arial"/>
                <w:sz w:val="14"/>
                <w:szCs w:val="14"/>
                <w:color w:val="auto"/>
                <w:w w:val="92"/>
              </w:rPr>
              <w:t>(I.R.S. Employer Identification No.)</w:t>
            </w:r>
          </w:p>
        </w:tc>
        <w:tc>
          <w:tcPr>
            <w:tcW w:w="0" w:type="dxa"/>
            <w:vAlign w:val="bottom"/>
          </w:tcPr>
          <w:p>
            <w:pPr>
              <w:spacing w:after="0"/>
              <w:rPr>
                <w:sz w:val="1"/>
                <w:szCs w:val="1"/>
                <w:color w:val="auto"/>
              </w:rPr>
            </w:pPr>
          </w:p>
        </w:tc>
      </w:tr>
      <w:tr>
        <w:trPr>
          <w:trHeight w:val="208"/>
        </w:trPr>
        <w:tc>
          <w:tcPr>
            <w:tcW w:w="6500" w:type="dxa"/>
            <w:vAlign w:val="bottom"/>
          </w:tcPr>
          <w:p>
            <w:pPr>
              <w:jc w:val="center"/>
              <w:ind w:right="3151"/>
              <w:spacing w:after="0"/>
              <w:rPr>
                <w:sz w:val="20"/>
                <w:szCs w:val="20"/>
                <w:color w:val="auto"/>
              </w:rPr>
            </w:pPr>
            <w:r>
              <w:rPr>
                <w:rFonts w:ascii="Arial" w:cs="Arial" w:eastAsia="Arial" w:hAnsi="Arial"/>
                <w:sz w:val="14"/>
                <w:szCs w:val="14"/>
                <w:b w:val="1"/>
                <w:bCs w:val="1"/>
                <w:color w:val="auto"/>
                <w:w w:val="87"/>
              </w:rPr>
              <w:t>41 Discovery</w:t>
            </w:r>
          </w:p>
        </w:tc>
        <w:tc>
          <w:tcPr>
            <w:tcW w:w="2180" w:type="dxa"/>
            <w:vAlign w:val="bottom"/>
            <w:vMerge w:val="restart"/>
          </w:tcPr>
          <w:p>
            <w:pPr>
              <w:jc w:val="center"/>
              <w:ind w:left="111"/>
              <w:spacing w:after="0"/>
              <w:rPr>
                <w:sz w:val="20"/>
                <w:szCs w:val="20"/>
                <w:color w:val="auto"/>
              </w:rPr>
            </w:pPr>
            <w:r>
              <w:rPr>
                <w:rFonts w:ascii="Arial" w:cs="Arial" w:eastAsia="Arial" w:hAnsi="Arial"/>
                <w:sz w:val="14"/>
                <w:szCs w:val="14"/>
                <w:b w:val="1"/>
                <w:bCs w:val="1"/>
                <w:color w:val="auto"/>
                <w:w w:val="92"/>
              </w:rPr>
              <w:t>92618</w:t>
            </w:r>
          </w:p>
        </w:tc>
        <w:tc>
          <w:tcPr>
            <w:tcW w:w="0" w:type="dxa"/>
            <w:vAlign w:val="bottom"/>
          </w:tcPr>
          <w:p>
            <w:pPr>
              <w:spacing w:after="0"/>
              <w:rPr>
                <w:sz w:val="1"/>
                <w:szCs w:val="1"/>
                <w:color w:val="auto"/>
              </w:rPr>
            </w:pPr>
          </w:p>
        </w:tc>
      </w:tr>
      <w:tr>
        <w:trPr>
          <w:trHeight w:val="178"/>
        </w:trPr>
        <w:tc>
          <w:tcPr>
            <w:tcW w:w="6500" w:type="dxa"/>
            <w:vAlign w:val="bottom"/>
          </w:tcPr>
          <w:p>
            <w:pPr>
              <w:jc w:val="center"/>
              <w:ind w:right="3151"/>
              <w:spacing w:after="0"/>
              <w:rPr>
                <w:sz w:val="20"/>
                <w:szCs w:val="20"/>
                <w:color w:val="auto"/>
              </w:rPr>
            </w:pPr>
            <w:r>
              <w:rPr>
                <w:rFonts w:ascii="Arial" w:cs="Arial" w:eastAsia="Arial" w:hAnsi="Arial"/>
                <w:sz w:val="14"/>
                <w:szCs w:val="14"/>
                <w:b w:val="1"/>
                <w:bCs w:val="1"/>
                <w:color w:val="auto"/>
                <w:w w:val="94"/>
              </w:rPr>
              <w:t>Irvine, California</w:t>
            </w:r>
          </w:p>
        </w:tc>
        <w:tc>
          <w:tcPr>
            <w:tcW w:w="21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6500" w:type="dxa"/>
            <w:vAlign w:val="bottom"/>
          </w:tcPr>
          <w:p>
            <w:pPr>
              <w:jc w:val="center"/>
              <w:ind w:right="3151"/>
              <w:spacing w:after="0"/>
              <w:rPr>
                <w:sz w:val="20"/>
                <w:szCs w:val="20"/>
                <w:color w:val="auto"/>
              </w:rPr>
            </w:pPr>
            <w:r>
              <w:rPr>
                <w:rFonts w:ascii="Arial" w:cs="Arial" w:eastAsia="Arial" w:hAnsi="Arial"/>
                <w:sz w:val="14"/>
                <w:szCs w:val="14"/>
                <w:color w:val="auto"/>
                <w:w w:val="91"/>
              </w:rPr>
              <w:t>(Address of Principal Executive Offices)</w:t>
            </w:r>
          </w:p>
        </w:tc>
        <w:tc>
          <w:tcPr>
            <w:tcW w:w="2180" w:type="dxa"/>
            <w:vAlign w:val="bottom"/>
          </w:tcPr>
          <w:p>
            <w:pPr>
              <w:jc w:val="center"/>
              <w:ind w:left="111"/>
              <w:spacing w:after="0"/>
              <w:rPr>
                <w:sz w:val="20"/>
                <w:szCs w:val="20"/>
                <w:color w:val="auto"/>
              </w:rPr>
            </w:pPr>
            <w:r>
              <w:rPr>
                <w:rFonts w:ascii="Arial" w:cs="Arial" w:eastAsia="Arial" w:hAnsi="Arial"/>
                <w:sz w:val="14"/>
                <w:szCs w:val="14"/>
                <w:color w:val="auto"/>
                <w:w w:val="90"/>
              </w:rPr>
              <w:t>(Zip Code)</w:t>
            </w:r>
          </w:p>
        </w:tc>
        <w:tc>
          <w:tcPr>
            <w:tcW w:w="0" w:type="dxa"/>
            <w:vAlign w:val="bottom"/>
          </w:tcPr>
          <w:p>
            <w:pPr>
              <w:spacing w:after="0"/>
              <w:rPr>
                <w:sz w:val="1"/>
                <w:szCs w:val="1"/>
                <w:color w:val="auto"/>
              </w:rPr>
            </w:pPr>
          </w:p>
        </w:tc>
      </w:tr>
      <w:tr>
        <w:trPr>
          <w:trHeight w:val="341"/>
        </w:trPr>
        <w:tc>
          <w:tcPr>
            <w:tcW w:w="6500" w:type="dxa"/>
            <w:vAlign w:val="bottom"/>
          </w:tcPr>
          <w:p>
            <w:pPr>
              <w:jc w:val="center"/>
              <w:ind w:left="2731"/>
              <w:spacing w:after="0"/>
              <w:rPr>
                <w:sz w:val="20"/>
                <w:szCs w:val="20"/>
                <w:color w:val="auto"/>
              </w:rPr>
            </w:pPr>
            <w:r>
              <w:rPr>
                <w:rFonts w:ascii="Arial" w:cs="Arial" w:eastAsia="Arial" w:hAnsi="Arial"/>
                <w:sz w:val="14"/>
                <w:szCs w:val="14"/>
                <w:b w:val="1"/>
                <w:bCs w:val="1"/>
                <w:color w:val="auto"/>
                <w:w w:val="89"/>
              </w:rPr>
              <w:t>(844) 933-3627</w:t>
            </w: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500" w:type="dxa"/>
            <w:vAlign w:val="bottom"/>
          </w:tcPr>
          <w:p>
            <w:pPr>
              <w:jc w:val="center"/>
              <w:ind w:left="2731"/>
              <w:spacing w:after="0"/>
              <w:rPr>
                <w:sz w:val="20"/>
                <w:szCs w:val="20"/>
                <w:color w:val="auto"/>
              </w:rPr>
            </w:pPr>
            <w:r>
              <w:rPr>
                <w:rFonts w:ascii="Arial" w:cs="Arial" w:eastAsia="Arial" w:hAnsi="Arial"/>
                <w:sz w:val="14"/>
                <w:szCs w:val="14"/>
                <w:color w:val="auto"/>
                <w:w w:val="88"/>
              </w:rPr>
              <w:t>(Registrant’ telephone number, including area code)</w:t>
            </w:r>
          </w:p>
        </w:tc>
        <w:tc>
          <w:tcPr>
            <w:tcW w:w="2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8"/>
        </w:trPr>
        <w:tc>
          <w:tcPr>
            <w:tcW w:w="6500" w:type="dxa"/>
            <w:vAlign w:val="bottom"/>
          </w:tcPr>
          <w:p>
            <w:pPr>
              <w:jc w:val="center"/>
              <w:ind w:left="2711"/>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320"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4"/>
              </w:rPr>
              <w:t>Title of each class</w:t>
            </w:r>
          </w:p>
        </w:tc>
        <w:tc>
          <w:tcPr>
            <w:tcW w:w="1940" w:type="dxa"/>
            <w:vAlign w:val="bottom"/>
            <w:tcBorders>
              <w:bottom w:val="single" w:sz="8" w:color="auto"/>
            </w:tcBorders>
          </w:tcPr>
          <w:p>
            <w:pPr>
              <w:jc w:val="center"/>
              <w:ind w:right="371"/>
              <w:spacing w:after="0"/>
              <w:rPr>
                <w:sz w:val="20"/>
                <w:szCs w:val="20"/>
                <w:color w:val="auto"/>
              </w:rPr>
            </w:pPr>
            <w:r>
              <w:rPr>
                <w:rFonts w:ascii="Arial" w:cs="Arial" w:eastAsia="Arial" w:hAnsi="Arial"/>
                <w:sz w:val="14"/>
                <w:szCs w:val="14"/>
                <w:b w:val="1"/>
                <w:bCs w:val="1"/>
                <w:color w:val="auto"/>
                <w:w w:val="87"/>
              </w:rPr>
              <w:t>Trading symbol(s)</w:t>
            </w:r>
          </w:p>
        </w:tc>
        <w:tc>
          <w:tcPr>
            <w:tcW w:w="4160" w:type="dxa"/>
            <w:vAlign w:val="bottom"/>
            <w:tcBorders>
              <w:bottom w:val="single" w:sz="8" w:color="auto"/>
            </w:tcBorders>
          </w:tcPr>
          <w:p>
            <w:pPr>
              <w:jc w:val="center"/>
              <w:ind w:right="251"/>
              <w:spacing w:after="0"/>
              <w:rPr>
                <w:sz w:val="20"/>
                <w:szCs w:val="20"/>
                <w:color w:val="auto"/>
              </w:rPr>
            </w:pPr>
            <w:r>
              <w:rPr>
                <w:rFonts w:ascii="Arial" w:cs="Arial" w:eastAsia="Arial" w:hAnsi="Arial"/>
                <w:sz w:val="14"/>
                <w:szCs w:val="14"/>
                <w:b w:val="1"/>
                <w:bCs w:val="1"/>
                <w:color w:val="auto"/>
                <w:w w:val="86"/>
              </w:rPr>
              <w:t>Name of each exchange on which registered</w:t>
            </w:r>
          </w:p>
        </w:tc>
      </w:tr>
      <w:tr>
        <w:trPr>
          <w:trHeight w:val="180"/>
        </w:trPr>
        <w:tc>
          <w:tcPr>
            <w:tcW w:w="5140" w:type="dxa"/>
            <w:vAlign w:val="bottom"/>
          </w:tcPr>
          <w:p>
            <w:pPr>
              <w:jc w:val="center"/>
              <w:ind w:right="51"/>
              <w:spacing w:after="0"/>
              <w:rPr>
                <w:sz w:val="20"/>
                <w:szCs w:val="20"/>
                <w:color w:val="auto"/>
              </w:rPr>
            </w:pPr>
            <w:r>
              <w:rPr>
                <w:rFonts w:ascii="Arial" w:cs="Arial" w:eastAsia="Arial" w:hAnsi="Arial"/>
                <w:sz w:val="14"/>
                <w:szCs w:val="14"/>
                <w:color w:val="auto"/>
                <w:w w:val="87"/>
              </w:rPr>
              <w:t>Class A Common Stock, $0.0001 par value per share</w:t>
            </w:r>
          </w:p>
        </w:tc>
        <w:tc>
          <w:tcPr>
            <w:tcW w:w="1940" w:type="dxa"/>
            <w:vAlign w:val="bottom"/>
          </w:tcPr>
          <w:p>
            <w:pPr>
              <w:jc w:val="center"/>
              <w:ind w:right="371"/>
              <w:spacing w:after="0"/>
              <w:rPr>
                <w:sz w:val="20"/>
                <w:szCs w:val="20"/>
                <w:color w:val="auto"/>
              </w:rPr>
            </w:pPr>
            <w:r>
              <w:rPr>
                <w:rFonts w:ascii="Arial" w:cs="Arial" w:eastAsia="Arial" w:hAnsi="Arial"/>
                <w:sz w:val="14"/>
                <w:szCs w:val="14"/>
                <w:color w:val="auto"/>
                <w:w w:val="95"/>
              </w:rPr>
              <w:t>MAPS</w:t>
            </w:r>
          </w:p>
        </w:tc>
        <w:tc>
          <w:tcPr>
            <w:tcW w:w="4160" w:type="dxa"/>
            <w:vAlign w:val="bottom"/>
          </w:tcPr>
          <w:p>
            <w:pPr>
              <w:jc w:val="center"/>
              <w:ind w:right="251"/>
              <w:spacing w:after="0"/>
              <w:rPr>
                <w:sz w:val="20"/>
                <w:szCs w:val="20"/>
                <w:color w:val="auto"/>
              </w:rPr>
            </w:pPr>
            <w:r>
              <w:rPr>
                <w:rFonts w:ascii="Arial" w:cs="Arial" w:eastAsia="Arial" w:hAnsi="Arial"/>
                <w:sz w:val="14"/>
                <w:szCs w:val="14"/>
                <w:color w:val="auto"/>
                <w:w w:val="89"/>
              </w:rPr>
              <w:t>The Nasdaq Global Select Market</w:t>
            </w:r>
          </w:p>
        </w:tc>
      </w:tr>
      <w:tr>
        <w:trPr>
          <w:trHeight w:val="161"/>
        </w:trPr>
        <w:tc>
          <w:tcPr>
            <w:tcW w:w="5140" w:type="dxa"/>
            <w:vAlign w:val="bottom"/>
          </w:tcPr>
          <w:p>
            <w:pPr>
              <w:jc w:val="center"/>
              <w:ind w:right="51"/>
              <w:spacing w:after="0"/>
              <w:rPr>
                <w:sz w:val="20"/>
                <w:szCs w:val="20"/>
                <w:color w:val="auto"/>
              </w:rPr>
            </w:pPr>
            <w:r>
              <w:rPr>
                <w:rFonts w:ascii="Arial" w:cs="Arial" w:eastAsia="Arial" w:hAnsi="Arial"/>
                <w:sz w:val="14"/>
                <w:szCs w:val="14"/>
                <w:color w:val="auto"/>
                <w:w w:val="88"/>
              </w:rPr>
              <w:t>Warrants, each whole warrant exercisable for one share of Class A Common Stock at an</w:t>
            </w:r>
          </w:p>
        </w:tc>
        <w:tc>
          <w:tcPr>
            <w:tcW w:w="1940" w:type="dxa"/>
            <w:vAlign w:val="bottom"/>
          </w:tcPr>
          <w:p>
            <w:pPr>
              <w:spacing w:after="0"/>
              <w:rPr>
                <w:sz w:val="13"/>
                <w:szCs w:val="13"/>
                <w:color w:val="auto"/>
              </w:rPr>
            </w:pPr>
          </w:p>
        </w:tc>
        <w:tc>
          <w:tcPr>
            <w:tcW w:w="4160" w:type="dxa"/>
            <w:vAlign w:val="bottom"/>
          </w:tcPr>
          <w:p>
            <w:pPr>
              <w:spacing w:after="0"/>
              <w:rPr>
                <w:sz w:val="13"/>
                <w:szCs w:val="13"/>
                <w:color w:val="auto"/>
              </w:rPr>
            </w:pPr>
          </w:p>
        </w:tc>
      </w:tr>
      <w:tr>
        <w:trPr>
          <w:trHeight w:val="174"/>
        </w:trPr>
        <w:tc>
          <w:tcPr>
            <w:tcW w:w="5140" w:type="dxa"/>
            <w:vAlign w:val="bottom"/>
          </w:tcPr>
          <w:p>
            <w:pPr>
              <w:jc w:val="center"/>
              <w:ind w:right="51"/>
              <w:spacing w:after="0"/>
              <w:rPr>
                <w:sz w:val="20"/>
                <w:szCs w:val="20"/>
                <w:color w:val="auto"/>
              </w:rPr>
            </w:pPr>
            <w:r>
              <w:rPr>
                <w:rFonts w:ascii="Arial" w:cs="Arial" w:eastAsia="Arial" w:hAnsi="Arial"/>
                <w:sz w:val="14"/>
                <w:szCs w:val="14"/>
                <w:color w:val="auto"/>
                <w:w w:val="87"/>
              </w:rPr>
              <w:t>exercise price of $11.50 per share</w:t>
            </w:r>
          </w:p>
        </w:tc>
        <w:tc>
          <w:tcPr>
            <w:tcW w:w="1940" w:type="dxa"/>
            <w:vAlign w:val="bottom"/>
          </w:tcPr>
          <w:p>
            <w:pPr>
              <w:jc w:val="center"/>
              <w:ind w:right="371"/>
              <w:spacing w:after="0"/>
              <w:rPr>
                <w:sz w:val="20"/>
                <w:szCs w:val="20"/>
                <w:color w:val="auto"/>
              </w:rPr>
            </w:pPr>
            <w:r>
              <w:rPr>
                <w:rFonts w:ascii="Arial" w:cs="Arial" w:eastAsia="Arial" w:hAnsi="Arial"/>
                <w:sz w:val="14"/>
                <w:szCs w:val="14"/>
                <w:color w:val="auto"/>
                <w:w w:val="94"/>
              </w:rPr>
              <w:t>MAPSW</w:t>
            </w:r>
          </w:p>
        </w:tc>
        <w:tc>
          <w:tcPr>
            <w:tcW w:w="4160" w:type="dxa"/>
            <w:vAlign w:val="bottom"/>
          </w:tcPr>
          <w:p>
            <w:pPr>
              <w:jc w:val="center"/>
              <w:ind w:right="251"/>
              <w:spacing w:after="0"/>
              <w:rPr>
                <w:sz w:val="20"/>
                <w:szCs w:val="20"/>
                <w:color w:val="auto"/>
              </w:rPr>
            </w:pPr>
            <w:r>
              <w:rPr>
                <w:rFonts w:ascii="Arial" w:cs="Arial" w:eastAsia="Arial" w:hAnsi="Arial"/>
                <w:sz w:val="14"/>
                <w:szCs w:val="14"/>
                <w:color w:val="auto"/>
                <w:w w:val="89"/>
              </w:rPr>
              <w:t>The Nasdaq Global Select Market</w:t>
            </w:r>
          </w:p>
        </w:tc>
      </w:tr>
    </w:tbl>
    <w:p>
      <w:pPr>
        <w:spacing w:after="0" w:line="3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88"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0"/>
          <w:szCs w:val="20"/>
          <w:color w:val="auto"/>
        </w:rPr>
      </w:pPr>
    </w:p>
    <w:p>
      <w:pPr>
        <w:jc w:val="both"/>
        <w:spacing w:after="0" w:line="173"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67"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56" w:right="339" w:bottom="1440" w:gutter="0" w:footer="0" w:header="0"/>
        </w:sectPr>
      </w:pPr>
    </w:p>
    <w:p>
      <w:pPr>
        <w:spacing w:after="0" w:line="116" w:lineRule="exact"/>
        <w:rPr>
          <w:sz w:val="20"/>
          <w:szCs w:val="20"/>
          <w:color w:val="auto"/>
        </w:rPr>
      </w:pPr>
    </w:p>
    <w:p>
      <w:pPr>
        <w:ind w:left="20"/>
        <w:spacing w:after="0"/>
        <w:rPr>
          <w:sz w:val="20"/>
          <w:szCs w:val="20"/>
          <w:color w:val="auto"/>
        </w:rPr>
      </w:pPr>
      <w:r>
        <w:rPr>
          <w:rFonts w:ascii="Arial" w:cs="Arial" w:eastAsia="Arial" w:hAnsi="Arial"/>
          <w:sz w:val="11"/>
          <w:szCs w:val="11"/>
          <w:color w:val="auto"/>
        </w:rPr>
        <w:t>Large accelerated filer</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Non-accelerated filer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Accelerated filer</w:t>
      </w:r>
    </w:p>
    <w:p>
      <w:pPr>
        <w:spacing w:after="0" w:line="19" w:lineRule="exact"/>
        <w:rPr>
          <w:sz w:val="20"/>
          <w:szCs w:val="20"/>
          <w:color w:val="auto"/>
        </w:rPr>
      </w:pPr>
    </w:p>
    <w:p>
      <w:pPr>
        <w:spacing w:after="0"/>
        <w:rPr>
          <w:sz w:val="20"/>
          <w:szCs w:val="20"/>
          <w:color w:val="auto"/>
        </w:rPr>
      </w:pPr>
      <w:r>
        <w:rPr>
          <w:rFonts w:ascii="Arial" w:cs="Arial" w:eastAsia="Arial" w:hAnsi="Arial"/>
          <w:sz w:val="11"/>
          <w:szCs w:val="11"/>
          <w:color w:val="auto"/>
        </w:rPr>
        <w:t>Smaller reporting company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02"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rPr>
          <w:sz w:val="20"/>
          <w:szCs w:val="20"/>
          <w:color w:val="auto"/>
        </w:rPr>
      </w:pPr>
      <w:r>
        <w:rPr>
          <w:rFonts w:ascii="Arial" w:cs="Arial" w:eastAsia="Arial" w:hAnsi="Arial"/>
          <w:sz w:val="11"/>
          <w:szCs w:val="11"/>
          <w:color w:val="auto"/>
        </w:rPr>
        <w:t>Emerging growth company</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line="111" w:lineRule="exact"/>
        <w:rPr>
          <w:sz w:val="20"/>
          <w:szCs w:val="20"/>
          <w:color w:val="auto"/>
        </w:rPr>
      </w:pPr>
      <w:r>
        <w:rPr>
          <w:rFonts w:ascii="MS PGothic" w:cs="MS PGothic" w:eastAsia="MS PGothic" w:hAnsi="MS PGothic"/>
          <w:sz w:val="11"/>
          <w:szCs w:val="11"/>
          <w:color w:val="auto"/>
        </w:rPr>
        <w:t>☒</w:t>
      </w:r>
    </w:p>
    <w:p>
      <w:pPr>
        <w:spacing w:after="0" w:line="159" w:lineRule="exact"/>
        <w:rPr>
          <w:sz w:val="20"/>
          <w:szCs w:val="20"/>
          <w:color w:val="auto"/>
        </w:rPr>
      </w:pPr>
    </w:p>
    <w:p>
      <w:pPr>
        <w:sectPr>
          <w:pgSz w:w="11900" w:h="16838" w:orient="portrait"/>
          <w:cols w:equalWidth="0" w:num="6">
            <w:col w:w="2380" w:space="720"/>
            <w:col w:w="120" w:space="540"/>
            <w:col w:w="2380" w:space="720"/>
            <w:col w:w="120" w:space="540"/>
            <w:col w:w="2360" w:space="720"/>
            <w:col w:w="640"/>
          </w:cols>
          <w:pgMar w:left="320" w:top="156" w:right="339" w:bottom="1440" w:gutter="0" w:footer="0" w:header="0"/>
          <w:type w:val="continuous"/>
        </w:sectPr>
      </w:pPr>
    </w:p>
    <w:p>
      <w:pPr>
        <w:spacing w:after="0" w:line="199"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0"/>
          <w:szCs w:val="20"/>
          <w:color w:val="auto"/>
        </w:rPr>
      </w:pPr>
    </w:p>
    <w:p>
      <w:pPr>
        <w:spacing w:after="0" w:line="161" w:lineRule="exact"/>
        <w:tabs>
          <w:tab w:leader="none" w:pos="5820" w:val="left"/>
          <w:tab w:leader="none" w:pos="6420" w:val="left"/>
        </w:tabs>
        <w:rPr>
          <w:sz w:val="20"/>
          <w:szCs w:val="20"/>
          <w:color w:val="auto"/>
        </w:rPr>
      </w:pPr>
      <w:r>
        <w:rPr>
          <w:rFonts w:ascii="Arial" w:cs="Arial" w:eastAsia="Arial" w:hAnsi="Arial"/>
          <w:sz w:val="13"/>
          <w:szCs w:val="13"/>
          <w:color w:val="auto"/>
        </w:rPr>
        <w:t>Indicate by check mark whether the registrant is a shell company (as defined in Rule 12b-2 of the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As of November 8, 2021, there were 65,677,361 shares of the registrant’s Class A common stock outstanding and 65,502,347 shares of Class V common stock outstanding.</w:t>
      </w:r>
    </w:p>
    <w:p>
      <w:pPr>
        <w:sectPr>
          <w:pgSz w:w="11900" w:h="16838" w:orient="portrait"/>
          <w:cols w:equalWidth="0" w:num="1">
            <w:col w:w="11240"/>
          </w:cols>
          <w:pgMar w:left="320" w:top="156" w:right="339" w:bottom="1440" w:gutter="0" w:footer="0" w:header="0"/>
          <w:type w:val="continuous"/>
        </w:sectPr>
      </w:pPr>
    </w:p>
    <w:bookmarkStart w:id="2" w:name="page3"/>
    <w:bookmarkEnd w:id="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40" w:type="dxa"/>
            <w:vAlign w:val="bottom"/>
            <w:gridSpan w:val="9"/>
          </w:tcPr>
          <w:p>
            <w:pPr>
              <w:jc w:val="center"/>
              <w:ind w:right="2460"/>
              <w:spacing w:after="0"/>
              <w:rPr>
                <w:sz w:val="20"/>
                <w:szCs w:val="20"/>
                <w:color w:val="auto"/>
              </w:rPr>
            </w:pPr>
            <w:r>
              <w:rPr>
                <w:rFonts w:ascii="Arial" w:cs="Arial" w:eastAsia="Arial" w:hAnsi="Arial"/>
                <w:sz w:val="17"/>
                <w:szCs w:val="17"/>
                <w:b w:val="1"/>
                <w:bCs w:val="1"/>
                <w:color w:val="auto"/>
              </w:rPr>
              <w:t>WM TECHNOLOGY, INC.</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413"/>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40" w:type="dxa"/>
            <w:vAlign w:val="bottom"/>
            <w:gridSpan w:val="9"/>
          </w:tcPr>
          <w:p>
            <w:pPr>
              <w:jc w:val="center"/>
              <w:ind w:right="2480"/>
              <w:spacing w:after="0"/>
              <w:rPr>
                <w:sz w:val="20"/>
                <w:szCs w:val="20"/>
                <w:color w:val="auto"/>
              </w:rPr>
            </w:pPr>
            <w:r>
              <w:rPr>
                <w:rFonts w:ascii="Arial" w:cs="Arial" w:eastAsia="Arial" w:hAnsi="Arial"/>
                <w:sz w:val="17"/>
                <w:szCs w:val="17"/>
                <w:b w:val="1"/>
                <w:bCs w:val="1"/>
                <w:color w:val="auto"/>
              </w:rPr>
              <w:t>TABLE OF CONTENTS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20"/>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Borders>
              <w:bottom w:val="single" w:sz="8" w:color="auto"/>
            </w:tcBorders>
            <w:gridSpan w:val="3"/>
          </w:tcPr>
          <w:p>
            <w:pPr>
              <w:ind w:left="260"/>
              <w:spacing w:after="0"/>
              <w:rPr>
                <w:sz w:val="20"/>
                <w:szCs w:val="20"/>
                <w:color w:val="auto"/>
              </w:rPr>
            </w:pPr>
            <w:r>
              <w:rPr>
                <w:rFonts w:ascii="Arial" w:cs="Arial" w:eastAsia="Arial" w:hAnsi="Arial"/>
                <w:sz w:val="17"/>
                <w:szCs w:val="17"/>
                <w:b w:val="1"/>
                <w:bCs w:val="1"/>
                <w:color w:val="auto"/>
              </w:rPr>
              <w:t>Page</w:t>
            </w:r>
          </w:p>
        </w:tc>
      </w:tr>
      <w:tr>
        <w:trPr>
          <w:trHeight w:val="425"/>
        </w:trPr>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60" w:type="dxa"/>
            <w:vAlign w:val="bottom"/>
            <w:gridSpan w:val="15"/>
          </w:tcPr>
          <w:p>
            <w:pPr>
              <w:spacing w:after="0"/>
              <w:rPr>
                <w:rFonts w:ascii="Arial" w:cs="Arial" w:eastAsia="Arial" w:hAnsi="Arial"/>
                <w:sz w:val="17"/>
                <w:szCs w:val="17"/>
                <w:color w:val="0000FF"/>
              </w:rPr>
            </w:pPr>
            <w:hyperlink w:anchor="page3">
              <w:r>
                <w:rPr>
                  <w:rFonts w:ascii="Arial" w:cs="Arial" w:eastAsia="Arial" w:hAnsi="Arial"/>
                  <w:sz w:val="17"/>
                  <w:szCs w:val="17"/>
                  <w:color w:val="0000FF"/>
                </w:rPr>
                <w:t>Forward-Looking Statements</w:t>
              </w:r>
            </w:hyperlink>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57"/>
        </w:trPr>
        <w:tc>
          <w:tcPr>
            <w:tcW w:w="10360" w:type="dxa"/>
            <w:vAlign w:val="bottom"/>
            <w:gridSpan w:val="19"/>
          </w:tcPr>
          <w:p>
            <w:pPr>
              <w:spacing w:after="0"/>
              <w:rPr>
                <w:rFonts w:ascii="Arial" w:cs="Arial" w:eastAsia="Arial" w:hAnsi="Arial"/>
                <w:sz w:val="17"/>
                <w:szCs w:val="17"/>
                <w:b w:val="1"/>
                <w:bCs w:val="1"/>
                <w:color w:val="auto"/>
              </w:rPr>
            </w:pPr>
            <w:hyperlink w:anchor="page4">
              <w:r>
                <w:rPr>
                  <w:rFonts w:ascii="Arial" w:cs="Arial" w:eastAsia="Arial" w:hAnsi="Arial"/>
                  <w:sz w:val="17"/>
                  <w:szCs w:val="17"/>
                  <w:b w:val="1"/>
                  <w:bCs w:val="1"/>
                  <w:color w:val="auto"/>
                </w:rPr>
                <w:t>Part I - Financial Information</w:t>
              </w:r>
            </w:hyperlink>
          </w:p>
        </w:tc>
        <w:tc>
          <w:tcPr>
            <w:tcW w:w="500" w:type="dxa"/>
            <w:vAlign w:val="bottom"/>
            <w:gridSpan w:val="2"/>
          </w:tcPr>
          <w:p>
            <w:pPr>
              <w:jc w:val="center"/>
              <w:ind w:left="294"/>
              <w:spacing w:after="0"/>
              <w:rPr>
                <w:sz w:val="20"/>
                <w:szCs w:val="20"/>
                <w:color w:val="auto"/>
              </w:rPr>
            </w:pPr>
            <w:r>
              <w:rPr>
                <w:rFonts w:ascii="Arial" w:cs="Arial" w:eastAsia="Arial" w:hAnsi="Arial"/>
                <w:sz w:val="17"/>
                <w:szCs w:val="17"/>
                <w:color w:val="0000EE"/>
                <w:w w:val="84"/>
              </w:rPr>
              <w:t>2</w:t>
            </w:r>
          </w:p>
        </w:tc>
        <w:tc>
          <w:tcPr>
            <w:tcW w:w="360" w:type="dxa"/>
            <w:vAlign w:val="bottom"/>
          </w:tcPr>
          <w:p>
            <w:pPr>
              <w:spacing w:after="0"/>
              <w:rPr>
                <w:sz w:val="24"/>
                <w:szCs w:val="24"/>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Item 1.</w:t>
              </w:r>
            </w:hyperlink>
          </w:p>
        </w:tc>
        <w:tc>
          <w:tcPr>
            <w:tcW w:w="9260" w:type="dxa"/>
            <w:vAlign w:val="bottom"/>
            <w:gridSpan w:val="15"/>
          </w:tcPr>
          <w:p>
            <w:pPr>
              <w:spacing w:after="0"/>
              <w:rPr>
                <w:rFonts w:ascii="Arial" w:cs="Arial" w:eastAsia="Arial" w:hAnsi="Arial"/>
                <w:sz w:val="17"/>
                <w:szCs w:val="17"/>
                <w:color w:val="0000EE"/>
              </w:rPr>
            </w:pPr>
            <w:r>
              <w:rPr>
                <w:rFonts w:ascii="Arial" w:cs="Arial" w:eastAsia="Arial" w:hAnsi="Arial"/>
                <w:sz w:val="17"/>
                <w:szCs w:val="17"/>
                <w:color w:val="0000EE"/>
              </w:rPr>
              <w:t xml:space="preserve">Condensed Consolidated </w:t>
            </w:r>
            <w:hyperlink w:anchor="page5">
              <w:r>
                <w:rPr>
                  <w:rFonts w:ascii="Arial" w:cs="Arial" w:eastAsia="Arial" w:hAnsi="Arial"/>
                  <w:sz w:val="17"/>
                  <w:szCs w:val="17"/>
                  <w:color w:val="0000EE"/>
                </w:rPr>
                <w:t xml:space="preserve">Financial Statements </w:t>
              </w:r>
            </w:hyperlink>
            <w:r>
              <w:rPr>
                <w:rFonts w:ascii="Arial" w:cs="Arial" w:eastAsia="Arial" w:hAnsi="Arial"/>
                <w:sz w:val="17"/>
                <w:szCs w:val="17"/>
                <w:color w:val="0000EE"/>
              </w:rPr>
              <w:t>(Unaudited)</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2</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60" w:type="dxa"/>
            <w:vAlign w:val="bottom"/>
            <w:gridSpan w:val="15"/>
          </w:tcPr>
          <w:p>
            <w:pPr>
              <w:spacing w:after="0"/>
              <w:rPr>
                <w:rFonts w:ascii="Arial" w:cs="Arial" w:eastAsia="Arial" w:hAnsi="Arial"/>
                <w:sz w:val="17"/>
                <w:szCs w:val="17"/>
                <w:color w:val="0000EE"/>
              </w:rPr>
            </w:pPr>
            <w:hyperlink w:anchor="page5">
              <w:r>
                <w:rPr>
                  <w:rFonts w:ascii="Arial" w:cs="Arial" w:eastAsia="Arial" w:hAnsi="Arial"/>
                  <w:sz w:val="17"/>
                  <w:szCs w:val="17"/>
                  <w:color w:val="0000EE"/>
                </w:rPr>
                <w:t xml:space="preserve">Condensed Consolidated Balance </w:t>
              </w:r>
            </w:hyperlink>
            <w:r>
              <w:rPr>
                <w:rFonts w:ascii="Arial" w:cs="Arial" w:eastAsia="Arial" w:hAnsi="Arial"/>
                <w:sz w:val="17"/>
                <w:szCs w:val="17"/>
                <w:color w:val="0000EE"/>
              </w:rPr>
              <w:t>Sheets as of September 30, 2021 and December 31, 2020</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5">
              <w:r>
                <w:rPr>
                  <w:rFonts w:ascii="Arial" w:cs="Arial" w:eastAsia="Arial" w:hAnsi="Arial"/>
                  <w:sz w:val="17"/>
                  <w:szCs w:val="17"/>
                  <w:color w:val="0000EE"/>
                  <w:w w:val="84"/>
                </w:rPr>
                <w:t>3</w:t>
              </w:r>
            </w:hyperlink>
          </w:p>
        </w:tc>
        <w:tc>
          <w:tcPr>
            <w:tcW w:w="360" w:type="dxa"/>
            <w:vAlign w:val="bottom"/>
          </w:tcPr>
          <w:p>
            <w:pPr>
              <w:spacing w:after="0"/>
              <w:rPr>
                <w:sz w:val="18"/>
                <w:szCs w:val="18"/>
                <w:color w:val="auto"/>
              </w:rPr>
            </w:pPr>
          </w:p>
        </w:tc>
      </w:tr>
      <w:tr>
        <w:trPr>
          <w:trHeight w:val="26"/>
        </w:trPr>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520" w:type="dxa"/>
            <w:vAlign w:val="bottom"/>
            <w:gridSpan w:val="2"/>
            <w:shd w:val="clear" w:color="auto" w:fill="0000EE"/>
          </w:tcPr>
          <w:p>
            <w:pPr>
              <w:spacing w:after="0"/>
              <w:rPr>
                <w:sz w:val="2"/>
                <w:szCs w:val="2"/>
                <w:color w:val="auto"/>
              </w:rPr>
            </w:pPr>
          </w:p>
        </w:tc>
        <w:tc>
          <w:tcPr>
            <w:tcW w:w="1600" w:type="dxa"/>
            <w:vAlign w:val="bottom"/>
            <w:shd w:val="clear" w:color="auto" w:fill="0000EE"/>
          </w:tcPr>
          <w:p>
            <w:pPr>
              <w:spacing w:after="0"/>
              <w:rPr>
                <w:sz w:val="2"/>
                <w:szCs w:val="2"/>
                <w:color w:val="auto"/>
              </w:rPr>
            </w:pPr>
          </w:p>
        </w:tc>
        <w:tc>
          <w:tcPr>
            <w:tcW w:w="340" w:type="dxa"/>
            <w:vAlign w:val="bottom"/>
            <w:gridSpan w:val="2"/>
            <w:shd w:val="clear" w:color="auto" w:fill="0000EE"/>
          </w:tcPr>
          <w:p>
            <w:pPr>
              <w:spacing w:after="0"/>
              <w:rPr>
                <w:sz w:val="2"/>
                <w:szCs w:val="2"/>
                <w:color w:val="auto"/>
              </w:rPr>
            </w:pPr>
          </w:p>
        </w:tc>
        <w:tc>
          <w:tcPr>
            <w:tcW w:w="2000" w:type="dxa"/>
            <w:vAlign w:val="bottom"/>
            <w:tcBorders>
              <w:left w:val="single" w:sz="8" w:color="0000EE"/>
            </w:tcBorders>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Borders>
              <w:left w:val="single" w:sz="8" w:color="0000EE"/>
            </w:tcBorders>
          </w:tcPr>
          <w:p>
            <w:pPr>
              <w:spacing w:after="0"/>
              <w:rPr>
                <w:sz w:val="2"/>
                <w:szCs w:val="2"/>
                <w:color w:val="auto"/>
              </w:rPr>
            </w:pPr>
          </w:p>
        </w:tc>
        <w:tc>
          <w:tcPr>
            <w:tcW w:w="360" w:type="dxa"/>
            <w:vAlign w:val="bottom"/>
          </w:tcPr>
          <w:p>
            <w:pPr>
              <w:spacing w:after="0"/>
              <w:rPr>
                <w:sz w:val="2"/>
                <w:szCs w:val="2"/>
                <w:color w:val="auto"/>
              </w:rPr>
            </w:pPr>
          </w:p>
        </w:tc>
      </w:tr>
      <w:tr>
        <w:trPr>
          <w:trHeight w:val="206"/>
        </w:trPr>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60" w:type="dxa"/>
            <w:vAlign w:val="bottom"/>
            <w:gridSpan w:val="15"/>
          </w:tcPr>
          <w:p>
            <w:pPr>
              <w:spacing w:after="0"/>
              <w:rPr>
                <w:rFonts w:ascii="Arial" w:cs="Arial" w:eastAsia="Arial" w:hAnsi="Arial"/>
                <w:sz w:val="17"/>
                <w:szCs w:val="17"/>
                <w:color w:val="0000EE"/>
              </w:rPr>
            </w:pPr>
            <w:hyperlink w:anchor="page6">
              <w:r>
                <w:rPr>
                  <w:rFonts w:ascii="Arial" w:cs="Arial" w:eastAsia="Arial" w:hAnsi="Arial"/>
                  <w:sz w:val="17"/>
                  <w:szCs w:val="17"/>
                  <w:color w:val="0000EE"/>
                </w:rPr>
                <w:t xml:space="preserve">Condensed Consolidated Statements of Income </w:t>
              </w:r>
            </w:hyperlink>
            <w:r>
              <w:rPr>
                <w:rFonts w:ascii="Arial" w:cs="Arial" w:eastAsia="Arial" w:hAnsi="Arial"/>
                <w:sz w:val="17"/>
                <w:szCs w:val="17"/>
                <w:color w:val="0000EE"/>
              </w:rPr>
              <w:t>for the Three and Nine Months Ended September 30, 2021 and 2020</w:t>
            </w:r>
          </w:p>
        </w:tc>
        <w:tc>
          <w:tcPr>
            <w:tcW w:w="500" w:type="dxa"/>
            <w:vAlign w:val="bottom"/>
            <w:gridSpan w:val="2"/>
          </w:tcPr>
          <w:p>
            <w:pPr>
              <w:jc w:val="center"/>
              <w:ind w:left="294"/>
              <w:spacing w:after="0"/>
              <w:rPr>
                <w:rFonts w:ascii="Arial" w:cs="Arial" w:eastAsia="Arial" w:hAnsi="Arial"/>
                <w:sz w:val="17"/>
                <w:szCs w:val="17"/>
                <w:color w:val="0000EE"/>
                <w:w w:val="84"/>
              </w:rPr>
            </w:pPr>
            <w:hyperlink w:anchor="page6">
              <w:r>
                <w:rPr>
                  <w:rFonts w:ascii="Arial" w:cs="Arial" w:eastAsia="Arial" w:hAnsi="Arial"/>
                  <w:sz w:val="17"/>
                  <w:szCs w:val="17"/>
                  <w:color w:val="0000EE"/>
                  <w:w w:val="84"/>
                </w:rPr>
                <w:t>4</w:t>
              </w:r>
            </w:hyperlink>
          </w:p>
        </w:tc>
        <w:tc>
          <w:tcPr>
            <w:tcW w:w="360" w:type="dxa"/>
            <w:vAlign w:val="bottom"/>
          </w:tcPr>
          <w:p>
            <w:pPr>
              <w:spacing w:after="0"/>
              <w:rPr>
                <w:sz w:val="17"/>
                <w:szCs w:val="17"/>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20" w:type="dxa"/>
            <w:vAlign w:val="bottom"/>
            <w:gridSpan w:val="14"/>
          </w:tcPr>
          <w:p>
            <w:pPr>
              <w:spacing w:after="0"/>
              <w:rPr>
                <w:rFonts w:ascii="Arial" w:cs="Arial" w:eastAsia="Arial" w:hAnsi="Arial"/>
                <w:sz w:val="17"/>
                <w:szCs w:val="17"/>
                <w:color w:val="0000EE"/>
                <w:w w:val="91"/>
              </w:rPr>
            </w:pPr>
            <w:hyperlink w:anchor="page7">
              <w:r>
                <w:rPr>
                  <w:rFonts w:ascii="Arial" w:cs="Arial" w:eastAsia="Arial" w:hAnsi="Arial"/>
                  <w:sz w:val="17"/>
                  <w:szCs w:val="17"/>
                  <w:color w:val="0000EE"/>
                  <w:w w:val="91"/>
                </w:rPr>
                <w:t xml:space="preserve">Condensed Consolidated Statements of Equity </w:t>
              </w:r>
            </w:hyperlink>
            <w:r>
              <w:rPr>
                <w:rFonts w:ascii="Arial" w:cs="Arial" w:eastAsia="Arial" w:hAnsi="Arial"/>
                <w:sz w:val="17"/>
                <w:szCs w:val="17"/>
                <w:color w:val="0000EE"/>
                <w:w w:val="91"/>
              </w:rPr>
              <w:t>for the Three and Nine Months Ended September 30, 2021 and 2020</w:t>
            </w:r>
          </w:p>
        </w:tc>
        <w:tc>
          <w:tcPr>
            <w:tcW w:w="1240" w:type="dxa"/>
            <w:vAlign w:val="bottom"/>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7">
              <w:r>
                <w:rPr>
                  <w:rFonts w:ascii="Arial" w:cs="Arial" w:eastAsia="Arial" w:hAnsi="Arial"/>
                  <w:sz w:val="17"/>
                  <w:szCs w:val="17"/>
                  <w:color w:val="0000EE"/>
                  <w:w w:val="84"/>
                </w:rPr>
                <w:t>5</w:t>
              </w:r>
            </w:hyperlink>
          </w:p>
        </w:tc>
        <w:tc>
          <w:tcPr>
            <w:tcW w:w="36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68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80" w:type="dxa"/>
            <w:vAlign w:val="bottom"/>
            <w:gridSpan w:val="12"/>
          </w:tcPr>
          <w:p>
            <w:pPr>
              <w:spacing w:after="0"/>
              <w:rPr>
                <w:rFonts w:ascii="Arial" w:cs="Arial" w:eastAsia="Arial" w:hAnsi="Arial"/>
                <w:sz w:val="17"/>
                <w:szCs w:val="17"/>
                <w:color w:val="0000EE"/>
                <w:w w:val="90"/>
              </w:rPr>
            </w:pPr>
            <w:hyperlink w:anchor="page9">
              <w:r>
                <w:rPr>
                  <w:rFonts w:ascii="Arial" w:cs="Arial" w:eastAsia="Arial" w:hAnsi="Arial"/>
                  <w:sz w:val="17"/>
                  <w:szCs w:val="17"/>
                  <w:color w:val="0000EE"/>
                  <w:w w:val="90"/>
                </w:rPr>
                <w:t xml:space="preserve">Condensed Consolidated Statements of Cash Flows </w:t>
              </w:r>
            </w:hyperlink>
            <w:r>
              <w:rPr>
                <w:rFonts w:ascii="Arial" w:cs="Arial" w:eastAsia="Arial" w:hAnsi="Arial"/>
                <w:sz w:val="17"/>
                <w:szCs w:val="17"/>
                <w:color w:val="0000EE"/>
                <w:w w:val="90"/>
              </w:rPr>
              <w:t>for the Nine Months Ended September 30, 2021 and 2020</w:t>
            </w:r>
          </w:p>
        </w:tc>
        <w:tc>
          <w:tcPr>
            <w:tcW w:w="1680" w:type="dxa"/>
            <w:vAlign w:val="bottom"/>
            <w:gridSpan w:val="3"/>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9">
              <w:r>
                <w:rPr>
                  <w:rFonts w:ascii="Arial" w:cs="Arial" w:eastAsia="Arial" w:hAnsi="Arial"/>
                  <w:sz w:val="17"/>
                  <w:szCs w:val="17"/>
                  <w:color w:val="0000EE"/>
                  <w:w w:val="84"/>
                </w:rPr>
                <w:t>7</w:t>
              </w:r>
            </w:hyperlink>
          </w:p>
        </w:tc>
        <w:tc>
          <w:tcPr>
            <w:tcW w:w="36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00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580" w:type="dxa"/>
            <w:vAlign w:val="bottom"/>
            <w:gridSpan w:val="12"/>
          </w:tcPr>
          <w:p>
            <w:pPr>
              <w:spacing w:after="0"/>
              <w:rPr>
                <w:rFonts w:ascii="Arial" w:cs="Arial" w:eastAsia="Arial" w:hAnsi="Arial"/>
                <w:sz w:val="17"/>
                <w:szCs w:val="17"/>
                <w:color w:val="0000EE"/>
              </w:rPr>
            </w:pPr>
            <w:hyperlink w:anchor="page10">
              <w:r>
                <w:rPr>
                  <w:rFonts w:ascii="Arial" w:cs="Arial" w:eastAsia="Arial" w:hAnsi="Arial"/>
                  <w:sz w:val="17"/>
                  <w:szCs w:val="17"/>
                  <w:color w:val="0000EE"/>
                </w:rPr>
                <w:t>Notes to Condensed Consolidated Financial Statements</w:t>
              </w:r>
            </w:hyperlink>
          </w:p>
        </w:tc>
        <w:tc>
          <w:tcPr>
            <w:tcW w:w="1680" w:type="dxa"/>
            <w:vAlign w:val="bottom"/>
            <w:gridSpan w:val="3"/>
          </w:tcPr>
          <w:p>
            <w:pPr>
              <w:spacing w:after="0"/>
              <w:rPr>
                <w:sz w:val="18"/>
                <w:szCs w:val="18"/>
                <w:color w:val="auto"/>
              </w:rPr>
            </w:pPr>
          </w:p>
        </w:tc>
        <w:tc>
          <w:tcPr>
            <w:tcW w:w="500" w:type="dxa"/>
            <w:vAlign w:val="bottom"/>
            <w:gridSpan w:val="2"/>
          </w:tcPr>
          <w:p>
            <w:pPr>
              <w:jc w:val="center"/>
              <w:ind w:left="294"/>
              <w:spacing w:after="0"/>
              <w:rPr>
                <w:rFonts w:ascii="Arial" w:cs="Arial" w:eastAsia="Arial" w:hAnsi="Arial"/>
                <w:sz w:val="17"/>
                <w:szCs w:val="17"/>
                <w:color w:val="0000EE"/>
                <w:w w:val="84"/>
              </w:rPr>
            </w:pPr>
            <w:hyperlink w:anchor="page10">
              <w:r>
                <w:rPr>
                  <w:rFonts w:ascii="Arial" w:cs="Arial" w:eastAsia="Arial" w:hAnsi="Arial"/>
                  <w:sz w:val="17"/>
                  <w:szCs w:val="17"/>
                  <w:color w:val="0000EE"/>
                  <w:w w:val="84"/>
                </w:rPr>
                <w:t>8</w:t>
              </w:r>
            </w:hyperlink>
          </w:p>
        </w:tc>
        <w:tc>
          <w:tcPr>
            <w:tcW w:w="360" w:type="dxa"/>
            <w:vAlign w:val="bottom"/>
          </w:tcPr>
          <w:p>
            <w:pPr>
              <w:spacing w:after="0"/>
              <w:rPr>
                <w:sz w:val="18"/>
                <w:szCs w:val="18"/>
                <w:color w:val="auto"/>
              </w:rPr>
            </w:pPr>
          </w:p>
        </w:tc>
      </w:tr>
      <w:tr>
        <w:trPr>
          <w:trHeight w:val="20"/>
        </w:trPr>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Item 2.</w:t>
              </w:r>
            </w:hyperlink>
          </w:p>
        </w:tc>
        <w:tc>
          <w:tcPr>
            <w:tcW w:w="9260" w:type="dxa"/>
            <w:vAlign w:val="bottom"/>
            <w:gridSpan w:val="15"/>
          </w:tcPr>
          <w:p>
            <w:pPr>
              <w:spacing w:after="0"/>
              <w:rPr>
                <w:rFonts w:ascii="Arial" w:cs="Arial" w:eastAsia="Arial" w:hAnsi="Arial"/>
                <w:sz w:val="17"/>
                <w:szCs w:val="17"/>
                <w:color w:val="0000EE"/>
              </w:rPr>
            </w:pPr>
            <w:hyperlink w:anchor="page31">
              <w:r>
                <w:rPr>
                  <w:rFonts w:ascii="Arial" w:cs="Arial" w:eastAsia="Arial" w:hAnsi="Arial"/>
                  <w:sz w:val="17"/>
                  <w:szCs w:val="17"/>
                  <w:color w:val="0000EE"/>
                </w:rPr>
                <w:t>Management's Discussion and Analysis of Financial Condition and Results of Operations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31">
              <w:r>
                <w:rPr>
                  <w:rFonts w:ascii="Arial" w:cs="Arial" w:eastAsia="Arial" w:hAnsi="Arial"/>
                  <w:sz w:val="17"/>
                  <w:szCs w:val="17"/>
                  <w:color w:val="0000EE"/>
                  <w:w w:val="94"/>
                </w:rPr>
                <w:t>29</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3.</w:t>
              </w:r>
            </w:hyperlink>
          </w:p>
        </w:tc>
        <w:tc>
          <w:tcPr>
            <w:tcW w:w="9260" w:type="dxa"/>
            <w:vAlign w:val="bottom"/>
            <w:gridSpan w:val="15"/>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Quantitative and Qualitative Disclosures About Market Risk</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0">
              <w:r>
                <w:rPr>
                  <w:rFonts w:ascii="Arial" w:cs="Arial" w:eastAsia="Arial" w:hAnsi="Arial"/>
                  <w:sz w:val="17"/>
                  <w:szCs w:val="17"/>
                  <w:color w:val="0000EE"/>
                  <w:w w:val="94"/>
                </w:rPr>
                <w:t>47</w:t>
              </w:r>
            </w:hyperlink>
          </w:p>
        </w:tc>
        <w:tc>
          <w:tcPr>
            <w:tcW w:w="360" w:type="dxa"/>
            <w:vAlign w:val="bottom"/>
          </w:tcPr>
          <w:p>
            <w:pPr>
              <w:spacing w:after="0"/>
              <w:rPr>
                <w:sz w:val="18"/>
                <w:szCs w:val="18"/>
                <w:color w:val="auto"/>
              </w:rPr>
            </w:pPr>
          </w:p>
        </w:tc>
      </w:tr>
      <w:tr>
        <w:trPr>
          <w:trHeight w:val="26"/>
        </w:trPr>
        <w:tc>
          <w:tcPr>
            <w:tcW w:w="480" w:type="dxa"/>
            <w:vAlign w:val="bottom"/>
            <w:shd w:val="clear" w:color="auto" w:fill="0000EE"/>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300" w:type="dxa"/>
            <w:vAlign w:val="bottom"/>
            <w:shd w:val="clear" w:color="auto" w:fill="0000EE"/>
          </w:tcPr>
          <w:p>
            <w:pPr>
              <w:spacing w:after="0"/>
              <w:rPr>
                <w:sz w:val="2"/>
                <w:szCs w:val="2"/>
                <w:color w:val="auto"/>
              </w:rPr>
            </w:pPr>
          </w:p>
        </w:tc>
        <w:tc>
          <w:tcPr>
            <w:tcW w:w="380" w:type="dxa"/>
            <w:vAlign w:val="bottom"/>
            <w:shd w:val="clear" w:color="auto" w:fill="0000EE"/>
          </w:tcPr>
          <w:p>
            <w:pPr>
              <w:spacing w:after="0"/>
              <w:rPr>
                <w:sz w:val="2"/>
                <w:szCs w:val="2"/>
                <w:color w:val="auto"/>
              </w:rPr>
            </w:pPr>
          </w:p>
        </w:tc>
        <w:tc>
          <w:tcPr>
            <w:tcW w:w="440" w:type="dxa"/>
            <w:vAlign w:val="bottom"/>
            <w:tcBorders>
              <w:left w:val="single" w:sz="8" w:color="0000EE"/>
            </w:tcBorders>
            <w:shd w:val="clear" w:color="auto" w:fill="0000EE"/>
          </w:tcPr>
          <w:p>
            <w:pPr>
              <w:spacing w:after="0"/>
              <w:rPr>
                <w:sz w:val="2"/>
                <w:szCs w:val="2"/>
                <w:color w:val="auto"/>
              </w:rPr>
            </w:pPr>
          </w:p>
        </w:tc>
        <w:tc>
          <w:tcPr>
            <w:tcW w:w="520" w:type="dxa"/>
            <w:vAlign w:val="bottom"/>
            <w:gridSpan w:val="2"/>
            <w:shd w:val="clear" w:color="auto" w:fill="0000EE"/>
          </w:tcPr>
          <w:p>
            <w:pPr>
              <w:spacing w:after="0"/>
              <w:rPr>
                <w:sz w:val="2"/>
                <w:szCs w:val="2"/>
                <w:color w:val="auto"/>
              </w:rPr>
            </w:pPr>
          </w:p>
        </w:tc>
        <w:tc>
          <w:tcPr>
            <w:tcW w:w="1940" w:type="dxa"/>
            <w:vAlign w:val="bottom"/>
            <w:gridSpan w:val="3"/>
            <w:shd w:val="clear" w:color="auto" w:fill="0000EE"/>
          </w:tcPr>
          <w:p>
            <w:pPr>
              <w:spacing w:after="0"/>
              <w:rPr>
                <w:sz w:val="2"/>
                <w:szCs w:val="2"/>
                <w:color w:val="auto"/>
              </w:rPr>
            </w:pPr>
          </w:p>
        </w:tc>
        <w:tc>
          <w:tcPr>
            <w:tcW w:w="5100" w:type="dxa"/>
            <w:vAlign w:val="bottom"/>
            <w:tcBorders>
              <w:left w:val="single" w:sz="8" w:color="0000EE"/>
            </w:tcBorders>
            <w:gridSpan w:val="6"/>
          </w:tcPr>
          <w:p>
            <w:pPr>
              <w:spacing w:after="0"/>
              <w:rPr>
                <w:sz w:val="2"/>
                <w:szCs w:val="2"/>
                <w:color w:val="auto"/>
              </w:rPr>
            </w:pPr>
          </w:p>
        </w:tc>
        <w:tc>
          <w:tcPr>
            <w:tcW w:w="500" w:type="dxa"/>
            <w:vAlign w:val="bottom"/>
            <w:gridSpan w:val="2"/>
          </w:tcPr>
          <w:p>
            <w:pPr>
              <w:spacing w:after="0"/>
              <w:rPr>
                <w:sz w:val="2"/>
                <w:szCs w:val="2"/>
                <w:color w:val="auto"/>
              </w:rPr>
            </w:pPr>
          </w:p>
        </w:tc>
        <w:tc>
          <w:tcPr>
            <w:tcW w:w="360" w:type="dxa"/>
            <w:vAlign w:val="bottom"/>
            <w:tcBorders>
              <w:left w:val="single" w:sz="8" w:color="0000EE"/>
            </w:tcBorders>
          </w:tcPr>
          <w:p>
            <w:pPr>
              <w:spacing w:after="0"/>
              <w:rPr>
                <w:sz w:val="2"/>
                <w:szCs w:val="2"/>
                <w:color w:val="auto"/>
              </w:rPr>
            </w:pPr>
          </w:p>
        </w:tc>
      </w:tr>
      <w:tr>
        <w:trPr>
          <w:trHeight w:val="206"/>
        </w:trPr>
        <w:tc>
          <w:tcPr>
            <w:tcW w:w="1100" w:type="dxa"/>
            <w:vAlign w:val="bottom"/>
            <w:gridSpan w:val="4"/>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Item 4.</w:t>
              </w:r>
            </w:hyperlink>
          </w:p>
        </w:tc>
        <w:tc>
          <w:tcPr>
            <w:tcW w:w="9260" w:type="dxa"/>
            <w:vAlign w:val="bottom"/>
            <w:gridSpan w:val="15"/>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Controls and Procedures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0">
              <w:r>
                <w:rPr>
                  <w:rFonts w:ascii="Arial" w:cs="Arial" w:eastAsia="Arial" w:hAnsi="Arial"/>
                  <w:sz w:val="17"/>
                  <w:szCs w:val="17"/>
                  <w:color w:val="0000EE"/>
                  <w:w w:val="94"/>
                </w:rPr>
                <w:t>47</w:t>
              </w:r>
            </w:hyperlink>
          </w:p>
        </w:tc>
        <w:tc>
          <w:tcPr>
            <w:tcW w:w="360" w:type="dxa"/>
            <w:vAlign w:val="bottom"/>
          </w:tcPr>
          <w:p>
            <w:pPr>
              <w:spacing w:after="0"/>
              <w:rPr>
                <w:sz w:val="17"/>
                <w:szCs w:val="17"/>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5100" w:type="dxa"/>
            <w:vAlign w:val="bottom"/>
            <w:gridSpan w:val="6"/>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457"/>
        </w:trPr>
        <w:tc>
          <w:tcPr>
            <w:tcW w:w="10360" w:type="dxa"/>
            <w:vAlign w:val="bottom"/>
            <w:gridSpan w:val="19"/>
          </w:tcPr>
          <w:p>
            <w:pPr>
              <w:spacing w:after="0"/>
              <w:rPr>
                <w:rFonts w:ascii="Arial" w:cs="Arial" w:eastAsia="Arial" w:hAnsi="Arial"/>
                <w:sz w:val="17"/>
                <w:szCs w:val="17"/>
                <w:b w:val="1"/>
                <w:bCs w:val="1"/>
                <w:color w:val="auto"/>
              </w:rPr>
            </w:pPr>
            <w:hyperlink w:anchor="page51">
              <w:r>
                <w:rPr>
                  <w:rFonts w:ascii="Arial" w:cs="Arial" w:eastAsia="Arial" w:hAnsi="Arial"/>
                  <w:sz w:val="17"/>
                  <w:szCs w:val="17"/>
                  <w:b w:val="1"/>
                  <w:bCs w:val="1"/>
                  <w:color w:val="auto"/>
                </w:rPr>
                <w:t>Part II - Other Information</w:t>
              </w:r>
            </w:hyperlink>
          </w:p>
        </w:tc>
        <w:tc>
          <w:tcPr>
            <w:tcW w:w="420" w:type="dxa"/>
            <w:vAlign w:val="bottom"/>
          </w:tcPr>
          <w:p>
            <w:pPr>
              <w:spacing w:after="0"/>
              <w:rPr>
                <w:sz w:val="24"/>
                <w:szCs w:val="24"/>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51">
              <w:r>
                <w:rPr>
                  <w:rFonts w:ascii="Arial" w:cs="Arial" w:eastAsia="Arial" w:hAnsi="Arial"/>
                  <w:sz w:val="12"/>
                  <w:szCs w:val="12"/>
                  <w:color w:val="0000EE"/>
                  <w:w w:val="74"/>
                </w:rPr>
                <w:t>49</w:t>
              </w:r>
            </w:hyperlink>
          </w:p>
        </w:tc>
        <w:tc>
          <w:tcPr>
            <w:tcW w:w="360" w:type="dxa"/>
            <w:vAlign w:val="bottom"/>
          </w:tcPr>
          <w:p>
            <w:pPr>
              <w:spacing w:after="0"/>
              <w:rPr>
                <w:sz w:val="24"/>
                <w:szCs w:val="24"/>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1.</w:t>
              </w:r>
            </w:hyperlink>
          </w:p>
        </w:tc>
        <w:tc>
          <w:tcPr>
            <w:tcW w:w="9260" w:type="dxa"/>
            <w:vAlign w:val="bottom"/>
            <w:gridSpan w:val="15"/>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Legal Proceedings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49</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62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Item 1A.</w:t>
              </w:r>
            </w:hyperlink>
          </w:p>
        </w:tc>
        <w:tc>
          <w:tcPr>
            <w:tcW w:w="480" w:type="dxa"/>
            <w:vAlign w:val="bottom"/>
            <w:gridSpan w:val="2"/>
          </w:tcPr>
          <w:p>
            <w:pPr>
              <w:spacing w:after="0"/>
              <w:rPr>
                <w:sz w:val="18"/>
                <w:szCs w:val="18"/>
                <w:color w:val="auto"/>
              </w:rPr>
            </w:pPr>
          </w:p>
        </w:tc>
        <w:tc>
          <w:tcPr>
            <w:tcW w:w="880" w:type="dxa"/>
            <w:vAlign w:val="bottom"/>
            <w:tcBorders>
              <w:bottom w:val="single" w:sz="8" w:color="0000EE"/>
            </w:tcBorders>
            <w:gridSpan w:val="2"/>
          </w:tcPr>
          <w:p>
            <w:pPr>
              <w:spacing w:after="0"/>
              <w:rPr>
                <w:rFonts w:ascii="Arial" w:cs="Arial" w:eastAsia="Arial" w:hAnsi="Arial"/>
                <w:sz w:val="17"/>
                <w:szCs w:val="17"/>
                <w:color w:val="0000EE"/>
                <w:w w:val="90"/>
              </w:rPr>
            </w:pPr>
            <w:hyperlink w:anchor="page52">
              <w:r>
                <w:rPr>
                  <w:rFonts w:ascii="Arial" w:cs="Arial" w:eastAsia="Arial" w:hAnsi="Arial"/>
                  <w:sz w:val="17"/>
                  <w:szCs w:val="17"/>
                  <w:color w:val="0000EE"/>
                  <w:w w:val="90"/>
                </w:rPr>
                <w:t>Risk Factors</w:t>
              </w:r>
            </w:hyperlink>
          </w:p>
        </w:tc>
        <w:tc>
          <w:tcPr>
            <w:tcW w:w="8380" w:type="dxa"/>
            <w:vAlign w:val="bottom"/>
            <w:gridSpan w:val="13"/>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Borders>
              <w:bottom w:val="single" w:sz="8" w:color="0000EE"/>
            </w:tcBorders>
          </w:tcPr>
          <w:p>
            <w:pPr>
              <w:jc w:val="center"/>
              <w:spacing w:after="0"/>
              <w:rPr>
                <w:rFonts w:ascii="Arial" w:cs="Arial" w:eastAsia="Arial" w:hAnsi="Arial"/>
                <w:sz w:val="12"/>
                <w:szCs w:val="12"/>
                <w:color w:val="0000EE"/>
                <w:w w:val="74"/>
              </w:rPr>
            </w:pPr>
            <w:hyperlink w:anchor="page52">
              <w:r>
                <w:rPr>
                  <w:rFonts w:ascii="Arial" w:cs="Arial" w:eastAsia="Arial" w:hAnsi="Arial"/>
                  <w:sz w:val="12"/>
                  <w:szCs w:val="12"/>
                  <w:color w:val="0000EE"/>
                  <w:w w:val="74"/>
                </w:rPr>
                <w:t>49</w:t>
              </w:r>
            </w:hyperlink>
          </w:p>
        </w:tc>
        <w:tc>
          <w:tcPr>
            <w:tcW w:w="360" w:type="dxa"/>
            <w:vAlign w:val="bottom"/>
          </w:tcPr>
          <w:p>
            <w:pPr>
              <w:spacing w:after="0"/>
              <w:rPr>
                <w:sz w:val="18"/>
                <w:szCs w:val="18"/>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Item 2.</w:t>
              </w:r>
            </w:hyperlink>
          </w:p>
        </w:tc>
        <w:tc>
          <w:tcPr>
            <w:tcW w:w="9260" w:type="dxa"/>
            <w:vAlign w:val="bottom"/>
            <w:gridSpan w:val="15"/>
          </w:tcPr>
          <w:p>
            <w:pPr>
              <w:spacing w:after="0"/>
              <w:rPr>
                <w:rFonts w:ascii="Arial" w:cs="Arial" w:eastAsia="Arial" w:hAnsi="Arial"/>
                <w:sz w:val="17"/>
                <w:szCs w:val="17"/>
                <w:color w:val="0000EE"/>
              </w:rPr>
            </w:pPr>
            <w:hyperlink w:anchor="page52">
              <w:r>
                <w:rPr>
                  <w:rFonts w:ascii="Arial" w:cs="Arial" w:eastAsia="Arial" w:hAnsi="Arial"/>
                  <w:sz w:val="17"/>
                  <w:szCs w:val="17"/>
                  <w:color w:val="0000EE"/>
                </w:rPr>
                <w:t>Unregistered Sales of Equity Securities and Use of Proceeds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2">
              <w:r>
                <w:rPr>
                  <w:rFonts w:ascii="Arial" w:cs="Arial" w:eastAsia="Arial" w:hAnsi="Arial"/>
                  <w:sz w:val="17"/>
                  <w:szCs w:val="17"/>
                  <w:color w:val="0000EE"/>
                  <w:w w:val="94"/>
                </w:rPr>
                <w:t>49</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3.</w:t>
              </w:r>
            </w:hyperlink>
          </w:p>
        </w:tc>
        <w:tc>
          <w:tcPr>
            <w:tcW w:w="9260" w:type="dxa"/>
            <w:vAlign w:val="bottom"/>
            <w:gridSpan w:val="1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Defaults Upon Senior Securities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50</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60" w:type="dxa"/>
            <w:vAlign w:val="bottom"/>
            <w:tcBorders>
              <w:left w:val="single" w:sz="8" w:color="0000EE"/>
            </w:tcBorders>
            <w:gridSpan w:val="3"/>
            <w:shd w:val="clear" w:color="auto" w:fill="0000EE"/>
          </w:tcPr>
          <w:p>
            <w:pPr>
              <w:spacing w:after="0" w:line="20" w:lineRule="exact"/>
              <w:rPr>
                <w:sz w:val="1"/>
                <w:szCs w:val="1"/>
                <w:color w:val="auto"/>
              </w:rPr>
            </w:pPr>
          </w:p>
        </w:tc>
        <w:tc>
          <w:tcPr>
            <w:tcW w:w="7040" w:type="dxa"/>
            <w:vAlign w:val="bottom"/>
            <w:gridSpan w:val="9"/>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4.</w:t>
              </w:r>
            </w:hyperlink>
          </w:p>
        </w:tc>
        <w:tc>
          <w:tcPr>
            <w:tcW w:w="9260" w:type="dxa"/>
            <w:vAlign w:val="bottom"/>
            <w:gridSpan w:val="1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Mine Safety Disclosures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50</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7560" w:type="dxa"/>
            <w:vAlign w:val="bottom"/>
            <w:gridSpan w:val="11"/>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5.</w:t>
              </w:r>
            </w:hyperlink>
          </w:p>
        </w:tc>
        <w:tc>
          <w:tcPr>
            <w:tcW w:w="9260" w:type="dxa"/>
            <w:vAlign w:val="bottom"/>
            <w:gridSpan w:val="1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Other Information</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50</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8000" w:type="dxa"/>
            <w:vAlign w:val="bottom"/>
            <w:gridSpan w:val="12"/>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Item 6.</w:t>
              </w:r>
            </w:hyperlink>
          </w:p>
        </w:tc>
        <w:tc>
          <w:tcPr>
            <w:tcW w:w="9260" w:type="dxa"/>
            <w:vAlign w:val="bottom"/>
            <w:gridSpan w:val="15"/>
          </w:tcPr>
          <w:p>
            <w:pPr>
              <w:spacing w:after="0"/>
              <w:rPr>
                <w:rFonts w:ascii="Arial" w:cs="Arial" w:eastAsia="Arial" w:hAnsi="Arial"/>
                <w:sz w:val="17"/>
                <w:szCs w:val="17"/>
                <w:color w:val="0000EE"/>
              </w:rPr>
            </w:pPr>
            <w:hyperlink w:anchor="page53">
              <w:r>
                <w:rPr>
                  <w:rFonts w:ascii="Arial" w:cs="Arial" w:eastAsia="Arial" w:hAnsi="Arial"/>
                  <w:sz w:val="17"/>
                  <w:szCs w:val="17"/>
                  <w:color w:val="0000EE"/>
                </w:rPr>
                <w:t>Exhibits</w:t>
              </w:r>
            </w:hyperlink>
          </w:p>
        </w:tc>
        <w:tc>
          <w:tcPr>
            <w:tcW w:w="500" w:type="dxa"/>
            <w:vAlign w:val="bottom"/>
            <w:gridSpan w:val="2"/>
          </w:tcPr>
          <w:p>
            <w:pPr>
              <w:jc w:val="center"/>
              <w:ind w:left="234"/>
              <w:spacing w:after="0"/>
              <w:rPr>
                <w:rFonts w:ascii="Arial" w:cs="Arial" w:eastAsia="Arial" w:hAnsi="Arial"/>
                <w:sz w:val="17"/>
                <w:szCs w:val="17"/>
                <w:color w:val="0000EE"/>
                <w:w w:val="94"/>
              </w:rPr>
            </w:pPr>
            <w:hyperlink w:anchor="page53">
              <w:r>
                <w:rPr>
                  <w:rFonts w:ascii="Arial" w:cs="Arial" w:eastAsia="Arial" w:hAnsi="Arial"/>
                  <w:sz w:val="17"/>
                  <w:szCs w:val="17"/>
                  <w:color w:val="0000EE"/>
                  <w:w w:val="94"/>
                </w:rPr>
                <w:t>51</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12"/>
        </w:trPr>
        <w:tc>
          <w:tcPr>
            <w:tcW w:w="1100" w:type="dxa"/>
            <w:vAlign w:val="bottom"/>
            <w:gridSpan w:val="4"/>
          </w:tcPr>
          <w:p>
            <w:pPr>
              <w:spacing w:after="0"/>
              <w:rPr>
                <w:rFonts w:ascii="Arial" w:cs="Arial" w:eastAsia="Arial" w:hAnsi="Arial"/>
                <w:sz w:val="17"/>
                <w:szCs w:val="17"/>
                <w:color w:val="0000EE"/>
              </w:rPr>
            </w:pPr>
            <w:hyperlink w:anchor="page54">
              <w:r>
                <w:rPr>
                  <w:rFonts w:ascii="Arial" w:cs="Arial" w:eastAsia="Arial" w:hAnsi="Arial"/>
                  <w:sz w:val="17"/>
                  <w:szCs w:val="17"/>
                  <w:color w:val="0000EE"/>
                </w:rPr>
                <w:t>Signatures</w:t>
              </w:r>
            </w:hyperlink>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00" w:type="dxa"/>
            <w:vAlign w:val="bottom"/>
            <w:gridSpan w:val="2"/>
          </w:tcPr>
          <w:p>
            <w:pPr>
              <w:jc w:val="center"/>
              <w:ind w:left="234"/>
              <w:spacing w:after="0"/>
              <w:rPr>
                <w:rFonts w:ascii="Arial" w:cs="Arial" w:eastAsia="Arial" w:hAnsi="Arial"/>
                <w:sz w:val="17"/>
                <w:szCs w:val="17"/>
                <w:color w:val="0000EE"/>
                <w:w w:val="94"/>
              </w:rPr>
            </w:pPr>
            <w:hyperlink w:anchor="page54">
              <w:r>
                <w:rPr>
                  <w:rFonts w:ascii="Arial" w:cs="Arial" w:eastAsia="Arial" w:hAnsi="Arial"/>
                  <w:sz w:val="17"/>
                  <w:szCs w:val="17"/>
                  <w:color w:val="0000EE"/>
                  <w:w w:val="94"/>
                </w:rPr>
                <w:t>52</w:t>
              </w:r>
            </w:hyperlink>
          </w:p>
        </w:tc>
        <w:tc>
          <w:tcPr>
            <w:tcW w:w="360" w:type="dxa"/>
            <w:vAlign w:val="bottom"/>
          </w:tcPr>
          <w:p>
            <w:pPr>
              <w:spacing w:after="0"/>
              <w:rPr>
                <w:sz w:val="18"/>
                <w:szCs w:val="18"/>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2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240"/>
          </w:cols>
          <w:pgMar w:left="320" w:top="230"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FORWARD-LOOKING STATEMENTS</w:t>
      </w:r>
    </w:p>
    <w:p>
      <w:pPr>
        <w:spacing w:after="0" w:line="223" w:lineRule="exact"/>
        <w:rPr>
          <w:sz w:val="20"/>
          <w:szCs w:val="20"/>
          <w:color w:val="auto"/>
        </w:rPr>
      </w:pPr>
    </w:p>
    <w:p>
      <w:pPr>
        <w:jc w:val="both"/>
        <w:ind w:firstLine="344"/>
        <w:spacing w:after="0" w:line="228"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(Securities Act), and Section 21E of the Securities Exchange Act of 1934, as amended (Exchange Act), about us and our industry that involve substantial risks and uncertainties. All statements other than statements of historical facts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95" w:lineRule="exact"/>
        <w:rPr>
          <w:sz w:val="20"/>
          <w:szCs w:val="20"/>
          <w:color w:val="auto"/>
        </w:rPr>
      </w:pP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financial and business performance, including key business metrics and any underlying assumptions thereunder;</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market opportunity and our ability to acquire new customers and retain existing customers;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expectations and timing related to commercial product launches;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success of our go-to-market strategy;</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scale our business and expand our offerings;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competitive advantages and growth strategies;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future capital requirements and sources and uses of cash;</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obtain funding for our future operations;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outcome of any known and unknown litigation and regulatory proceedings;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changes in domestic and foreign business, market, financial, political and legal conditions;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future global, regional or local economic and market conditions affecting the cannabis industry;</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development, effects and enforcement of and changes to laws and regulations, including with respect to the cannabis industry;</w:t>
      </w:r>
    </w:p>
    <w:p>
      <w:pPr>
        <w:ind w:left="620" w:hanging="307"/>
        <w:spacing w:after="0"/>
        <w:tabs>
          <w:tab w:leader="none" w:pos="620" w:val="left"/>
        </w:tabs>
        <w:numPr>
          <w:ilvl w:val="0"/>
          <w:numId w:val="1"/>
        </w:numPr>
        <w:rPr>
          <w:rFonts w:ascii="Arial" w:cs="Arial" w:eastAsia="Arial" w:hAnsi="Arial"/>
          <w:sz w:val="15"/>
          <w:szCs w:val="15"/>
          <w:color w:val="auto"/>
        </w:rPr>
      </w:pPr>
      <w:r>
        <w:rPr>
          <w:rFonts w:ascii="Arial" w:cs="Arial" w:eastAsia="Arial" w:hAnsi="Arial"/>
          <w:sz w:val="15"/>
          <w:szCs w:val="15"/>
          <w:color w:val="auto"/>
        </w:rPr>
        <w:t>our ability to successfully capitalize on new and existing cannabis markets, including our ability to successfully monetize our solutions in those markets;</w:t>
      </w:r>
    </w:p>
    <w:p>
      <w:pPr>
        <w:spacing w:after="0" w:line="8" w:lineRule="exact"/>
        <w:rPr>
          <w:rFonts w:ascii="Arial" w:cs="Arial" w:eastAsia="Arial" w:hAnsi="Arial"/>
          <w:sz w:val="15"/>
          <w:szCs w:val="15"/>
          <w:color w:val="auto"/>
        </w:rPr>
      </w:pP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manage future growth;</w:t>
      </w:r>
    </w:p>
    <w:p>
      <w:pPr>
        <w:ind w:left="620" w:hanging="307"/>
        <w:spacing w:after="0" w:line="221"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effects of competition on our future business;</w:t>
      </w:r>
    </w:p>
    <w:p>
      <w:pPr>
        <w:ind w:left="620" w:hanging="307"/>
        <w:spacing w:after="0" w:line="221" w:lineRule="auto"/>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success in retaining or recruiting, or changes required in, officers, key employees or directors;</w:t>
      </w:r>
    </w:p>
    <w:p>
      <w:pPr>
        <w:ind w:left="620" w:hanging="307"/>
        <w:spacing w:after="0" w:line="221" w:lineRule="auto"/>
        <w:tabs>
          <w:tab w:leader="none" w:pos="616" w:val="left"/>
        </w:tabs>
        <w:numPr>
          <w:ilvl w:val="0"/>
          <w:numId w:val="1"/>
        </w:numPr>
        <w:rPr>
          <w:rFonts w:ascii="Arial" w:cs="Arial" w:eastAsia="Arial" w:hAnsi="Arial"/>
          <w:sz w:val="17"/>
          <w:szCs w:val="17"/>
          <w:color w:val="auto"/>
        </w:rPr>
      </w:pPr>
      <w:r>
        <w:rPr>
          <w:rFonts w:ascii="Arial" w:cs="Arial" w:eastAsia="Arial" w:hAnsi="Arial"/>
          <w:sz w:val="17"/>
          <w:szCs w:val="17"/>
          <w:color w:val="auto"/>
        </w:rPr>
        <w:t>that we have identified a material weakness in our internal control over financial reporting which, if not corrected, could affect the reliability of our consolidated financial statements; and</w:t>
      </w:r>
    </w:p>
    <w:p>
      <w:pPr>
        <w:ind w:left="620" w:hanging="307"/>
        <w:spacing w:after="0"/>
        <w:tabs>
          <w:tab w:leader="none" w:pos="62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possibility that we may be adversely affected by other economic, business or competitive factors.</w:t>
      </w:r>
    </w:p>
    <w:p>
      <w:pPr>
        <w:spacing w:after="0" w:line="203" w:lineRule="exact"/>
        <w:rPr>
          <w:sz w:val="20"/>
          <w:szCs w:val="20"/>
          <w:color w:val="auto"/>
        </w:rPr>
      </w:pPr>
    </w:p>
    <w:p>
      <w:pPr>
        <w:jc w:val="both"/>
        <w:ind w:firstLine="344"/>
        <w:spacing w:after="0" w:line="227" w:lineRule="auto"/>
        <w:rPr>
          <w:sz w:val="20"/>
          <w:szCs w:val="20"/>
          <w:color w:val="auto"/>
        </w:rPr>
      </w:pPr>
      <w:r>
        <w:rPr>
          <w:rFonts w:ascii="Arial" w:cs="Arial" w:eastAsia="Arial" w:hAnsi="Arial"/>
          <w:sz w:val="17"/>
          <w:szCs w:val="17"/>
          <w:color w:val="auto"/>
        </w:rPr>
        <w:t>You should not rely on forward-looking statements as predictions of future events. We have based the forward-looking statements contained in this Quarterly Report on Form 10-Q primarily on our current expectations and projections about future events and trends that we believe may affect our business, financial condition, and operating results. The outcome of the events described in these forward-looking statements is subject to risks, uncertainties, and other factors described in the section titled “Risk Factors” and included in our Quarterly Report on Form 10-Q filed with the SEC on August 13, 2021.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97" w:lineRule="exact"/>
        <w:rPr>
          <w:sz w:val="20"/>
          <w:szCs w:val="20"/>
          <w:color w:val="auto"/>
        </w:rPr>
      </w:pPr>
    </w:p>
    <w:p>
      <w:pPr>
        <w:jc w:val="both"/>
        <w:ind w:firstLine="344"/>
        <w:spacing w:after="0" w:line="249"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on information available to us as of the date of this Quarterly Report on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spacing w:after="0" w:line="190" w:lineRule="exact"/>
        <w:rPr>
          <w:sz w:val="20"/>
          <w:szCs w:val="20"/>
          <w:color w:val="auto"/>
        </w:rPr>
      </w:pPr>
    </w:p>
    <w:p>
      <w:pPr>
        <w:jc w:val="both"/>
        <w:ind w:firstLine="344"/>
        <w:spacing w:after="0" w:line="246" w:lineRule="auto"/>
        <w:rPr>
          <w:sz w:val="20"/>
          <w:szCs w:val="20"/>
          <w:color w:val="auto"/>
        </w:rPr>
      </w:pPr>
      <w:r>
        <w:rPr>
          <w:rFonts w:ascii="Arial" w:cs="Arial" w:eastAsia="Arial" w:hAnsi="Arial"/>
          <w:sz w:val="16"/>
          <w:szCs w:val="16"/>
          <w:color w:val="auto"/>
        </w:rPr>
        <w:t>The forward-looking statements made in this Quarterly Report on Form 10-Q relate only to events as of the date on which the statements are made.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pgSz w:w="11900" w:h="16838" w:orient="portrait"/>
          <w:cols w:equalWidth="0" w:num="1">
            <w:col w:w="11240"/>
          </w:cols>
          <w:pgMar w:left="320" w:top="230"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 - Financial Information</w:t>
      </w:r>
    </w:p>
    <w:p>
      <w:pPr>
        <w:spacing w:after="0" w:line="114"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00" w:lineRule="exact"/>
        <w:rPr>
          <w:sz w:val="20"/>
          <w:szCs w:val="20"/>
          <w:color w:val="auto"/>
        </w:rPr>
      </w:pPr>
    </w:p>
    <w:p>
      <w:pPr>
        <w:spacing w:after="0" w:line="384"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0139"/>
          </w:cols>
          <w:pgMar w:left="320" w:top="23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95"/>
        </w:trPr>
        <w:tc>
          <w:tcPr>
            <w:tcW w:w="724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6280" w:type="dxa"/>
            <w:vAlign w:val="bottom"/>
            <w:gridSpan w:val="2"/>
          </w:tcPr>
          <w:p>
            <w:pPr>
              <w:jc w:val="center"/>
              <w:ind w:left="2434"/>
              <w:spacing w:after="0"/>
              <w:rPr>
                <w:sz w:val="20"/>
                <w:szCs w:val="20"/>
                <w:color w:val="auto"/>
              </w:rPr>
            </w:pPr>
            <w:r>
              <w:rPr>
                <w:rFonts w:ascii="Arial" w:cs="Arial" w:eastAsia="Arial" w:hAnsi="Arial"/>
                <w:sz w:val="17"/>
                <w:szCs w:val="17"/>
                <w:b w:val="1"/>
                <w:bCs w:val="1"/>
                <w:color w:val="auto"/>
              </w:rPr>
              <w:t>WM TECHNOLOGY, INC. AND SUBSIDIARIES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8060" w:type="dxa"/>
            <w:vAlign w:val="bottom"/>
            <w:gridSpan w:val="4"/>
          </w:tcPr>
          <w:p>
            <w:pPr>
              <w:jc w:val="center"/>
              <w:ind w:left="674"/>
              <w:spacing w:after="0"/>
              <w:rPr>
                <w:sz w:val="20"/>
                <w:szCs w:val="20"/>
                <w:color w:val="auto"/>
              </w:rPr>
            </w:pPr>
            <w:r>
              <w:rPr>
                <w:rFonts w:ascii="Arial" w:cs="Arial" w:eastAsia="Arial" w:hAnsi="Arial"/>
                <w:sz w:val="17"/>
                <w:szCs w:val="17"/>
                <w:b w:val="1"/>
                <w:bCs w:val="1"/>
                <w:color w:val="auto"/>
              </w:rPr>
              <w:t>CONDENSED CONSOLIDATED BALANCE SHEETS</w:t>
            </w: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6020" w:type="dxa"/>
            <w:vAlign w:val="bottom"/>
          </w:tcPr>
          <w:p>
            <w:pPr>
              <w:jc w:val="center"/>
              <w:ind w:left="2694"/>
              <w:spacing w:after="0"/>
              <w:rPr>
                <w:sz w:val="20"/>
                <w:szCs w:val="20"/>
                <w:color w:val="auto"/>
              </w:rPr>
            </w:pPr>
            <w:r>
              <w:rPr>
                <w:rFonts w:ascii="Arial" w:cs="Arial" w:eastAsia="Arial" w:hAnsi="Arial"/>
                <w:sz w:val="17"/>
                <w:szCs w:val="17"/>
                <w:b w:val="1"/>
                <w:bCs w:val="1"/>
                <w:color w:val="auto"/>
                <w:w w:val="93"/>
              </w:rPr>
              <w:t>(Unaudited)</w:t>
            </w:r>
          </w:p>
        </w:tc>
        <w:tc>
          <w:tcPr>
            <w:tcW w:w="2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6020" w:type="dxa"/>
            <w:vAlign w:val="bottom"/>
          </w:tcPr>
          <w:p>
            <w:pPr>
              <w:jc w:val="center"/>
              <w:ind w:left="2694"/>
              <w:spacing w:after="0"/>
              <w:rPr>
                <w:sz w:val="20"/>
                <w:szCs w:val="20"/>
                <w:color w:val="auto"/>
              </w:rPr>
            </w:pPr>
            <w:r>
              <w:rPr>
                <w:rFonts w:ascii="Arial" w:cs="Arial" w:eastAsia="Arial" w:hAnsi="Arial"/>
                <w:sz w:val="17"/>
                <w:szCs w:val="17"/>
                <w:b w:val="1"/>
                <w:bCs w:val="1"/>
                <w:color w:val="auto"/>
                <w:w w:val="90"/>
              </w:rPr>
              <w:t>(In thousands, except for share data)</w:t>
            </w:r>
          </w:p>
        </w:tc>
        <w:tc>
          <w:tcPr>
            <w:tcW w:w="2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9"/>
        </w:trPr>
        <w:tc>
          <w:tcPr>
            <w:tcW w:w="12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2"/>
          </w:tcPr>
          <w:p>
            <w:pPr>
              <w:spacing w:after="0"/>
              <w:rPr>
                <w:sz w:val="20"/>
                <w:szCs w:val="20"/>
                <w:color w:val="auto"/>
              </w:rPr>
            </w:pPr>
            <w:r>
              <w:rPr>
                <w:rFonts w:ascii="Arial" w:cs="Arial" w:eastAsia="Arial" w:hAnsi="Arial"/>
                <w:sz w:val="17"/>
                <w:szCs w:val="17"/>
                <w:b w:val="1"/>
                <w:bCs w:val="1"/>
                <w:color w:val="auto"/>
              </w:rPr>
              <w:t>September 30, 2021</w:t>
            </w:r>
          </w:p>
        </w:tc>
        <w:tc>
          <w:tcPr>
            <w:tcW w:w="200" w:type="dxa"/>
            <w:vAlign w:val="bottom"/>
          </w:tcPr>
          <w:p>
            <w:pPr>
              <w:spacing w:after="0"/>
              <w:rPr>
                <w:sz w:val="24"/>
                <w:szCs w:val="24"/>
                <w:color w:val="auto"/>
              </w:rPr>
            </w:pPr>
          </w:p>
        </w:tc>
        <w:tc>
          <w:tcPr>
            <w:tcW w:w="1760" w:type="dxa"/>
            <w:vAlign w:val="bottom"/>
          </w:tcPr>
          <w:p>
            <w:pPr>
              <w:jc w:val="right"/>
              <w:ind w:right="194"/>
              <w:spacing w:after="0"/>
              <w:rPr>
                <w:sz w:val="20"/>
                <w:szCs w:val="20"/>
                <w:color w:val="auto"/>
              </w:rPr>
            </w:pPr>
            <w:r>
              <w:rPr>
                <w:rFonts w:ascii="Arial" w:cs="Arial" w:eastAsia="Arial" w:hAnsi="Arial"/>
                <w:sz w:val="17"/>
                <w:szCs w:val="17"/>
                <w:b w:val="1"/>
                <w:bCs w:val="1"/>
                <w:color w:val="auto"/>
                <w:w w:val="95"/>
              </w:rPr>
              <w:t>December 31, 2020</w:t>
            </w:r>
          </w:p>
        </w:tc>
        <w:tc>
          <w:tcPr>
            <w:tcW w:w="0" w:type="dxa"/>
            <w:vAlign w:val="bottom"/>
          </w:tcPr>
          <w:p>
            <w:pPr>
              <w:spacing w:after="0"/>
              <w:rPr>
                <w:sz w:val="1"/>
                <w:szCs w:val="1"/>
                <w:color w:val="auto"/>
              </w:rPr>
            </w:pPr>
          </w:p>
        </w:tc>
      </w:tr>
      <w:tr>
        <w:trPr>
          <w:trHeight w:val="200"/>
        </w:trPr>
        <w:tc>
          <w:tcPr>
            <w:tcW w:w="72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Current assets</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77,935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Accounts receivable, net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12,784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9,428</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15,338</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4,820</w:t>
            </w:r>
          </w:p>
        </w:tc>
        <w:tc>
          <w:tcPr>
            <w:tcW w:w="0" w:type="dxa"/>
            <w:vAlign w:val="bottom"/>
          </w:tcPr>
          <w:p>
            <w:pPr>
              <w:spacing w:after="0"/>
              <w:rPr>
                <w:sz w:val="1"/>
                <w:szCs w:val="1"/>
                <w:color w:val="auto"/>
              </w:rPr>
            </w:pPr>
          </w:p>
        </w:tc>
      </w:tr>
      <w:tr>
        <w:trPr>
          <w:trHeight w:val="211"/>
        </w:trPr>
        <w:tc>
          <w:tcPr>
            <w:tcW w:w="7240" w:type="dxa"/>
            <w:vAlign w:val="bottom"/>
            <w:gridSpan w:val="2"/>
          </w:tcPr>
          <w:p>
            <w:pPr>
              <w:ind w:left="320"/>
              <w:spacing w:after="0"/>
              <w:rPr>
                <w:sz w:val="20"/>
                <w:szCs w:val="20"/>
                <w:color w:val="auto"/>
              </w:rPr>
            </w:pPr>
            <w:r>
              <w:rPr>
                <w:rFonts w:ascii="Arial" w:cs="Arial" w:eastAsia="Arial" w:hAnsi="Arial"/>
                <w:sz w:val="17"/>
                <w:szCs w:val="17"/>
                <w:color w:val="auto"/>
              </w:rPr>
              <w:t>Total current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106,057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34,167</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10,031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7,387</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45,658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3,961</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8,446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Right-of-use assets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37,673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Deferred tax assets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147,972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Other assets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6,787</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3,874</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assets</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53,894</w:t>
            </w:r>
          </w:p>
        </w:tc>
        <w:tc>
          <w:tcPr>
            <w:tcW w:w="0" w:type="dxa"/>
            <w:vAlign w:val="bottom"/>
          </w:tcPr>
          <w:p>
            <w:pPr>
              <w:spacing w:after="0"/>
              <w:rPr>
                <w:sz w:val="1"/>
                <w:szCs w:val="1"/>
                <w:color w:val="auto"/>
              </w:rPr>
            </w:pPr>
          </w:p>
        </w:tc>
      </w:tr>
      <w:tr>
        <w:trPr>
          <w:trHeight w:val="20"/>
        </w:trPr>
        <w:tc>
          <w:tcPr>
            <w:tcW w:w="72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2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Pr>
          <w:p>
            <w:pPr>
              <w:jc w:val="right"/>
              <w:spacing w:after="0"/>
              <w:rPr>
                <w:sz w:val="20"/>
                <w:szCs w:val="20"/>
                <w:color w:val="auto"/>
              </w:rPr>
            </w:pPr>
            <w:r>
              <w:rPr>
                <w:rFonts w:ascii="Arial" w:cs="Arial" w:eastAsia="Arial" w:hAnsi="Arial"/>
                <w:sz w:val="17"/>
                <w:szCs w:val="17"/>
                <w:color w:val="auto"/>
              </w:rPr>
              <w:t>23,881</w:t>
            </w:r>
          </w:p>
        </w:tc>
        <w:tc>
          <w:tcPr>
            <w:tcW w:w="8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12,651</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7,759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5,264</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Deferred rent</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5,129</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Operating lease liabilities, 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Notes payable to members</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205</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current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1"/>
        </w:trPr>
        <w:tc>
          <w:tcPr>
            <w:tcW w:w="7240" w:type="dxa"/>
            <w:vAlign w:val="bottom"/>
            <w:gridSpan w:val="2"/>
          </w:tcPr>
          <w:p>
            <w:pPr>
              <w:ind w:left="320"/>
              <w:spacing w:after="0"/>
              <w:rPr>
                <w:sz w:val="20"/>
                <w:szCs w:val="20"/>
                <w:color w:val="auto"/>
              </w:rPr>
            </w:pPr>
            <w:r>
              <w:rPr>
                <w:rFonts w:ascii="Arial" w:cs="Arial" w:eastAsia="Arial" w:hAnsi="Arial"/>
                <w:sz w:val="17"/>
                <w:szCs w:val="17"/>
                <w:color w:val="auto"/>
              </w:rPr>
              <w:t>Total current liabilities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37,896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23,249</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lease liabilities, non-current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40,813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Tax receivable agreement liability</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126,150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Warrant liability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110,350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Other long-term liabilities</w:t>
            </w:r>
          </w:p>
        </w:tc>
        <w:tc>
          <w:tcPr>
            <w:tcW w:w="260" w:type="dxa"/>
            <w:vAlign w:val="bottom"/>
          </w:tcPr>
          <w:p>
            <w:pPr>
              <w:spacing w:after="0"/>
              <w:rPr>
                <w:sz w:val="18"/>
                <w:szCs w:val="18"/>
                <w:color w:val="auto"/>
              </w:rPr>
            </w:pPr>
          </w:p>
        </w:tc>
        <w:tc>
          <w:tcPr>
            <w:tcW w:w="17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1,374</w:t>
            </w:r>
          </w:p>
        </w:tc>
        <w:tc>
          <w:tcPr>
            <w:tcW w:w="0" w:type="dxa"/>
            <w:vAlign w:val="bottom"/>
          </w:tcPr>
          <w:p>
            <w:pPr>
              <w:spacing w:after="0"/>
              <w:rPr>
                <w:sz w:val="1"/>
                <w:szCs w:val="1"/>
                <w:color w:val="auto"/>
              </w:rPr>
            </w:pPr>
          </w:p>
        </w:tc>
      </w:tr>
      <w:tr>
        <w:trPr>
          <w:trHeight w:val="213"/>
        </w:trPr>
        <w:tc>
          <w:tcPr>
            <w:tcW w:w="7240" w:type="dxa"/>
            <w:vAlign w:val="bottom"/>
            <w:tcBorders>
              <w:top w:val="single" w:sz="8" w:color="CCEEFF"/>
            </w:tcBorders>
            <w:gridSpan w:val="2"/>
            <w:shd w:val="clear" w:color="auto" w:fill="CCEEFF"/>
          </w:tcPr>
          <w:p>
            <w:pPr>
              <w:ind w:left="320"/>
              <w:spacing w:after="0"/>
              <w:rPr>
                <w:sz w:val="20"/>
                <w:szCs w:val="20"/>
                <w:color w:val="auto"/>
              </w:rPr>
            </w:pPr>
            <w:r>
              <w:rPr>
                <w:rFonts w:ascii="Arial" w:cs="Arial" w:eastAsia="Arial" w:hAnsi="Arial"/>
                <w:sz w:val="17"/>
                <w:szCs w:val="17"/>
                <w:color w:val="auto"/>
              </w:rPr>
              <w:t>Total liabilities</w:t>
            </w:r>
          </w:p>
        </w:tc>
        <w:tc>
          <w:tcPr>
            <w:tcW w:w="26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315,209</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24,623</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0"/>
              <w:spacing w:after="0"/>
              <w:rPr>
                <w:sz w:val="20"/>
                <w:szCs w:val="20"/>
                <w:color w:val="auto"/>
              </w:rPr>
            </w:pPr>
            <w:r>
              <w:rPr>
                <w:rFonts w:ascii="Arial" w:cs="Arial" w:eastAsia="Arial" w:hAnsi="Arial"/>
                <w:sz w:val="17"/>
                <w:szCs w:val="17"/>
                <w:color w:val="auto"/>
              </w:rPr>
              <w:t>Commitments and contingencies (Note 4)</w:t>
            </w: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Stockholders’ equity/Members’ equity</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1"/>
              </w:rPr>
              <w:t>Preferred Stock - $0.0001 par value; 75,000,000 shares authorized; no shares issued and outstanding</w:t>
            </w:r>
          </w:p>
        </w:tc>
        <w:tc>
          <w:tcPr>
            <w:tcW w:w="260" w:type="dxa"/>
            <w:vAlign w:val="bottom"/>
          </w:tcPr>
          <w:p>
            <w:pPr>
              <w:spacing w:after="0"/>
              <w:rPr>
                <w:sz w:val="14"/>
                <w:szCs w:val="14"/>
                <w:color w:val="auto"/>
              </w:rPr>
            </w:pPr>
          </w:p>
        </w:tc>
        <w:tc>
          <w:tcPr>
            <w:tcW w:w="178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320"/>
              <w:spacing w:after="0"/>
              <w:rPr>
                <w:sz w:val="20"/>
                <w:szCs w:val="20"/>
                <w:color w:val="auto"/>
              </w:rPr>
            </w:pPr>
            <w:r>
              <w:rPr>
                <w:rFonts w:ascii="Arial" w:cs="Arial" w:eastAsia="Arial" w:hAnsi="Arial"/>
                <w:sz w:val="17"/>
                <w:szCs w:val="17"/>
                <w:color w:val="auto"/>
              </w:rPr>
              <w:t>at September 30, 2021 and December 31, 2020</w:t>
            </w:r>
          </w:p>
        </w:tc>
        <w:tc>
          <w:tcPr>
            <w:tcW w:w="260" w:type="dxa"/>
            <w:vAlign w:val="bottom"/>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240" w:type="dxa"/>
            <w:vAlign w:val="bottom"/>
            <w:gridSpan w:val="2"/>
            <w:shd w:val="clear" w:color="auto" w:fill="CCEEFF"/>
          </w:tcPr>
          <w:p>
            <w:pPr>
              <w:ind w:left="180"/>
              <w:spacing w:after="0" w:line="169" w:lineRule="exact"/>
              <w:rPr>
                <w:sz w:val="20"/>
                <w:szCs w:val="20"/>
                <w:color w:val="auto"/>
              </w:rPr>
            </w:pPr>
            <w:r>
              <w:rPr>
                <w:rFonts w:ascii="Arial" w:cs="Arial" w:eastAsia="Arial" w:hAnsi="Arial"/>
                <w:sz w:val="17"/>
                <w:szCs w:val="17"/>
                <w:color w:val="auto"/>
                <w:w w:val="95"/>
              </w:rPr>
              <w:t>Class A Common Stock - $0.0001 par value; 1,500,000,000 shares authorized; 65,677,361 shares</w:t>
            </w:r>
          </w:p>
        </w:tc>
        <w:tc>
          <w:tcPr>
            <w:tcW w:w="26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gridSpan w:val="2"/>
            <w:shd w:val="clear" w:color="auto" w:fill="CCEEFF"/>
          </w:tcPr>
          <w:p>
            <w:pPr>
              <w:ind w:left="320"/>
              <w:spacing w:after="0" w:line="167" w:lineRule="exact"/>
              <w:rPr>
                <w:sz w:val="20"/>
                <w:szCs w:val="20"/>
                <w:color w:val="auto"/>
              </w:rPr>
            </w:pPr>
            <w:r>
              <w:rPr>
                <w:rFonts w:ascii="Arial" w:cs="Arial" w:eastAsia="Arial" w:hAnsi="Arial"/>
                <w:sz w:val="17"/>
                <w:szCs w:val="17"/>
                <w:color w:val="auto"/>
                <w:w w:val="92"/>
              </w:rPr>
              <w:t>issued and outstanding at September 30, 2021 and no shares issued and outstanding at December</w:t>
            </w:r>
          </w:p>
        </w:tc>
        <w:tc>
          <w:tcPr>
            <w:tcW w:w="260" w:type="dxa"/>
            <w:vAlign w:val="bottom"/>
            <w:shd w:val="clear" w:color="auto" w:fill="CCEEFF"/>
          </w:tcPr>
          <w:p>
            <w:pPr>
              <w:spacing w:after="0"/>
              <w:rPr>
                <w:sz w:val="14"/>
                <w:szCs w:val="14"/>
                <w:color w:val="auto"/>
              </w:rPr>
            </w:pPr>
          </w:p>
        </w:tc>
        <w:tc>
          <w:tcPr>
            <w:tcW w:w="17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12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31, 2020</w:t>
            </w:r>
          </w:p>
        </w:tc>
        <w:tc>
          <w:tcPr>
            <w:tcW w:w="6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7240" w:type="dxa"/>
            <w:vAlign w:val="bottom"/>
            <w:gridSpan w:val="2"/>
          </w:tcPr>
          <w:p>
            <w:pPr>
              <w:ind w:left="180"/>
              <w:spacing w:after="0" w:line="168" w:lineRule="exact"/>
              <w:rPr>
                <w:sz w:val="20"/>
                <w:szCs w:val="20"/>
                <w:color w:val="auto"/>
              </w:rPr>
            </w:pPr>
            <w:r>
              <w:rPr>
                <w:rFonts w:ascii="Arial" w:cs="Arial" w:eastAsia="Arial" w:hAnsi="Arial"/>
                <w:sz w:val="17"/>
                <w:szCs w:val="17"/>
                <w:color w:val="auto"/>
                <w:w w:val="97"/>
              </w:rPr>
              <w:t>Class V Common Stock - $0.0001 par value; 500,000,000 shares authorized, 65,502,347 shares</w:t>
            </w:r>
          </w:p>
        </w:tc>
        <w:tc>
          <w:tcPr>
            <w:tcW w:w="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240" w:type="dxa"/>
            <w:vAlign w:val="bottom"/>
            <w:gridSpan w:val="2"/>
          </w:tcPr>
          <w:p>
            <w:pPr>
              <w:ind w:left="320"/>
              <w:spacing w:after="0" w:line="167" w:lineRule="exact"/>
              <w:rPr>
                <w:sz w:val="20"/>
                <w:szCs w:val="20"/>
                <w:color w:val="auto"/>
              </w:rPr>
            </w:pPr>
            <w:r>
              <w:rPr>
                <w:rFonts w:ascii="Arial" w:cs="Arial" w:eastAsia="Arial" w:hAnsi="Arial"/>
                <w:sz w:val="17"/>
                <w:szCs w:val="17"/>
                <w:color w:val="auto"/>
                <w:w w:val="92"/>
              </w:rPr>
              <w:t>issued and outstanding at September 30, 2021 and no shares issued and outstanding at December</w:t>
            </w:r>
          </w:p>
        </w:tc>
        <w:tc>
          <w:tcPr>
            <w:tcW w:w="26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220" w:type="dxa"/>
            <w:vAlign w:val="bottom"/>
          </w:tcPr>
          <w:p>
            <w:pPr>
              <w:ind w:left="320"/>
              <w:spacing w:after="0"/>
              <w:rPr>
                <w:sz w:val="20"/>
                <w:szCs w:val="20"/>
                <w:color w:val="auto"/>
              </w:rPr>
            </w:pPr>
            <w:r>
              <w:rPr>
                <w:rFonts w:ascii="Arial" w:cs="Arial" w:eastAsia="Arial" w:hAnsi="Arial"/>
                <w:sz w:val="17"/>
                <w:szCs w:val="17"/>
                <w:color w:val="auto"/>
              </w:rPr>
              <w:t>31, 2020</w:t>
            </w:r>
          </w:p>
        </w:tc>
        <w:tc>
          <w:tcPr>
            <w:tcW w:w="6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Retained earnings</w:t>
            </w:r>
          </w:p>
        </w:tc>
        <w:tc>
          <w:tcPr>
            <w:tcW w:w="2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26,084</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7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WM Technology, Inc. stockholders’ equity</w:t>
            </w:r>
          </w:p>
        </w:tc>
        <w:tc>
          <w:tcPr>
            <w:tcW w:w="26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22,506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7240" w:type="dxa"/>
            <w:vAlign w:val="bottom"/>
            <w:gridSpan w:val="2"/>
          </w:tcPr>
          <w:p>
            <w:pPr>
              <w:ind w:left="220"/>
              <w:spacing w:after="0"/>
              <w:rPr>
                <w:sz w:val="20"/>
                <w:szCs w:val="20"/>
                <w:color w:val="auto"/>
              </w:rPr>
            </w:pPr>
            <w:r>
              <w:rPr>
                <w:rFonts w:ascii="Arial" w:cs="Arial" w:eastAsia="Arial" w:hAnsi="Arial"/>
                <w:sz w:val="17"/>
                <w:szCs w:val="17"/>
                <w:color w:val="auto"/>
              </w:rPr>
              <w:t>Noncontrolling interests</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24,909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724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Members’ equity</w:t>
            </w:r>
          </w:p>
        </w:tc>
        <w:tc>
          <w:tcPr>
            <w:tcW w:w="2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29,271</w:t>
            </w:r>
          </w:p>
        </w:tc>
        <w:tc>
          <w:tcPr>
            <w:tcW w:w="0" w:type="dxa"/>
            <w:vAlign w:val="bottom"/>
          </w:tcPr>
          <w:p>
            <w:pPr>
              <w:spacing w:after="0"/>
              <w:rPr>
                <w:sz w:val="1"/>
                <w:szCs w:val="1"/>
                <w:color w:val="auto"/>
              </w:rPr>
            </w:pPr>
          </w:p>
        </w:tc>
      </w:tr>
      <w:tr>
        <w:trPr>
          <w:trHeight w:val="211"/>
        </w:trPr>
        <w:tc>
          <w:tcPr>
            <w:tcW w:w="7240" w:type="dxa"/>
            <w:vAlign w:val="bottom"/>
            <w:tcBorders>
              <w:bottom w:val="single" w:sz="8" w:color="CCEEFF"/>
            </w:tcBorders>
            <w:gridSpan w:val="2"/>
          </w:tcPr>
          <w:p>
            <w:pPr>
              <w:ind w:left="320"/>
              <w:spacing w:after="0"/>
              <w:rPr>
                <w:sz w:val="20"/>
                <w:szCs w:val="20"/>
                <w:color w:val="auto"/>
              </w:rPr>
            </w:pPr>
            <w:r>
              <w:rPr>
                <w:rFonts w:ascii="Arial" w:cs="Arial" w:eastAsia="Arial" w:hAnsi="Arial"/>
                <w:sz w:val="17"/>
                <w:szCs w:val="17"/>
                <w:color w:val="auto"/>
              </w:rPr>
              <w:t>Total equity</w:t>
            </w:r>
          </w:p>
        </w:tc>
        <w:tc>
          <w:tcPr>
            <w:tcW w:w="260" w:type="dxa"/>
            <w:vAlign w:val="bottom"/>
            <w:tcBorders>
              <w:top w:val="single" w:sz="8" w:color="auto"/>
              <w:bottom w:val="single" w:sz="8" w:color="auto"/>
            </w:tcBorders>
          </w:tcPr>
          <w:p>
            <w:pPr>
              <w:spacing w:after="0"/>
              <w:rPr>
                <w:sz w:val="18"/>
                <w:szCs w:val="18"/>
                <w:color w:val="auto"/>
              </w:rPr>
            </w:pP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47,415</w:t>
            </w:r>
          </w:p>
        </w:tc>
        <w:tc>
          <w:tcPr>
            <w:tcW w:w="8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29,271</w:t>
            </w:r>
          </w:p>
        </w:tc>
        <w:tc>
          <w:tcPr>
            <w:tcW w:w="0" w:type="dxa"/>
            <w:vAlign w:val="bottom"/>
          </w:tcPr>
          <w:p>
            <w:pPr>
              <w:spacing w:after="0"/>
              <w:rPr>
                <w:sz w:val="1"/>
                <w:szCs w:val="1"/>
                <w:color w:val="auto"/>
              </w:rPr>
            </w:pPr>
          </w:p>
        </w:tc>
      </w:tr>
      <w:tr>
        <w:trPr>
          <w:trHeight w:val="238"/>
        </w:trPr>
        <w:tc>
          <w:tcPr>
            <w:tcW w:w="72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equity/members’ equity</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362,624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53,894</w:t>
            </w:r>
          </w:p>
        </w:tc>
        <w:tc>
          <w:tcPr>
            <w:tcW w:w="0" w:type="dxa"/>
            <w:vAlign w:val="bottom"/>
          </w:tcPr>
          <w:p>
            <w:pPr>
              <w:spacing w:after="0"/>
              <w:rPr>
                <w:sz w:val="1"/>
                <w:szCs w:val="1"/>
                <w:color w:val="auto"/>
              </w:rPr>
            </w:pP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40"/>
          </w:cols>
          <w:pgMar w:left="320" w:top="21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95"/>
        </w:trPr>
        <w:tc>
          <w:tcPr>
            <w:tcW w:w="372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2500" w:type="dxa"/>
            <w:vAlign w:val="bottom"/>
          </w:tcPr>
          <w:p>
            <w:pPr>
              <w:spacing w:after="0"/>
              <w:rPr>
                <w:sz w:val="24"/>
                <w:szCs w:val="24"/>
                <w:color w:val="auto"/>
              </w:rPr>
            </w:pPr>
          </w:p>
        </w:tc>
        <w:tc>
          <w:tcPr>
            <w:tcW w:w="4580" w:type="dxa"/>
            <w:vAlign w:val="bottom"/>
            <w:gridSpan w:val="7"/>
          </w:tcPr>
          <w:p>
            <w:pPr>
              <w:jc w:val="center"/>
              <w:ind w:right="780"/>
              <w:spacing w:after="0"/>
              <w:rPr>
                <w:sz w:val="20"/>
                <w:szCs w:val="20"/>
                <w:color w:val="auto"/>
              </w:rPr>
            </w:pPr>
            <w:r>
              <w:rPr>
                <w:rFonts w:ascii="Arial" w:cs="Arial" w:eastAsia="Arial" w:hAnsi="Arial"/>
                <w:sz w:val="17"/>
                <w:szCs w:val="17"/>
                <w:b w:val="1"/>
                <w:bCs w:val="1"/>
                <w:color w:val="auto"/>
              </w:rPr>
              <w:t>WM TECHNOLOGY, INC. AND SUBSIDIARIES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80" w:type="dxa"/>
            <w:vAlign w:val="bottom"/>
            <w:gridSpan w:val="8"/>
          </w:tcPr>
          <w:p>
            <w:pPr>
              <w:jc w:val="center"/>
              <w:ind w:left="1654"/>
              <w:spacing w:after="0"/>
              <w:rPr>
                <w:sz w:val="20"/>
                <w:szCs w:val="20"/>
                <w:color w:val="auto"/>
              </w:rPr>
            </w:pPr>
            <w:r>
              <w:rPr>
                <w:rFonts w:ascii="Arial" w:cs="Arial" w:eastAsia="Arial" w:hAnsi="Arial"/>
                <w:sz w:val="17"/>
                <w:szCs w:val="17"/>
                <w:b w:val="1"/>
                <w:bCs w:val="1"/>
                <w:color w:val="auto"/>
              </w:rPr>
              <w:t>CONDENSED CONSOLIDATED STATEMENTS OF INCOME</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080" w:type="dxa"/>
            <w:vAlign w:val="bottom"/>
            <w:gridSpan w:val="4"/>
          </w:tcPr>
          <w:p>
            <w:pPr>
              <w:jc w:val="center"/>
              <w:ind w:left="634"/>
              <w:spacing w:after="0"/>
              <w:rPr>
                <w:sz w:val="20"/>
                <w:szCs w:val="20"/>
                <w:color w:val="auto"/>
              </w:rPr>
            </w:pPr>
            <w:r>
              <w:rPr>
                <w:rFonts w:ascii="Arial" w:cs="Arial" w:eastAsia="Arial" w:hAnsi="Arial"/>
                <w:sz w:val="17"/>
                <w:szCs w:val="17"/>
                <w:b w:val="1"/>
                <w:bCs w:val="1"/>
                <w:color w:val="auto"/>
                <w:w w:val="93"/>
              </w:rPr>
              <w:t>(Unaudited)</w:t>
            </w: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3440" w:type="dxa"/>
            <w:vAlign w:val="bottom"/>
            <w:gridSpan w:val="5"/>
          </w:tcPr>
          <w:p>
            <w:pPr>
              <w:jc w:val="center"/>
              <w:ind w:left="274"/>
              <w:spacing w:after="0"/>
              <w:rPr>
                <w:sz w:val="20"/>
                <w:szCs w:val="20"/>
                <w:color w:val="auto"/>
              </w:rPr>
            </w:pPr>
            <w:r>
              <w:rPr>
                <w:rFonts w:ascii="Arial" w:cs="Arial" w:eastAsia="Arial" w:hAnsi="Arial"/>
                <w:sz w:val="17"/>
                <w:szCs w:val="17"/>
                <w:b w:val="1"/>
                <w:bCs w:val="1"/>
                <w:color w:val="auto"/>
                <w:w w:val="90"/>
              </w:rPr>
              <w:t>(In thousands, except for share data)</w:t>
            </w: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ind w:left="20"/>
              <w:spacing w:after="0"/>
              <w:rPr>
                <w:sz w:val="20"/>
                <w:szCs w:val="20"/>
                <w:color w:val="auto"/>
              </w:rPr>
            </w:pPr>
            <w:r>
              <w:rPr>
                <w:rFonts w:ascii="Arial" w:cs="Arial" w:eastAsia="Arial" w:hAnsi="Arial"/>
                <w:sz w:val="17"/>
                <w:szCs w:val="17"/>
                <w:b w:val="1"/>
                <w:bCs w:val="1"/>
                <w:color w:val="auto"/>
                <w:w w:val="98"/>
              </w:rPr>
              <w:t>Three Months Ended September 30,</w:t>
            </w:r>
          </w:p>
        </w:tc>
        <w:tc>
          <w:tcPr>
            <w:tcW w:w="160" w:type="dxa"/>
            <w:vAlign w:val="bottom"/>
          </w:tcPr>
          <w:p>
            <w:pPr>
              <w:spacing w:after="0"/>
              <w:rPr>
                <w:sz w:val="24"/>
                <w:szCs w:val="24"/>
                <w:color w:val="auto"/>
              </w:rPr>
            </w:pPr>
          </w:p>
        </w:tc>
        <w:tc>
          <w:tcPr>
            <w:tcW w:w="2780" w:type="dxa"/>
            <w:vAlign w:val="bottom"/>
            <w:gridSpan w:val="4"/>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213"/>
        </w:trPr>
        <w:tc>
          <w:tcPr>
            <w:tcW w:w="1220" w:type="dxa"/>
            <w:vAlign w:val="bottom"/>
            <w:tcBorders>
              <w:bottom w:val="single" w:sz="8" w:color="CCEEFF"/>
            </w:tcBorders>
          </w:tcPr>
          <w:p>
            <w:pPr>
              <w:spacing w:after="0"/>
              <w:rPr>
                <w:sz w:val="18"/>
                <w:szCs w:val="18"/>
                <w:color w:val="auto"/>
              </w:rPr>
            </w:pPr>
          </w:p>
        </w:tc>
        <w:tc>
          <w:tcPr>
            <w:tcW w:w="2500" w:type="dxa"/>
            <w:vAlign w:val="bottom"/>
            <w:tcBorders>
              <w:bottom w:val="single" w:sz="8" w:color="CCEEFF"/>
            </w:tcBorders>
          </w:tcPr>
          <w:p>
            <w:pPr>
              <w:spacing w:after="0"/>
              <w:rPr>
                <w:sz w:val="18"/>
                <w:szCs w:val="18"/>
                <w:color w:val="auto"/>
              </w:rPr>
            </w:pPr>
          </w:p>
        </w:tc>
        <w:tc>
          <w:tcPr>
            <w:tcW w:w="1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2"/>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45"/>
        </w:trPr>
        <w:tc>
          <w:tcPr>
            <w:tcW w:w="3720" w:type="dxa"/>
            <w:vAlign w:val="bottom"/>
            <w:gridSpan w:val="2"/>
          </w:tcPr>
          <w:p>
            <w:pPr>
              <w:spacing w:after="0"/>
              <w:rPr>
                <w:sz w:val="21"/>
                <w:szCs w:val="21"/>
                <w:color w:val="auto"/>
              </w:rPr>
            </w:pPr>
          </w:p>
        </w:tc>
        <w:tc>
          <w:tcPr>
            <w:tcW w:w="1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19"/>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Cost of revenues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2,109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5,800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5,572</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Sales and marketing</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21,437</w:t>
            </w: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Product development</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7,782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6,923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25,921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20,325</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General and administrative</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37,147</w:t>
            </w:r>
          </w:p>
        </w:tc>
      </w:tr>
      <w:tr>
        <w:trPr>
          <w:trHeight w:val="218"/>
        </w:trPr>
        <w:tc>
          <w:tcPr>
            <w:tcW w:w="3720" w:type="dxa"/>
            <w:vAlign w:val="bottom"/>
            <w:tcBorders>
              <w:bottom w:val="single" w:sz="8" w:color="CCEEFF"/>
            </w:tcBorders>
            <w:gridSpan w:val="2"/>
          </w:tcPr>
          <w:p>
            <w:pPr>
              <w:ind w:left="120"/>
              <w:spacing w:after="0"/>
              <w:rPr>
                <w:sz w:val="20"/>
                <w:szCs w:val="20"/>
                <w:color w:val="auto"/>
              </w:rPr>
            </w:pPr>
            <w:r>
              <w:rPr>
                <w:rFonts w:ascii="Arial" w:cs="Arial" w:eastAsia="Arial" w:hAnsi="Arial"/>
                <w:sz w:val="17"/>
                <w:szCs w:val="17"/>
                <w:color w:val="auto"/>
              </w:rPr>
              <w:t>Depreciation and amortization</w:t>
            </w:r>
          </w:p>
        </w:tc>
        <w:tc>
          <w:tcPr>
            <w:tcW w:w="1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2,980</w:t>
            </w:r>
          </w:p>
        </w:tc>
      </w:tr>
      <w:tr>
        <w:trPr>
          <w:trHeight w:val="213"/>
        </w:trPr>
        <w:tc>
          <w:tcPr>
            <w:tcW w:w="372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auto"/>
              </w:rPr>
              <w:t>Total operating expenses</w:t>
            </w:r>
          </w:p>
        </w:tc>
        <w:tc>
          <w:tcPr>
            <w:tcW w:w="1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46,823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30,313</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142,241</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87,461</w:t>
            </w:r>
          </w:p>
        </w:tc>
      </w:tr>
      <w:tr>
        <w:trPr>
          <w:trHeight w:val="211"/>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Operating income (loss)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4,061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16,192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30,009</w:t>
            </w:r>
          </w:p>
        </w:tc>
      </w:tr>
      <w:tr>
        <w:trPr>
          <w:trHeight w:val="220"/>
        </w:trPr>
        <w:tc>
          <w:tcPr>
            <w:tcW w:w="37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Change in fair value of warrant liability</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45,837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83,628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expense, net</w:t>
            </w:r>
          </w:p>
        </w:tc>
        <w:tc>
          <w:tcPr>
            <w:tcW w:w="1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center"/>
              <w:ind w:left="534"/>
              <w:spacing w:after="0"/>
              <w:rPr>
                <w:sz w:val="20"/>
                <w:szCs w:val="20"/>
                <w:color w:val="auto"/>
              </w:rPr>
            </w:pPr>
            <w:r>
              <w:rPr>
                <w:rFonts w:ascii="Arial" w:cs="Arial" w:eastAsia="Arial" w:hAnsi="Arial"/>
                <w:sz w:val="17"/>
                <w:szCs w:val="17"/>
                <w:color w:val="auto"/>
                <w:w w:val="90"/>
              </w:rPr>
              <w:t>(662)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r>
      <w:tr>
        <w:trPr>
          <w:trHeight w:val="211"/>
        </w:trPr>
        <w:tc>
          <w:tcPr>
            <w:tcW w:w="3720" w:type="dxa"/>
            <w:vAlign w:val="bottom"/>
            <w:gridSpan w:val="2"/>
          </w:tcPr>
          <w:p>
            <w:pPr>
              <w:ind w:left="220"/>
              <w:spacing w:after="0"/>
              <w:rPr>
                <w:sz w:val="20"/>
                <w:szCs w:val="20"/>
                <w:color w:val="auto"/>
              </w:rPr>
            </w:pPr>
            <w:r>
              <w:rPr>
                <w:rFonts w:ascii="Arial" w:cs="Arial" w:eastAsia="Arial" w:hAnsi="Arial"/>
                <w:sz w:val="17"/>
                <w:szCs w:val="17"/>
                <w:color w:val="auto"/>
              </w:rPr>
              <w:t>Income before income taxes</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49,598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15,530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74,015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Provision for income taxes</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3720" w:type="dxa"/>
            <w:vAlign w:val="bottom"/>
            <w:gridSpan w:val="2"/>
          </w:tcPr>
          <w:p>
            <w:pPr>
              <w:ind w:left="220"/>
              <w:spacing w:after="0"/>
              <w:rPr>
                <w:sz w:val="20"/>
                <w:szCs w:val="20"/>
                <w:color w:val="auto"/>
              </w:rPr>
            </w:pPr>
            <w:r>
              <w:rPr>
                <w:rFonts w:ascii="Arial" w:cs="Arial" w:eastAsia="Arial" w:hAnsi="Arial"/>
                <w:sz w:val="17"/>
                <w:szCs w:val="17"/>
                <w:color w:val="auto"/>
              </w:rPr>
              <w:t>Net income</w:t>
            </w:r>
          </w:p>
        </w:tc>
        <w:tc>
          <w:tcPr>
            <w:tcW w:w="15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49,205</w:t>
            </w:r>
          </w:p>
        </w:tc>
        <w:tc>
          <w:tcPr>
            <w:tcW w:w="1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15,530</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73,773</w:t>
            </w: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28,732</w:t>
            </w:r>
          </w:p>
        </w:tc>
      </w:tr>
      <w:tr>
        <w:trPr>
          <w:trHeight w:val="219"/>
        </w:trPr>
        <w:tc>
          <w:tcPr>
            <w:tcW w:w="372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w w:val="93"/>
              </w:rPr>
              <w:t>Net income attributable to noncontrolling interests</w:t>
            </w:r>
          </w:p>
        </w:tc>
        <w:tc>
          <w:tcPr>
            <w:tcW w:w="15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48,675</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720" w:type="dxa"/>
            <w:vAlign w:val="bottom"/>
            <w:gridSpan w:val="2"/>
          </w:tcPr>
          <w:p>
            <w:pPr>
              <w:ind w:left="220"/>
              <w:spacing w:after="0"/>
              <w:rPr>
                <w:sz w:val="20"/>
                <w:szCs w:val="20"/>
                <w:color w:val="auto"/>
              </w:rPr>
            </w:pPr>
            <w:r>
              <w:rPr>
                <w:rFonts w:ascii="Arial" w:cs="Arial" w:eastAsia="Arial" w:hAnsi="Arial"/>
                <w:sz w:val="17"/>
                <w:szCs w:val="17"/>
                <w:color w:val="auto"/>
                <w:w w:val="97"/>
              </w:rPr>
              <w:t>Net income attributable to WM Technology, Inc.</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20,835</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15,530</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25,098</w:t>
            </w:r>
          </w:p>
        </w:tc>
        <w:tc>
          <w:tcPr>
            <w:tcW w:w="8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0"/>
        </w:trPr>
        <w:tc>
          <w:tcPr>
            <w:tcW w:w="122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11"/>
        </w:trPr>
        <w:tc>
          <w:tcPr>
            <w:tcW w:w="122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8"/>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Class A Common Stock:</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Basic income per share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N/A¹</w:t>
            </w: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Diluted income (loss) per share</w:t>
            </w:r>
          </w:p>
        </w:tc>
        <w:tc>
          <w:tcPr>
            <w:tcW w:w="16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(0.15)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N/A¹</w:t>
            </w:r>
          </w:p>
        </w:tc>
      </w:tr>
      <w:tr>
        <w:trPr>
          <w:trHeight w:val="246"/>
        </w:trPr>
        <w:tc>
          <w:tcPr>
            <w:tcW w:w="3720" w:type="dxa"/>
            <w:vAlign w:val="bottom"/>
            <w:gridSpan w:val="2"/>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r>
      <w:tr>
        <w:trPr>
          <w:trHeight w:val="218"/>
        </w:trPr>
        <w:tc>
          <w:tcPr>
            <w:tcW w:w="3720" w:type="dxa"/>
            <w:vAlign w:val="bottom"/>
            <w:gridSpan w:val="2"/>
          </w:tcPr>
          <w:p>
            <w:pPr>
              <w:ind w:left="20"/>
              <w:spacing w:after="0"/>
              <w:rPr>
                <w:sz w:val="20"/>
                <w:szCs w:val="20"/>
                <w:color w:val="auto"/>
              </w:rPr>
            </w:pPr>
            <w:r>
              <w:rPr>
                <w:rFonts w:ascii="Arial" w:cs="Arial" w:eastAsia="Arial" w:hAnsi="Arial"/>
                <w:sz w:val="17"/>
                <w:szCs w:val="17"/>
                <w:color w:val="auto"/>
              </w:rPr>
              <w:t>Class A Common Stock:</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372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Weighted average basic shares outstanding</w:t>
            </w: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64,216,732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64,149,699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N/A¹</w:t>
            </w:r>
          </w:p>
        </w:tc>
      </w:tr>
      <w:tr>
        <w:trPr>
          <w:trHeight w:val="218"/>
        </w:trPr>
        <w:tc>
          <w:tcPr>
            <w:tcW w:w="3720" w:type="dxa"/>
            <w:vAlign w:val="bottom"/>
            <w:gridSpan w:val="2"/>
          </w:tcPr>
          <w:p>
            <w:pPr>
              <w:ind w:left="120"/>
              <w:spacing w:after="0"/>
              <w:rPr>
                <w:sz w:val="20"/>
                <w:szCs w:val="20"/>
                <w:color w:val="auto"/>
              </w:rPr>
            </w:pPr>
            <w:r>
              <w:rPr>
                <w:rFonts w:ascii="Arial" w:cs="Arial" w:eastAsia="Arial" w:hAnsi="Arial"/>
                <w:sz w:val="17"/>
                <w:szCs w:val="17"/>
                <w:color w:val="auto"/>
              </w:rPr>
              <w:t>Weighted average diluted shares outstanding</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68,304,372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gridSpan w:val="2"/>
          </w:tcPr>
          <w:p>
            <w:pPr>
              <w:jc w:val="center"/>
              <w:ind w:left="514"/>
              <w:spacing w:after="0"/>
              <w:rPr>
                <w:sz w:val="20"/>
                <w:szCs w:val="20"/>
                <w:color w:val="auto"/>
              </w:rPr>
            </w:pPr>
            <w:r>
              <w:rPr>
                <w:rFonts w:ascii="Arial" w:cs="Arial" w:eastAsia="Arial" w:hAnsi="Arial"/>
                <w:sz w:val="17"/>
                <w:szCs w:val="17"/>
                <w:color w:val="auto"/>
                <w:w w:val="99"/>
              </w:rPr>
              <w:t>N/A¹</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69,950,141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N/A¹</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-3731260</wp:posOffset>
            </wp:positionV>
            <wp:extent cx="57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08" w:lineRule="exact"/>
        <w:rPr>
          <w:sz w:val="20"/>
          <w:szCs w:val="20"/>
          <w:color w:val="auto"/>
        </w:rPr>
      </w:pPr>
    </w:p>
    <w:p>
      <w:pPr>
        <w:jc w:val="both"/>
        <w:ind w:firstLine="3"/>
        <w:spacing w:after="0"/>
        <w:tabs>
          <w:tab w:leader="none" w:pos="77" w:val="left"/>
        </w:tabs>
        <w:numPr>
          <w:ilvl w:val="0"/>
          <w:numId w:val="2"/>
        </w:numPr>
        <w:rPr>
          <w:rFonts w:ascii="Arial" w:cs="Arial" w:eastAsia="Arial" w:hAnsi="Arial"/>
          <w:sz w:val="14"/>
          <w:szCs w:val="14"/>
          <w:color w:val="auto"/>
        </w:rPr>
      </w:pPr>
      <w:r>
        <w:rPr>
          <w:rFonts w:ascii="Arial" w:cs="Arial" w:eastAsia="Arial" w:hAnsi="Arial"/>
          <w:sz w:val="14"/>
          <w:szCs w:val="14"/>
          <w:color w:val="auto"/>
        </w:rPr>
        <w:t>Prior to the Business Combination, the membership structure of the Company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(Note 6).</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40"/>
          </w:cols>
          <w:pgMar w:left="320" w:top="215"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8"/>
          </w:tcPr>
          <w:p>
            <w:pPr>
              <w:ind w:left="20"/>
              <w:spacing w:after="0"/>
              <w:rPr>
                <w:sz w:val="20"/>
                <w:szCs w:val="20"/>
                <w:color w:val="auto"/>
              </w:rPr>
            </w:pPr>
            <w:r>
              <w:rPr>
                <w:rFonts w:ascii="Arial" w:cs="Arial" w:eastAsia="Arial" w:hAnsi="Arial"/>
                <w:sz w:val="14"/>
                <w:szCs w:val="14"/>
                <w:b w:val="1"/>
                <w:bCs w:val="1"/>
                <w:color w:val="auto"/>
                <w:w w:val="91"/>
              </w:rPr>
              <w:t>Three and Nine Months Ended September 30, 2021</w:t>
            </w: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162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640" w:type="dxa"/>
            <w:vAlign w:val="bottom"/>
            <w:gridSpan w:val="4"/>
          </w:tcPr>
          <w:p>
            <w:pPr>
              <w:ind w:left="28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Total WM</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10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Class A</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Class V</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gridSpan w:val="2"/>
          </w:tcPr>
          <w:p>
            <w:pPr>
              <w:jc w:val="center"/>
              <w:ind w:right="240"/>
              <w:spacing w:after="0" w:line="52" w:lineRule="exact"/>
              <w:rPr>
                <w:sz w:val="20"/>
                <w:szCs w:val="20"/>
                <w:color w:val="auto"/>
              </w:rPr>
            </w:pPr>
            <w:r>
              <w:rPr>
                <w:rFonts w:ascii="Arial" w:cs="Arial" w:eastAsia="Arial" w:hAnsi="Arial"/>
                <w:sz w:val="5"/>
                <w:szCs w:val="5"/>
                <w:b w:val="1"/>
                <w:bCs w:val="1"/>
                <w:color w:val="auto"/>
              </w:rPr>
              <w:t>Additional</w:t>
            </w:r>
          </w:p>
        </w:tc>
        <w:tc>
          <w:tcPr>
            <w:tcW w:w="12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gridSpan w:val="2"/>
          </w:tcPr>
          <w:p>
            <w:pPr>
              <w:jc w:val="center"/>
              <w:ind w:right="180"/>
              <w:spacing w:after="0" w:line="52" w:lineRule="exact"/>
              <w:rPr>
                <w:sz w:val="20"/>
                <w:szCs w:val="20"/>
                <w:color w:val="auto"/>
              </w:rPr>
            </w:pPr>
            <w:r>
              <w:rPr>
                <w:rFonts w:ascii="Arial" w:cs="Arial" w:eastAsia="Arial" w:hAnsi="Arial"/>
                <w:sz w:val="5"/>
                <w:szCs w:val="5"/>
                <w:b w:val="1"/>
                <w:bCs w:val="1"/>
                <w:color w:val="auto"/>
              </w:rPr>
              <w:t>Technology, Inc.</w:t>
            </w:r>
          </w:p>
        </w:tc>
        <w:tc>
          <w:tcPr>
            <w:tcW w:w="120" w:type="dxa"/>
            <w:vAlign w:val="bottom"/>
          </w:tcPr>
          <w:p>
            <w:pPr>
              <w:spacing w:after="0"/>
              <w:rPr>
                <w:sz w:val="4"/>
                <w:szCs w:val="4"/>
                <w:color w:val="auto"/>
              </w:rPr>
            </w:pPr>
          </w:p>
        </w:tc>
        <w:tc>
          <w:tcPr>
            <w:tcW w:w="960" w:type="dxa"/>
            <w:vAlign w:val="bottom"/>
            <w:gridSpan w:val="2"/>
          </w:tcPr>
          <w:p>
            <w:pPr>
              <w:jc w:val="center"/>
              <w:ind w:right="260"/>
              <w:spacing w:after="0" w:line="52" w:lineRule="exact"/>
              <w:rPr>
                <w:sz w:val="20"/>
                <w:szCs w:val="20"/>
                <w:color w:val="auto"/>
              </w:rPr>
            </w:pPr>
            <w:r>
              <w:rPr>
                <w:rFonts w:ascii="Arial" w:cs="Arial" w:eastAsia="Arial" w:hAnsi="Arial"/>
                <w:sz w:val="5"/>
                <w:szCs w:val="5"/>
                <w:b w:val="1"/>
                <w:bCs w:val="1"/>
                <w:color w:val="auto"/>
              </w:rPr>
              <w:t>Non-</w:t>
            </w: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90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2"/>
                <w:szCs w:val="12"/>
                <w:color w:val="auto"/>
              </w:rPr>
            </w:pPr>
          </w:p>
        </w:tc>
        <w:tc>
          <w:tcPr>
            <w:tcW w:w="62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97"/>
              </w:rPr>
              <w:t>Par</w:t>
            </w:r>
          </w:p>
        </w:tc>
        <w:tc>
          <w:tcPr>
            <w:tcW w:w="90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2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Par</w:t>
            </w:r>
          </w:p>
        </w:tc>
        <w:tc>
          <w:tcPr>
            <w:tcW w:w="100" w:type="dxa"/>
            <w:vAlign w:val="bottom"/>
          </w:tcPr>
          <w:p>
            <w:pPr>
              <w:spacing w:after="0"/>
              <w:rPr>
                <w:sz w:val="12"/>
                <w:szCs w:val="12"/>
                <w:color w:val="auto"/>
              </w:rPr>
            </w:pPr>
          </w:p>
        </w:tc>
        <w:tc>
          <w:tcPr>
            <w:tcW w:w="94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9"/>
              </w:rPr>
              <w:t>Paid-in</w:t>
            </w:r>
          </w:p>
        </w:tc>
        <w:tc>
          <w:tcPr>
            <w:tcW w:w="120" w:type="dxa"/>
            <w:vAlign w:val="bottom"/>
          </w:tcPr>
          <w:p>
            <w:pPr>
              <w:spacing w:after="0"/>
              <w:rPr>
                <w:sz w:val="12"/>
                <w:szCs w:val="12"/>
                <w:color w:val="auto"/>
              </w:rPr>
            </w:pPr>
          </w:p>
        </w:tc>
        <w:tc>
          <w:tcPr>
            <w:tcW w:w="82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2"/>
                <w:szCs w:val="12"/>
                <w:color w:val="auto"/>
              </w:rPr>
            </w:pPr>
          </w:p>
        </w:tc>
        <w:tc>
          <w:tcPr>
            <w:tcW w:w="114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6"/>
              </w:rPr>
              <w:t>Stockholders’</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8" w:lineRule="exact"/>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12"/>
                <w:szCs w:val="12"/>
                <w:color w:val="auto"/>
              </w:rPr>
            </w:pPr>
          </w:p>
        </w:tc>
        <w:tc>
          <w:tcPr>
            <w:tcW w:w="94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91"/>
              </w:rPr>
              <w:t>Members’</w:t>
            </w:r>
          </w:p>
        </w:tc>
        <w:tc>
          <w:tcPr>
            <w:tcW w:w="140" w:type="dxa"/>
            <w:vAlign w:val="bottom"/>
          </w:tcPr>
          <w:p>
            <w:pPr>
              <w:spacing w:after="0"/>
              <w:rPr>
                <w:sz w:val="12"/>
                <w:szCs w:val="12"/>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Value</w:t>
            </w:r>
          </w:p>
        </w:tc>
        <w:tc>
          <w:tcPr>
            <w:tcW w:w="10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Capital</w:t>
            </w:r>
          </w:p>
        </w:tc>
        <w:tc>
          <w:tcPr>
            <w:tcW w:w="120" w:type="dxa"/>
            <w:vAlign w:val="bottom"/>
          </w:tcPr>
          <w:p>
            <w:pPr>
              <w:spacing w:after="0"/>
              <w:rPr>
                <w:sz w:val="15"/>
                <w:szCs w:val="15"/>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5"/>
                <w:szCs w:val="15"/>
                <w:color w:val="auto"/>
              </w:rPr>
            </w:pP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Equity</w:t>
            </w:r>
          </w:p>
        </w:tc>
        <w:tc>
          <w:tcPr>
            <w:tcW w:w="120" w:type="dxa"/>
            <w:vAlign w:val="bottom"/>
          </w:tcPr>
          <w:p>
            <w:pPr>
              <w:spacing w:after="0"/>
              <w:rPr>
                <w:sz w:val="15"/>
                <w:szCs w:val="15"/>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Interests</w:t>
            </w:r>
          </w:p>
        </w:tc>
        <w:tc>
          <w:tcPr>
            <w:tcW w:w="120" w:type="dxa"/>
            <w:vAlign w:val="bottom"/>
          </w:tcPr>
          <w:p>
            <w:pPr>
              <w:spacing w:after="0"/>
              <w:rPr>
                <w:sz w:val="15"/>
                <w:szCs w:val="15"/>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8"/>
              </w:rPr>
              <w:t>As of December 31, 2020</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29,271</w:t>
            </w: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Distributions to</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(10,513)</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members</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4"/>
              </w:rPr>
              <w:t>Repurchase of Class B</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7,731</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26,383</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2021</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19,433</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rPr>
              <w:t>Distributions to</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1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(7,597)</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members</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w w:val="94"/>
              </w:rPr>
              <w:t>Repurchase of Class B</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4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(5,459)</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Units</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rPr>
              <w:t>Proceeds and shares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w w:val="97"/>
              </w:rPr>
              <w:t>issued in the Business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63,738,563</w:t>
            </w:r>
          </w:p>
        </w:tc>
        <w:tc>
          <w:tcPr>
            <w:tcW w:w="10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65,502,347</w:t>
            </w:r>
          </w:p>
        </w:tc>
        <w:tc>
          <w:tcPr>
            <w:tcW w:w="120" w:type="dxa"/>
            <w:vAlign w:val="bottom"/>
            <w:shd w:val="clear" w:color="auto" w:fill="CCEEFF"/>
          </w:tcPr>
          <w:p>
            <w:pPr>
              <w:spacing w:after="0"/>
              <w:rPr>
                <w:sz w:val="11"/>
                <w:szCs w:val="11"/>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(45,425)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(20,674)</w:t>
            </w: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(85,312)</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Combination (Note 6)</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4,263</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4,263</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5,227</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7,347</w:t>
            </w:r>
          </w:p>
        </w:tc>
        <w:tc>
          <w:tcPr>
            <w:tcW w:w="1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16,837</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63,738,563</w:t>
            </w:r>
          </w:p>
        </w:tc>
        <w:tc>
          <w:tcPr>
            <w:tcW w:w="10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9"/>
                <w:szCs w:val="9"/>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65,502,347</w:t>
            </w:r>
          </w:p>
        </w:tc>
        <w:tc>
          <w:tcPr>
            <w:tcW w:w="12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(20,212)</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5,249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(14,950)</w:t>
            </w: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(20,765)</w:t>
            </w: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(35,715)</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2021</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Stock-based</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4,173</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4,173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714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4,887</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compensation</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rPr>
              <w:t>Transaction costs</w:t>
            </w: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shd w:val="clear" w:color="auto" w:fill="CCEEFF"/>
          </w:tcPr>
          <w:p>
            <w:pPr>
              <w:ind w:left="120"/>
              <w:spacing w:after="0" w:line="129" w:lineRule="exact"/>
              <w:rPr>
                <w:sz w:val="20"/>
                <w:szCs w:val="20"/>
                <w:color w:val="auto"/>
              </w:rPr>
            </w:pPr>
            <w:r>
              <w:rPr>
                <w:rFonts w:ascii="Arial" w:cs="Arial" w:eastAsia="Arial" w:hAnsi="Arial"/>
                <w:sz w:val="14"/>
                <w:szCs w:val="14"/>
                <w:color w:val="auto"/>
                <w:w w:val="95"/>
              </w:rPr>
              <w:t>related to the Business</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6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9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Combination (Note 6)</w:t>
            </w:r>
          </w:p>
        </w:tc>
        <w:tc>
          <w:tcPr>
            <w:tcW w:w="9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Issuance of common</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stock for acquisitions</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1,938,798</w:t>
            </w:r>
          </w:p>
        </w:tc>
        <w:tc>
          <w:tcPr>
            <w:tcW w:w="100" w:type="dxa"/>
            <w:vAlign w:val="bottom"/>
          </w:tcPr>
          <w:p>
            <w:pPr>
              <w:spacing w:after="0"/>
              <w:rPr>
                <w:sz w:val="11"/>
                <w:szCs w:val="11"/>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12,721</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12,722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16,590</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29,312</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(Note 7)</w:t>
            </w:r>
          </w:p>
        </w:tc>
        <w:tc>
          <w:tcPr>
            <w:tcW w:w="9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20,835</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20,835</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28,370</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49,205</w:t>
            </w:r>
          </w:p>
        </w:tc>
        <w:tc>
          <w:tcPr>
            <w:tcW w:w="0" w:type="dxa"/>
            <w:vAlign w:val="bottom"/>
          </w:tcPr>
          <w:p>
            <w:pPr>
              <w:spacing w:after="0"/>
              <w:rPr>
                <w:sz w:val="1"/>
                <w:szCs w:val="1"/>
                <w:color w:val="auto"/>
              </w:rPr>
            </w:pPr>
          </w:p>
        </w:tc>
      </w:tr>
      <w:tr>
        <w:trPr>
          <w:trHeight w:val="109"/>
        </w:trPr>
        <w:tc>
          <w:tcPr>
            <w:tcW w:w="1500" w:type="dxa"/>
            <w:vAlign w:val="bottom"/>
          </w:tcPr>
          <w:p>
            <w:pPr>
              <w:ind w:left="20"/>
              <w:spacing w:after="0" w:line="109" w:lineRule="exact"/>
              <w:rPr>
                <w:sz w:val="20"/>
                <w:szCs w:val="20"/>
                <w:color w:val="auto"/>
              </w:rPr>
            </w:pPr>
            <w:r>
              <w:rPr>
                <w:rFonts w:ascii="Arial" w:cs="Arial" w:eastAsia="Arial" w:hAnsi="Arial"/>
                <w:sz w:val="11"/>
                <w:szCs w:val="11"/>
                <w:b w:val="1"/>
                <w:bCs w:val="1"/>
                <w:color w:val="auto"/>
              </w:rPr>
              <w:t>As of September 30,</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65,677,361</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9"/>
                <w:szCs w:val="9"/>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65,502,347</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(3,592)</w:t>
            </w:r>
          </w:p>
        </w:tc>
        <w:tc>
          <w:tcPr>
            <w:tcW w:w="1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26,084</w:t>
            </w:r>
          </w:p>
        </w:tc>
        <w:tc>
          <w:tcPr>
            <w:tcW w:w="140" w:type="dxa"/>
            <w:vAlign w:val="bottom"/>
          </w:tcPr>
          <w:p>
            <w:pPr>
              <w:spacing w:after="0"/>
              <w:rPr>
                <w:sz w:val="9"/>
                <w:szCs w:val="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22,506</w:t>
            </w:r>
          </w:p>
        </w:tc>
        <w:tc>
          <w:tcPr>
            <w:tcW w:w="8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24,909</w:t>
            </w:r>
          </w:p>
        </w:tc>
        <w:tc>
          <w:tcPr>
            <w:tcW w:w="14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47,415</w:t>
            </w:r>
          </w:p>
        </w:tc>
        <w:tc>
          <w:tcPr>
            <w:tcW w:w="0" w:type="dxa"/>
            <w:vAlign w:val="bottom"/>
          </w:tcPr>
          <w:p>
            <w:pPr>
              <w:spacing w:after="0"/>
              <w:rPr>
                <w:sz w:val="1"/>
                <w:szCs w:val="1"/>
                <w:color w:val="auto"/>
              </w:rPr>
            </w:pPr>
          </w:p>
        </w:tc>
      </w:tr>
      <w:tr>
        <w:trPr>
          <w:trHeight w:val="155"/>
        </w:trPr>
        <w:tc>
          <w:tcPr>
            <w:tcW w:w="150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2021</w:t>
            </w:r>
          </w:p>
        </w:tc>
        <w:tc>
          <w:tcPr>
            <w:tcW w:w="9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6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9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20" w:top="230"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(Continued)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8"/>
          </w:tcPr>
          <w:p>
            <w:pPr>
              <w:ind w:left="40"/>
              <w:spacing w:after="0"/>
              <w:rPr>
                <w:sz w:val="20"/>
                <w:szCs w:val="20"/>
                <w:color w:val="auto"/>
              </w:rPr>
            </w:pPr>
            <w:r>
              <w:rPr>
                <w:rFonts w:ascii="Arial" w:cs="Arial" w:eastAsia="Arial" w:hAnsi="Arial"/>
                <w:sz w:val="14"/>
                <w:szCs w:val="14"/>
                <w:b w:val="1"/>
                <w:bCs w:val="1"/>
                <w:color w:val="auto"/>
                <w:w w:val="91"/>
              </w:rPr>
              <w:t>Three and Nine Months Ended September 30, 2020</w:t>
            </w:r>
          </w:p>
        </w:tc>
        <w:tc>
          <w:tcPr>
            <w:tcW w:w="1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500" w:type="dxa"/>
            <w:vAlign w:val="bottom"/>
          </w:tcPr>
          <w:p>
            <w:pPr>
              <w:spacing w:after="0"/>
              <w:rPr>
                <w:sz w:val="18"/>
                <w:szCs w:val="18"/>
                <w:color w:val="auto"/>
              </w:rPr>
            </w:pPr>
          </w:p>
        </w:tc>
        <w:tc>
          <w:tcPr>
            <w:tcW w:w="1620" w:type="dxa"/>
            <w:vAlign w:val="bottom"/>
            <w:gridSpan w:val="3"/>
          </w:tcPr>
          <w:p>
            <w:pPr>
              <w:ind w:left="260"/>
              <w:spacing w:after="0"/>
              <w:rPr>
                <w:sz w:val="20"/>
                <w:szCs w:val="20"/>
                <w:color w:val="auto"/>
              </w:rPr>
            </w:pPr>
            <w:r>
              <w:rPr>
                <w:rFonts w:ascii="Arial" w:cs="Arial" w:eastAsia="Arial" w:hAnsi="Arial"/>
                <w:sz w:val="14"/>
                <w:szCs w:val="14"/>
                <w:b w:val="1"/>
                <w:bCs w:val="1"/>
                <w:color w:val="auto"/>
              </w:rPr>
              <w:t>Common Stock</w:t>
            </w:r>
          </w:p>
        </w:tc>
        <w:tc>
          <w:tcPr>
            <w:tcW w:w="1620" w:type="dxa"/>
            <w:vAlign w:val="bottom"/>
            <w:gridSpan w:val="3"/>
          </w:tcPr>
          <w:p>
            <w:pPr>
              <w:ind w:left="26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6"/>
              </w:rPr>
              <w:t>Total WM</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500" w:type="dxa"/>
            <w:vAlign w:val="bottom"/>
          </w:tcPr>
          <w:p>
            <w:pPr>
              <w:spacing w:after="0"/>
              <w:rPr>
                <w:sz w:val="11"/>
                <w:szCs w:val="11"/>
                <w:color w:val="auto"/>
              </w:rPr>
            </w:pPr>
          </w:p>
        </w:tc>
        <w:tc>
          <w:tcPr>
            <w:tcW w:w="1000" w:type="dxa"/>
            <w:vAlign w:val="bottom"/>
          </w:tcPr>
          <w:p>
            <w:pPr>
              <w:ind w:left="520"/>
              <w:spacing w:after="0" w:line="129" w:lineRule="exact"/>
              <w:rPr>
                <w:sz w:val="20"/>
                <w:szCs w:val="20"/>
                <w:color w:val="auto"/>
              </w:rPr>
            </w:pPr>
            <w:r>
              <w:rPr>
                <w:rFonts w:ascii="Arial" w:cs="Arial" w:eastAsia="Arial" w:hAnsi="Arial"/>
                <w:sz w:val="14"/>
                <w:szCs w:val="14"/>
                <w:b w:val="1"/>
                <w:bCs w:val="1"/>
                <w:color w:val="auto"/>
                <w:w w:val="89"/>
              </w:rPr>
              <w:t>Class A</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ind w:left="500"/>
              <w:spacing w:after="0" w:line="129" w:lineRule="exact"/>
              <w:rPr>
                <w:sz w:val="20"/>
                <w:szCs w:val="20"/>
                <w:color w:val="auto"/>
              </w:rPr>
            </w:pPr>
            <w:r>
              <w:rPr>
                <w:rFonts w:ascii="Arial" w:cs="Arial" w:eastAsia="Arial" w:hAnsi="Arial"/>
                <w:sz w:val="14"/>
                <w:szCs w:val="14"/>
                <w:b w:val="1"/>
                <w:bCs w:val="1"/>
                <w:color w:val="auto"/>
                <w:w w:val="90"/>
              </w:rPr>
              <w:t>Class V</w:t>
            </w: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
        </w:trPr>
        <w:tc>
          <w:tcPr>
            <w:tcW w:w="150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gridSpan w:val="2"/>
          </w:tcPr>
          <w:p>
            <w:pPr>
              <w:ind w:left="40"/>
              <w:spacing w:after="0" w:line="52" w:lineRule="exact"/>
              <w:rPr>
                <w:sz w:val="20"/>
                <w:szCs w:val="20"/>
                <w:color w:val="auto"/>
              </w:rPr>
            </w:pPr>
            <w:r>
              <w:rPr>
                <w:rFonts w:ascii="Arial" w:cs="Arial" w:eastAsia="Arial" w:hAnsi="Arial"/>
                <w:sz w:val="5"/>
                <w:szCs w:val="5"/>
                <w:b w:val="1"/>
                <w:bCs w:val="1"/>
                <w:color w:val="auto"/>
              </w:rPr>
              <w:t>Additional</w:t>
            </w: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gridSpan w:val="2"/>
          </w:tcPr>
          <w:p>
            <w:pPr>
              <w:jc w:val="center"/>
              <w:ind w:right="200"/>
              <w:spacing w:after="0" w:line="52" w:lineRule="exact"/>
              <w:rPr>
                <w:sz w:val="20"/>
                <w:szCs w:val="20"/>
                <w:color w:val="auto"/>
              </w:rPr>
            </w:pPr>
            <w:r>
              <w:rPr>
                <w:rFonts w:ascii="Arial" w:cs="Arial" w:eastAsia="Arial" w:hAnsi="Arial"/>
                <w:sz w:val="5"/>
                <w:szCs w:val="5"/>
                <w:b w:val="1"/>
                <w:bCs w:val="1"/>
                <w:color w:val="auto"/>
              </w:rPr>
              <w:t>Technology, Inc.</w:t>
            </w:r>
          </w:p>
        </w:tc>
        <w:tc>
          <w:tcPr>
            <w:tcW w:w="100" w:type="dxa"/>
            <w:vAlign w:val="bottom"/>
          </w:tcPr>
          <w:p>
            <w:pPr>
              <w:spacing w:after="0"/>
              <w:rPr>
                <w:sz w:val="4"/>
                <w:szCs w:val="4"/>
                <w:color w:val="auto"/>
              </w:rPr>
            </w:pPr>
          </w:p>
        </w:tc>
        <w:tc>
          <w:tcPr>
            <w:tcW w:w="980" w:type="dxa"/>
            <w:vAlign w:val="bottom"/>
            <w:gridSpan w:val="2"/>
          </w:tcPr>
          <w:p>
            <w:pPr>
              <w:jc w:val="center"/>
              <w:ind w:right="260"/>
              <w:spacing w:after="0" w:line="52" w:lineRule="exact"/>
              <w:rPr>
                <w:sz w:val="20"/>
                <w:szCs w:val="20"/>
                <w:color w:val="auto"/>
              </w:rPr>
            </w:pPr>
            <w:r>
              <w:rPr>
                <w:rFonts w:ascii="Arial" w:cs="Arial" w:eastAsia="Arial" w:hAnsi="Arial"/>
                <w:sz w:val="5"/>
                <w:szCs w:val="5"/>
                <w:b w:val="1"/>
                <w:bCs w:val="1"/>
                <w:color w:val="auto"/>
              </w:rPr>
              <w:t>Non-</w:t>
            </w:r>
          </w:p>
        </w:tc>
        <w:tc>
          <w:tcPr>
            <w:tcW w:w="1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Par</w:t>
            </w:r>
          </w:p>
        </w:tc>
        <w:tc>
          <w:tcPr>
            <w:tcW w:w="98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2"/>
                <w:szCs w:val="12"/>
                <w:color w:val="auto"/>
              </w:rPr>
            </w:pPr>
          </w:p>
        </w:tc>
        <w:tc>
          <w:tcPr>
            <w:tcW w:w="960" w:type="dxa"/>
            <w:vAlign w:val="bottom"/>
            <w:gridSpan w:val="2"/>
          </w:tcPr>
          <w:p>
            <w:pPr>
              <w:ind w:left="140"/>
              <w:spacing w:after="0" w:line="148" w:lineRule="exact"/>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12"/>
                <w:szCs w:val="12"/>
                <w:color w:val="auto"/>
              </w:rPr>
            </w:pPr>
          </w:p>
        </w:tc>
        <w:tc>
          <w:tcPr>
            <w:tcW w:w="840" w:type="dxa"/>
            <w:vAlign w:val="bottom"/>
            <w:gridSpan w:val="2"/>
          </w:tcPr>
          <w:p>
            <w:pPr>
              <w:ind w:left="20"/>
              <w:spacing w:after="0" w:line="148"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160" w:type="dxa"/>
            <w:vAlign w:val="bottom"/>
            <w:gridSpan w:val="2"/>
          </w:tcPr>
          <w:p>
            <w:pPr>
              <w:jc w:val="center"/>
              <w:ind w:right="180"/>
              <w:spacing w:after="0" w:line="148" w:lineRule="exact"/>
              <w:rPr>
                <w:sz w:val="20"/>
                <w:szCs w:val="20"/>
                <w:color w:val="auto"/>
              </w:rPr>
            </w:pPr>
            <w:r>
              <w:rPr>
                <w:rFonts w:ascii="Arial" w:cs="Arial" w:eastAsia="Arial" w:hAnsi="Arial"/>
                <w:sz w:val="14"/>
                <w:szCs w:val="14"/>
                <w:b w:val="1"/>
                <w:bCs w:val="1"/>
                <w:color w:val="auto"/>
                <w:w w:val="88"/>
              </w:rPr>
              <w:t>Stockholders’</w:t>
            </w:r>
          </w:p>
        </w:tc>
        <w:tc>
          <w:tcPr>
            <w:tcW w:w="100" w:type="dxa"/>
            <w:vAlign w:val="bottom"/>
          </w:tcPr>
          <w:p>
            <w:pPr>
              <w:spacing w:after="0"/>
              <w:rPr>
                <w:sz w:val="12"/>
                <w:szCs w:val="12"/>
                <w:color w:val="auto"/>
              </w:rPr>
            </w:pPr>
          </w:p>
        </w:tc>
        <w:tc>
          <w:tcPr>
            <w:tcW w:w="98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8"/>
              </w:rPr>
              <w:t>controlling</w:t>
            </w:r>
          </w:p>
        </w:tc>
        <w:tc>
          <w:tcPr>
            <w:tcW w:w="120" w:type="dxa"/>
            <w:vAlign w:val="bottom"/>
          </w:tcPr>
          <w:p>
            <w:pPr>
              <w:spacing w:after="0"/>
              <w:rPr>
                <w:sz w:val="12"/>
                <w:szCs w:val="12"/>
                <w:color w:val="auto"/>
              </w:rPr>
            </w:pPr>
          </w:p>
        </w:tc>
        <w:tc>
          <w:tcPr>
            <w:tcW w:w="920" w:type="dxa"/>
            <w:vAlign w:val="bottom"/>
            <w:gridSpan w:val="2"/>
          </w:tcPr>
          <w:p>
            <w:pPr>
              <w:jc w:val="center"/>
              <w:ind w:right="280"/>
              <w:spacing w:after="0" w:line="148" w:lineRule="exact"/>
              <w:rPr>
                <w:sz w:val="20"/>
                <w:szCs w:val="20"/>
                <w:color w:val="auto"/>
              </w:rPr>
            </w:pPr>
            <w:r>
              <w:rPr>
                <w:rFonts w:ascii="Arial" w:cs="Arial" w:eastAsia="Arial" w:hAnsi="Arial"/>
                <w:sz w:val="14"/>
                <w:szCs w:val="14"/>
                <w:b w:val="1"/>
                <w:bCs w:val="1"/>
                <w:color w:val="auto"/>
                <w:w w:val="91"/>
              </w:rPr>
              <w:t>Members’</w:t>
            </w:r>
          </w:p>
        </w:tc>
        <w:tc>
          <w:tcPr>
            <w:tcW w:w="140" w:type="dxa"/>
            <w:vAlign w:val="bottom"/>
          </w:tcPr>
          <w:p>
            <w:pPr>
              <w:spacing w:after="0"/>
              <w:rPr>
                <w:sz w:val="12"/>
                <w:szCs w:val="12"/>
                <w:color w:val="auto"/>
              </w:rPr>
            </w:pPr>
          </w:p>
        </w:tc>
        <w:tc>
          <w:tcPr>
            <w:tcW w:w="100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79"/>
        </w:trPr>
        <w:tc>
          <w:tcPr>
            <w:tcW w:w="150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Value</w:t>
            </w:r>
          </w:p>
        </w:tc>
        <w:tc>
          <w:tcPr>
            <w:tcW w:w="980" w:type="dxa"/>
            <w:vAlign w:val="bottom"/>
            <w:vMerge w:val="continue"/>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Value</w:t>
            </w:r>
          </w:p>
        </w:tc>
        <w:tc>
          <w:tcPr>
            <w:tcW w:w="100" w:type="dxa"/>
            <w:vAlign w:val="bottom"/>
          </w:tcPr>
          <w:p>
            <w:pPr>
              <w:spacing w:after="0"/>
              <w:rPr>
                <w:sz w:val="15"/>
                <w:szCs w:val="15"/>
                <w:color w:val="auto"/>
              </w:rPr>
            </w:pPr>
          </w:p>
        </w:tc>
        <w:tc>
          <w:tcPr>
            <w:tcW w:w="960" w:type="dxa"/>
            <w:vAlign w:val="bottom"/>
            <w:gridSpan w:val="2"/>
          </w:tcPr>
          <w:p>
            <w:pPr>
              <w:ind w:left="14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5"/>
                <w:szCs w:val="15"/>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Equity</w:t>
            </w:r>
          </w:p>
        </w:tc>
        <w:tc>
          <w:tcPr>
            <w:tcW w:w="10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Interests</w:t>
            </w:r>
          </w:p>
        </w:tc>
        <w:tc>
          <w:tcPr>
            <w:tcW w:w="12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Equity</w:t>
            </w: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1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88"/>
              </w:rPr>
              <w:t>As of December 31, 2019</w:t>
            </w: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4"/>
                <w:szCs w:val="14"/>
                <w:color w:val="auto"/>
                <w:w w:val="93"/>
              </w:rPr>
              <w:t>— $</w:t>
            </w:r>
          </w:p>
        </w:tc>
        <w:tc>
          <w:tcPr>
            <w:tcW w:w="4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50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(3,123)</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4"/>
              </w:rPr>
              <w:t>Repurchase of Class B</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3,809</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3,809</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13,395</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March 31, 2020</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1500" w:type="dxa"/>
            <w:vAlign w:val="bottom"/>
          </w:tcPr>
          <w:p>
            <w:pPr>
              <w:ind w:left="120"/>
              <w:spacing w:after="0" w:line="129" w:lineRule="exact"/>
              <w:rPr>
                <w:sz w:val="20"/>
                <w:szCs w:val="20"/>
                <w:color w:val="auto"/>
              </w:rPr>
            </w:pPr>
            <w:r>
              <w:rPr>
                <w:rFonts w:ascii="Arial" w:cs="Arial" w:eastAsia="Arial" w:hAnsi="Arial"/>
                <w:sz w:val="14"/>
                <w:szCs w:val="14"/>
                <w:color w:val="auto"/>
              </w:rPr>
              <w:t>Distributions to</w:t>
            </w:r>
          </w:p>
        </w:tc>
        <w:tc>
          <w:tcPr>
            <w:tcW w:w="100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60" w:type="dxa"/>
            <w:vAlign w:val="bottom"/>
            <w:gridSpan w:val="2"/>
            <w:vMerge w:val="restart"/>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840" w:type="dxa"/>
            <w:vAlign w:val="bottom"/>
            <w:gridSpan w:val="2"/>
            <w:vMerge w:val="restart"/>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80" w:type="dxa"/>
            <w:vAlign w:val="bottom"/>
            <w:gridSpan w:val="2"/>
            <w:vMerge w:val="restart"/>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(2,744)</w:t>
            </w:r>
          </w:p>
        </w:tc>
        <w:tc>
          <w:tcPr>
            <w:tcW w:w="0" w:type="dxa"/>
            <w:vAlign w:val="bottom"/>
          </w:tcPr>
          <w:p>
            <w:pPr>
              <w:spacing w:after="0"/>
              <w:rPr>
                <w:sz w:val="1"/>
                <w:szCs w:val="1"/>
                <w:color w:val="auto"/>
              </w:rPr>
            </w:pPr>
          </w:p>
        </w:tc>
      </w:tr>
      <w:tr>
        <w:trPr>
          <w:trHeight w:val="177"/>
        </w:trPr>
        <w:tc>
          <w:tcPr>
            <w:tcW w:w="1500" w:type="dxa"/>
            <w:vAlign w:val="bottom"/>
          </w:tcPr>
          <w:p>
            <w:pPr>
              <w:ind w:left="120"/>
              <w:spacing w:after="0"/>
              <w:rPr>
                <w:sz w:val="20"/>
                <w:szCs w:val="20"/>
                <w:color w:val="auto"/>
              </w:rPr>
            </w:pPr>
            <w:r>
              <w:rPr>
                <w:rFonts w:ascii="Arial" w:cs="Arial" w:eastAsia="Arial" w:hAnsi="Arial"/>
                <w:sz w:val="14"/>
                <w:szCs w:val="14"/>
                <w:color w:val="auto"/>
              </w:rPr>
              <w:t>members</w:t>
            </w:r>
          </w:p>
        </w:tc>
        <w:tc>
          <w:tcPr>
            <w:tcW w:w="1000" w:type="dxa"/>
            <w:vAlign w:val="bottom"/>
            <w:vMerge w:val="continue"/>
          </w:tcPr>
          <w:p>
            <w:pPr>
              <w:spacing w:after="0"/>
              <w:rPr>
                <w:sz w:val="15"/>
                <w:szCs w:val="15"/>
                <w:color w:val="auto"/>
              </w:rPr>
            </w:pPr>
          </w:p>
        </w:tc>
        <w:tc>
          <w:tcPr>
            <w:tcW w:w="620" w:type="dxa"/>
            <w:vAlign w:val="bottom"/>
            <w:gridSpan w:val="2"/>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120"/>
              <w:spacing w:after="0" w:line="132" w:lineRule="exact"/>
              <w:rPr>
                <w:sz w:val="20"/>
                <w:szCs w:val="20"/>
                <w:color w:val="auto"/>
              </w:rPr>
            </w:pPr>
            <w:r>
              <w:rPr>
                <w:rFonts w:ascii="Arial" w:cs="Arial" w:eastAsia="Arial" w:hAnsi="Arial"/>
                <w:sz w:val="14"/>
                <w:szCs w:val="14"/>
                <w:color w:val="auto"/>
                <w:w w:val="94"/>
              </w:rPr>
              <w:t>Repurchase of Class B</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9,393</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9,393</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9"/>
                <w:szCs w:val="9"/>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9"/>
                <w:szCs w:val="9"/>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9"/>
                <w:szCs w:val="9"/>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19,939</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June 30, 2020</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Pr>
          <w:p>
            <w:pPr>
              <w:ind w:left="20"/>
              <w:spacing w:after="0"/>
              <w:rPr>
                <w:sz w:val="20"/>
                <w:szCs w:val="20"/>
                <w:color w:val="auto"/>
              </w:rPr>
            </w:pPr>
            <w:r>
              <w:rPr>
                <w:rFonts w:ascii="Arial" w:cs="Arial" w:eastAsia="Arial" w:hAnsi="Arial"/>
                <w:sz w:val="14"/>
                <w:szCs w:val="14"/>
                <w:color w:val="auto"/>
                <w:w w:val="94"/>
              </w:rPr>
              <w:t>Distributions to members</w:t>
            </w:r>
          </w:p>
        </w:tc>
        <w:tc>
          <w:tcPr>
            <w:tcW w:w="1000" w:type="dxa"/>
            <w:vAlign w:val="bottom"/>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tcPr>
          <w:p>
            <w:pPr>
              <w:ind w:left="280"/>
              <w:spacing w:after="0"/>
              <w:rPr>
                <w:sz w:val="20"/>
                <w:szCs w:val="20"/>
                <w:color w:val="auto"/>
              </w:rPr>
            </w:pPr>
            <w:r>
              <w:rPr>
                <w:rFonts w:ascii="Arial" w:cs="Arial" w:eastAsia="Arial" w:hAnsi="Arial"/>
                <w:sz w:val="14"/>
                <w:szCs w:val="14"/>
                <w:color w:val="auto"/>
              </w:rPr>
              <w:t>—</w:t>
            </w:r>
          </w:p>
        </w:tc>
        <w:tc>
          <w:tcPr>
            <w:tcW w:w="980" w:type="dxa"/>
            <w:vAlign w:val="bottom"/>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6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ind w:left="5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160" w:type="dxa"/>
            <w:vAlign w:val="bottom"/>
            <w:gridSpan w:val="2"/>
          </w:tcPr>
          <w:p>
            <w:pPr>
              <w:ind w:left="8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(3,331)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(3,331)</w:t>
            </w:r>
          </w:p>
        </w:tc>
        <w:tc>
          <w:tcPr>
            <w:tcW w:w="0" w:type="dxa"/>
            <w:vAlign w:val="bottom"/>
          </w:tcPr>
          <w:p>
            <w:pPr>
              <w:spacing w:after="0"/>
              <w:rPr>
                <w:sz w:val="1"/>
                <w:szCs w:val="1"/>
                <w:color w:val="auto"/>
              </w:rPr>
            </w:pPr>
          </w:p>
        </w:tc>
      </w:tr>
      <w:tr>
        <w:trPr>
          <w:trHeight w:val="132"/>
        </w:trPr>
        <w:tc>
          <w:tcPr>
            <w:tcW w:w="15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rPr>
              <w:t>Repurchase of Class B</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1"/>
                <w:szCs w:val="11"/>
                <w:color w:val="auto"/>
              </w:rPr>
            </w:pP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1"/>
                <w:szCs w:val="11"/>
                <w:color w:val="auto"/>
              </w:rPr>
            </w:pP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r>
        <w:trPr>
          <w:trHeight w:val="180"/>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w:t>
            </w: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3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ind w:left="5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ind w:left="86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64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15,530</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15,530</w:t>
            </w:r>
          </w:p>
        </w:tc>
        <w:tc>
          <w:tcPr>
            <w:tcW w:w="0" w:type="dxa"/>
            <w:vAlign w:val="bottom"/>
          </w:tcPr>
          <w:p>
            <w:pPr>
              <w:spacing w:after="0"/>
              <w:rPr>
                <w:sz w:val="1"/>
                <w:szCs w:val="1"/>
                <w:color w:val="auto"/>
              </w:rPr>
            </w:pPr>
          </w:p>
        </w:tc>
      </w:tr>
      <w:tr>
        <w:trPr>
          <w:trHeight w:val="112"/>
        </w:trPr>
        <w:tc>
          <w:tcPr>
            <w:tcW w:w="150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As of September 30,</w:t>
            </w:r>
          </w:p>
        </w:tc>
        <w:tc>
          <w:tcPr>
            <w:tcW w:w="1000" w:type="dxa"/>
            <w:vAlign w:val="bottom"/>
            <w:vMerge w:val="restart"/>
            <w:shd w:val="clear" w:color="auto" w:fill="CCEEFF"/>
          </w:tcPr>
          <w:p>
            <w:pPr>
              <w:ind w:left="740"/>
              <w:spacing w:after="0"/>
              <w:rPr>
                <w:sz w:val="20"/>
                <w:szCs w:val="20"/>
                <w:color w:val="auto"/>
              </w:rPr>
            </w:pPr>
            <w:r>
              <w:rPr>
                <w:rFonts w:ascii="Arial" w:cs="Arial" w:eastAsia="Arial" w:hAnsi="Arial"/>
                <w:sz w:val="14"/>
                <w:szCs w:val="14"/>
                <w:color w:val="auto"/>
                <w:w w:val="93"/>
              </w:rPr>
              <w:t>— $</w:t>
            </w:r>
          </w:p>
        </w:tc>
        <w:tc>
          <w:tcPr>
            <w:tcW w:w="620" w:type="dxa"/>
            <w:vAlign w:val="bottom"/>
            <w:gridSpan w:val="2"/>
            <w:vMerge w:val="restart"/>
            <w:shd w:val="clear" w:color="auto" w:fill="CCEEFF"/>
          </w:tcPr>
          <w:p>
            <w:pPr>
              <w:ind w:left="2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ind w:left="680"/>
              <w:spacing w:after="0"/>
              <w:rPr>
                <w:sz w:val="20"/>
                <w:szCs w:val="20"/>
                <w:color w:val="auto"/>
              </w:rPr>
            </w:pPr>
            <w:r>
              <w:rPr>
                <w:rFonts w:ascii="Arial" w:cs="Arial" w:eastAsia="Arial" w:hAnsi="Arial"/>
                <w:sz w:val="14"/>
                <w:szCs w:val="14"/>
                <w:color w:val="auto"/>
              </w:rPr>
              <w:t>— $</w:t>
            </w:r>
          </w:p>
        </w:tc>
        <w:tc>
          <w:tcPr>
            <w:tcW w:w="640" w:type="dxa"/>
            <w:vAlign w:val="bottom"/>
            <w:gridSpan w:val="2"/>
            <w:vMerge w:val="restart"/>
            <w:shd w:val="clear" w:color="auto" w:fill="CCEEFF"/>
          </w:tcPr>
          <w:p>
            <w:pPr>
              <w:ind w:left="30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gridSpan w:val="2"/>
            <w:vMerge w:val="restart"/>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vMerge w:val="restart"/>
            <w:shd w:val="clear" w:color="auto" w:fill="CCEEFF"/>
          </w:tcPr>
          <w:p>
            <w:pPr>
              <w:ind w:left="50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gridSpan w:val="2"/>
            <w:vMerge w:val="restart"/>
            <w:shd w:val="clear" w:color="auto" w:fill="CCEEFF"/>
          </w:tcPr>
          <w:p>
            <w:pPr>
              <w:ind w:left="86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gridSpan w:val="2"/>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32,032</w:t>
            </w:r>
          </w:p>
        </w:tc>
        <w:tc>
          <w:tcPr>
            <w:tcW w:w="140" w:type="dxa"/>
            <w:vAlign w:val="bottom"/>
            <w:shd w:val="clear" w:color="auto" w:fill="CCEEFF"/>
          </w:tcPr>
          <w:p>
            <w:pPr>
              <w:spacing w:after="0"/>
              <w:rPr>
                <w:sz w:val="9"/>
                <w:szCs w:val="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32,032</w:t>
            </w:r>
          </w:p>
        </w:tc>
        <w:tc>
          <w:tcPr>
            <w:tcW w:w="0" w:type="dxa"/>
            <w:vAlign w:val="bottom"/>
          </w:tcPr>
          <w:p>
            <w:pPr>
              <w:spacing w:after="0"/>
              <w:rPr>
                <w:sz w:val="1"/>
                <w:szCs w:val="1"/>
                <w:color w:val="auto"/>
              </w:rPr>
            </w:pPr>
          </w:p>
        </w:tc>
      </w:tr>
      <w:tr>
        <w:trPr>
          <w:trHeight w:val="175"/>
        </w:trPr>
        <w:tc>
          <w:tcPr>
            <w:tcW w:w="150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2020</w:t>
            </w:r>
          </w:p>
        </w:tc>
        <w:tc>
          <w:tcPr>
            <w:tcW w:w="1000" w:type="dxa"/>
            <w:vAlign w:val="bottom"/>
            <w:vMerge w:val="continue"/>
            <w:shd w:val="clear" w:color="auto" w:fill="CCEEFF"/>
          </w:tcPr>
          <w:p>
            <w:pPr>
              <w:spacing w:after="0"/>
              <w:rPr>
                <w:sz w:val="15"/>
                <w:szCs w:val="15"/>
                <w:color w:val="auto"/>
              </w:rPr>
            </w:pPr>
          </w:p>
        </w:tc>
        <w:tc>
          <w:tcPr>
            <w:tcW w:w="620" w:type="dxa"/>
            <w:vAlign w:val="bottom"/>
            <w:gridSpan w:val="2"/>
            <w:vMerge w:val="continue"/>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116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240"/>
          </w:cols>
          <w:pgMar w:left="320" w:top="230"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95"/>
        </w:trPr>
        <w:tc>
          <w:tcPr>
            <w:tcW w:w="830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1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774"/>
        </w:trPr>
        <w:tc>
          <w:tcPr>
            <w:tcW w:w="1220" w:type="dxa"/>
            <w:vAlign w:val="bottom"/>
            <w:tcBorders>
              <w:top w:val="single" w:sz="8" w:color="0000FF"/>
            </w:tcBorders>
          </w:tcPr>
          <w:p>
            <w:pPr>
              <w:spacing w:after="0"/>
              <w:rPr>
                <w:sz w:val="24"/>
                <w:szCs w:val="24"/>
                <w:color w:val="auto"/>
              </w:rPr>
            </w:pPr>
          </w:p>
        </w:tc>
        <w:tc>
          <w:tcPr>
            <w:tcW w:w="7080" w:type="dxa"/>
            <w:vAlign w:val="bottom"/>
          </w:tcPr>
          <w:p>
            <w:pPr>
              <w:jc w:val="center"/>
              <w:ind w:left="1634"/>
              <w:spacing w:after="0"/>
              <w:rPr>
                <w:sz w:val="20"/>
                <w:szCs w:val="20"/>
                <w:color w:val="auto"/>
              </w:rPr>
            </w:pPr>
            <w:r>
              <w:rPr>
                <w:rFonts w:ascii="Arial" w:cs="Arial" w:eastAsia="Arial" w:hAnsi="Arial"/>
                <w:sz w:val="17"/>
                <w:szCs w:val="17"/>
                <w:b w:val="1"/>
                <w:bCs w:val="1"/>
                <w:color w:val="auto"/>
              </w:rPr>
              <w:t>WM TECHNOLOGY, INC. AND SUBSIDIARIES</w:t>
            </w: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6"/>
        </w:trPr>
        <w:tc>
          <w:tcPr>
            <w:tcW w:w="1220" w:type="dxa"/>
            <w:vAlign w:val="bottom"/>
          </w:tcPr>
          <w:p>
            <w:pPr>
              <w:spacing w:after="0"/>
              <w:rPr>
                <w:sz w:val="17"/>
                <w:szCs w:val="17"/>
                <w:color w:val="auto"/>
              </w:rPr>
            </w:pPr>
          </w:p>
        </w:tc>
        <w:tc>
          <w:tcPr>
            <w:tcW w:w="7080" w:type="dxa"/>
            <w:vAlign w:val="bottom"/>
          </w:tcPr>
          <w:p>
            <w:pPr>
              <w:jc w:val="center"/>
              <w:ind w:left="163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6"/>
        </w:trPr>
        <w:tc>
          <w:tcPr>
            <w:tcW w:w="1220" w:type="dxa"/>
            <w:vAlign w:val="bottom"/>
          </w:tcPr>
          <w:p>
            <w:pPr>
              <w:spacing w:after="0"/>
              <w:rPr>
                <w:sz w:val="17"/>
                <w:szCs w:val="17"/>
                <w:color w:val="auto"/>
              </w:rPr>
            </w:pPr>
          </w:p>
        </w:tc>
        <w:tc>
          <w:tcPr>
            <w:tcW w:w="7080" w:type="dxa"/>
            <w:vAlign w:val="bottom"/>
          </w:tcPr>
          <w:p>
            <w:pPr>
              <w:jc w:val="center"/>
              <w:ind w:left="1634"/>
              <w:spacing w:after="0"/>
              <w:rPr>
                <w:sz w:val="20"/>
                <w:szCs w:val="20"/>
                <w:color w:val="auto"/>
              </w:rPr>
            </w:pPr>
            <w:r>
              <w:rPr>
                <w:rFonts w:ascii="Arial" w:cs="Arial" w:eastAsia="Arial" w:hAnsi="Arial"/>
                <w:sz w:val="17"/>
                <w:szCs w:val="17"/>
                <w:b w:val="1"/>
                <w:bCs w:val="1"/>
                <w:color w:val="auto"/>
                <w:w w:val="93"/>
              </w:rPr>
              <w:t>(Unaudited)</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3"/>
        </w:trPr>
        <w:tc>
          <w:tcPr>
            <w:tcW w:w="1220" w:type="dxa"/>
            <w:vAlign w:val="bottom"/>
          </w:tcPr>
          <w:p>
            <w:pPr>
              <w:spacing w:after="0"/>
              <w:rPr>
                <w:sz w:val="19"/>
                <w:szCs w:val="19"/>
                <w:color w:val="auto"/>
              </w:rPr>
            </w:pPr>
          </w:p>
        </w:tc>
        <w:tc>
          <w:tcPr>
            <w:tcW w:w="7080" w:type="dxa"/>
            <w:vAlign w:val="bottom"/>
          </w:tcPr>
          <w:p>
            <w:pPr>
              <w:jc w:val="center"/>
              <w:ind w:left="1654"/>
              <w:spacing w:after="0"/>
              <w:rPr>
                <w:sz w:val="20"/>
                <w:szCs w:val="20"/>
                <w:color w:val="auto"/>
              </w:rPr>
            </w:pPr>
            <w:r>
              <w:rPr>
                <w:rFonts w:ascii="Arial" w:cs="Arial" w:eastAsia="Arial" w:hAnsi="Arial"/>
                <w:sz w:val="17"/>
                <w:szCs w:val="17"/>
                <w:b w:val="1"/>
                <w:bCs w:val="1"/>
                <w:color w:val="auto"/>
                <w:w w:val="90"/>
              </w:rPr>
              <w:t>(In thousands)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49"/>
        </w:trPr>
        <w:tc>
          <w:tcPr>
            <w:tcW w:w="122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213"/>
        </w:trPr>
        <w:tc>
          <w:tcPr>
            <w:tcW w:w="1220" w:type="dxa"/>
            <w:vAlign w:val="bottom"/>
            <w:tcBorders>
              <w:bottom w:val="single" w:sz="8" w:color="CCEEFF"/>
            </w:tcBorders>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19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14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Net income</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73,773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20"/>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2,980</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Change in fair value of warrant liability</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(83,628)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Impairment loss on right-of-use asset</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Deferred income taxes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Provision for doubtful accounts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Accounts receivable</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(4,300)</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Prepaid expenses and other current assets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6,504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(450)</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522</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Accounts payable and accrued expenses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(1,098)</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3,180</w:t>
            </w:r>
          </w:p>
        </w:tc>
      </w:tr>
      <w:tr>
        <w:trPr>
          <w:trHeight w:val="211"/>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25,173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29,566</w:t>
            </w:r>
          </w:p>
        </w:tc>
      </w:tr>
      <w:tr>
        <w:trPr>
          <w:trHeight w:val="135"/>
        </w:trPr>
        <w:tc>
          <w:tcPr>
            <w:tcW w:w="1220" w:type="dxa"/>
            <w:vAlign w:val="bottom"/>
            <w:shd w:val="clear" w:color="auto" w:fill="CCEEFF"/>
          </w:tcPr>
          <w:p>
            <w:pPr>
              <w:spacing w:after="0"/>
              <w:rPr>
                <w:sz w:val="11"/>
                <w:szCs w:val="11"/>
                <w:color w:val="auto"/>
              </w:rPr>
            </w:pPr>
          </w:p>
        </w:tc>
        <w:tc>
          <w:tcPr>
            <w:tcW w:w="7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Purchases of property and equipment</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Cash paid for acquisitions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(16,000)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Cash paid for other investments</w:t>
            </w: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Net cash used in investing activities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(23,246)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(903)</w:t>
            </w:r>
          </w:p>
        </w:tc>
      </w:tr>
      <w:tr>
        <w:trPr>
          <w:trHeight w:val="135"/>
        </w:trPr>
        <w:tc>
          <w:tcPr>
            <w:tcW w:w="1220" w:type="dxa"/>
            <w:vAlign w:val="bottom"/>
            <w:shd w:val="clear" w:color="auto" w:fill="CCEEFF"/>
          </w:tcPr>
          <w:p>
            <w:pPr>
              <w:spacing w:after="0"/>
              <w:rPr>
                <w:sz w:val="11"/>
                <w:szCs w:val="11"/>
                <w:color w:val="auto"/>
              </w:rPr>
            </w:pPr>
          </w:p>
        </w:tc>
        <w:tc>
          <w:tcPr>
            <w:tcW w:w="70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r>
      <w:tr>
        <w:trPr>
          <w:trHeight w:val="219"/>
        </w:trPr>
        <w:tc>
          <w:tcPr>
            <w:tcW w:w="8300" w:type="dxa"/>
            <w:vAlign w:val="bottom"/>
            <w:gridSpan w:val="2"/>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1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19"/>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Proceeds from the Business Combination</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220"/>
              <w:spacing w:after="0"/>
              <w:rPr>
                <w:sz w:val="20"/>
                <w:szCs w:val="20"/>
                <w:color w:val="auto"/>
              </w:rPr>
            </w:pPr>
            <w:r>
              <w:rPr>
                <w:rFonts w:ascii="Arial" w:cs="Arial" w:eastAsia="Arial" w:hAnsi="Arial"/>
                <w:sz w:val="17"/>
                <w:szCs w:val="17"/>
                <w:color w:val="auto"/>
              </w:rPr>
              <w:t>Payment of note payable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Distributions to members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(9,198)</w:t>
            </w:r>
          </w:p>
        </w:tc>
      </w:tr>
      <w:tr>
        <w:trPr>
          <w:trHeight w:val="218"/>
        </w:trPr>
        <w:tc>
          <w:tcPr>
            <w:tcW w:w="8300" w:type="dxa"/>
            <w:vAlign w:val="bottom"/>
            <w:tcBorders>
              <w:bottom w:val="single" w:sz="8" w:color="CCEEFF"/>
            </w:tcBorders>
            <w:gridSpan w:val="2"/>
          </w:tcPr>
          <w:p>
            <w:pPr>
              <w:ind w:left="220"/>
              <w:spacing w:after="0"/>
              <w:rPr>
                <w:sz w:val="20"/>
                <w:szCs w:val="20"/>
                <w:color w:val="auto"/>
              </w:rPr>
            </w:pPr>
            <w:r>
              <w:rPr>
                <w:rFonts w:ascii="Arial" w:cs="Arial" w:eastAsia="Arial" w:hAnsi="Arial"/>
                <w:sz w:val="17"/>
                <w:szCs w:val="17"/>
                <w:color w:val="auto"/>
              </w:rPr>
              <w:t>Repurchase of Class B Units</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(5,565)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(301)</w:t>
            </w:r>
          </w:p>
        </w:tc>
      </w:tr>
      <w:tr>
        <w:trPr>
          <w:trHeight w:val="212"/>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56,089</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(9,499)</w:t>
            </w:r>
          </w:p>
        </w:tc>
      </w:tr>
      <w:tr>
        <w:trPr>
          <w:trHeight w:val="135"/>
        </w:trPr>
        <w:tc>
          <w:tcPr>
            <w:tcW w:w="1220" w:type="dxa"/>
            <w:vAlign w:val="bottom"/>
          </w:tcPr>
          <w:p>
            <w:pPr>
              <w:spacing w:after="0"/>
              <w:rPr>
                <w:sz w:val="11"/>
                <w:szCs w:val="11"/>
                <w:color w:val="auto"/>
              </w:rPr>
            </w:pPr>
          </w:p>
        </w:tc>
        <w:tc>
          <w:tcPr>
            <w:tcW w:w="7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increase in cash</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58,016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19,164</w:t>
            </w:r>
          </w:p>
        </w:tc>
      </w:tr>
      <w:tr>
        <w:trPr>
          <w:trHeight w:val="218"/>
        </w:trPr>
        <w:tc>
          <w:tcPr>
            <w:tcW w:w="83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Cash – beginning of period</w:t>
            </w: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19,919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4,968</w:t>
            </w:r>
          </w:p>
        </w:tc>
      </w:tr>
      <w:tr>
        <w:trPr>
          <w:trHeight w:val="238"/>
        </w:trPr>
        <w:tc>
          <w:tcPr>
            <w:tcW w:w="8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Cash –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77,935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24,132</w:t>
            </w:r>
          </w:p>
        </w:tc>
      </w:tr>
      <w:tr>
        <w:trPr>
          <w:trHeight w:val="20"/>
        </w:trPr>
        <w:tc>
          <w:tcPr>
            <w:tcW w:w="830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r>
        <w:trPr>
          <w:trHeight w:val="100"/>
        </w:trPr>
        <w:tc>
          <w:tcPr>
            <w:tcW w:w="12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219"/>
        </w:trPr>
        <w:tc>
          <w:tcPr>
            <w:tcW w:w="83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activities</w:t>
            </w: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Warranty liability assumed from the Business Combination</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193,978</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Tax receivable agreement liability recognized in connection with the Business Combination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126,150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Deferred tax assets recognized in connection with the Business Combination</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147,973</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Other assets assumed from the Business Combination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Issuance of equity for acquisitions</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29,312</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83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Holdback liability recognized in connection with acquisition</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8300" w:type="dxa"/>
            <w:vAlign w:val="bottom"/>
            <w:gridSpan w:val="2"/>
          </w:tcPr>
          <w:p>
            <w:pPr>
              <w:ind w:left="120"/>
              <w:spacing w:after="0"/>
              <w:rPr>
                <w:sz w:val="20"/>
                <w:szCs w:val="20"/>
                <w:color w:val="auto"/>
              </w:rPr>
            </w:pPr>
            <w:r>
              <w:rPr>
                <w:rFonts w:ascii="Arial" w:cs="Arial" w:eastAsia="Arial" w:hAnsi="Arial"/>
                <w:sz w:val="17"/>
                <w:szCs w:val="17"/>
                <w:color w:val="auto"/>
              </w:rPr>
              <w:t>Stock-based compensation capitalized for software development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695</w:t>
            </w:r>
          </w:p>
        </w:tc>
        <w:tc>
          <w:tcPr>
            <w:tcW w:w="10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-5728970</wp:posOffset>
            </wp:positionV>
            <wp:extent cx="571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240"/>
          </w:cols>
          <w:pgMar w:left="320" w:top="215"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Business and Organization</w:t>
      </w:r>
    </w:p>
    <w:p>
      <w:pPr>
        <w:spacing w:after="0" w:line="120" w:lineRule="exact"/>
        <w:rPr>
          <w:sz w:val="20"/>
          <w:szCs w:val="20"/>
          <w:color w:val="auto"/>
        </w:rPr>
      </w:pPr>
    </w:p>
    <w:p>
      <w:pPr>
        <w:jc w:val="both"/>
        <w:ind w:firstLine="464"/>
        <w:spacing w:after="0" w:line="291" w:lineRule="auto"/>
        <w:rPr>
          <w:sz w:val="20"/>
          <w:szCs w:val="20"/>
          <w:color w:val="auto"/>
        </w:rPr>
      </w:pPr>
      <w:r>
        <w:rPr>
          <w:rFonts w:ascii="Arial" w:cs="Arial" w:eastAsia="Arial" w:hAnsi="Arial"/>
          <w:sz w:val="15"/>
          <w:szCs w:val="15"/>
          <w:color w:val="auto"/>
        </w:rPr>
        <w:t>WM Technology, Inc. (the “Company”) is a technology and software infrastructure provider to retailers and brands in the U.S. state-legal and Canadian cannabis markets. The Company also provides information on the cannabis plant and the industry and advocates for legalization. The Weedmaps listings marketplace provides consumers with information regarding cannabis retailers and brands, as well as the strain, pricing, and other information regarding locally available cannabis products, through the Company’s website and mobile apps, permitting product discovery and reservation of products for pickup by consumers or delivery to consumers by participating retailers. The Company sells its offerings in the United States, and the Company has a limited number of non-monetized listings in several international countries including Austria, Canada, Germany, the Netherlands, Spain, and Switzerland. Through December 31, 2020, the Company offered standard listing subscription clients access to a listing page on weedmaps.com in addition to free access to its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the Company imposed regardless of whether the proposed order was canceled or completed. As of January 1, 2021, the Company migrated all standard listing subscription clients to its new WM Business subscription package. Under this new subscription package, all retailers continue to receive access to a standard listing page and SaaS solutions. In addition, the Company began including access to WM Dashboard and eliminated the technology services fee on delivery orders as part of the transition to the new WM Business subscription package. The Company operates in the United States, Canada, and other foreign jurisdictions where medical and/or adult use cannabis is legal under state or applicable national law. The Company is headquartered in Irvine, California.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Business Combination</w:t>
      </w:r>
    </w:p>
    <w:p>
      <w:pPr>
        <w:spacing w:after="0" w:line="114"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WM Technology, Inc. was initially incorporated in the Cayman Islands on June 7, 2019 under the name “Silver Spike Acquisition Corp.” (“Silver Spike”). Silver Spike was formed for the purpose of effecting a merger, amalgamation, share exchange, asset acquisition, share purchase, reorganization or similar business combination with one or more businesses. On June 16, 2021 (the “Closing Date”), Silver Spike consummated the business combination (the “Business Combination”), pursuant to that certain Agreement and Plan of Merger, dated December 10, 2020 (the “Merger Agreement”), by and among Silver Spike, Silver Spike Merger Sub LLC, a Delaware limited liability company and a wholly owned direct subsidiary of Silver Spike Acquisition Corp. (“Merger Sub”), WM Holding Company, LLC, a Delaware limited liability company (when referred to in its pre-Business Combination capacity, “Legacy WMH” and following the Business Combination, “WMH LLC”), and Ghost Media Group, LLC, a Nevada limited liability company, solely in its capacity as the initial holder representative (the “Holder Representative”). On the Closing Date, and in connection with the closing of the Business Combination (the “Closing”), Silver Spike was domesticated and continues as a Delaware corporation, changing its name to WM Technology, Inc.</w:t>
      </w:r>
    </w:p>
    <w:p>
      <w:pPr>
        <w:spacing w:after="0" w:line="6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 Legacy WMH was determined to be the accounting acquirer in the Business Combination, which was accounted for as a reverse recapitalization in accordance with accounting principles generally accepted in the United States of America (“GAAP”).</w:t>
      </w:r>
    </w:p>
    <w:p>
      <w:pPr>
        <w:spacing w:after="0" w:line="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is an “emerging growth company,” as defined in Section 2(a) of the Securities Act of 1933, as amended (the “Securities Act”), as modified by the Jumpstart Our Business Startups Act of 2012 (the “JOBS Act”).</w:t>
      </w:r>
    </w:p>
    <w:p>
      <w:pPr>
        <w:spacing w:after="0" w:line="158" w:lineRule="exact"/>
        <w:rPr>
          <w:sz w:val="20"/>
          <w:szCs w:val="20"/>
          <w:color w:val="auto"/>
        </w:rPr>
      </w:pPr>
    </w:p>
    <w:p>
      <w:pPr>
        <w:ind w:left="340" w:hanging="337"/>
        <w:spacing w:after="0"/>
        <w:tabs>
          <w:tab w:leader="none" w:pos="34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w:t>
      </w:r>
    </w:p>
    <w:p>
      <w:pPr>
        <w:spacing w:after="0" w:line="12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The summary of significant accounting policies presented below is designed to assist in understanding the Company’s condensed consolidated financial statements. Such condensed consolidated financial statements and accompanying notes are the representations of the Company’s management, who is responsible for their integrity and objectivity. Management believes that these accounting policies conform to GAAP in all material respects, and have been consistently applied in preparing the accompanying condensed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GAAP and applicable rules and regulations of the U.S. Securities and Exchange Commission (“SEC”) for quarterly reports on Form 10-Q and Article 10-1 of Regulation S-X. Accordingly, certain information and footnotes required by GAAP in annual financial</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240"/>
          </w:cols>
          <w:pgMar w:left="320" w:top="127"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statements have been omitted or condensed and these interim financial statements should be read in conjunction with the Company’s audited financial statements and accompanying notes included in the Company’s Registration Statement on Form S-1 filed with the SEC on July 8, 2021. The condensed financial statements of the Company include all adjustments of a normal recurring nature which, in the opinion of management, are necessary for a fair statement of the Company’s financial position as of September 30, 2021, and results of its operations and its cash flows for the interim periods presented. The results of operations for the nine months ended September 30, 2021 are not necessarily indicative of the results to be expected for the entire year. There have been no significant changes in the Company’s accounting policies from those described in the Company’s audited consolidated financial statements and the related notes to those statements, other than the adoption of the lease accounting guidance.</w:t>
      </w:r>
    </w:p>
    <w:p>
      <w:pPr>
        <w:spacing w:after="0" w:line="82"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Pursuant to the Merger Agreement, the Business Combination was accounted for as a reverse recapitalization in accordance with GAAP (the “Reverse Recapitalization”). Under this method of accounting, Silver Spike was treated as the acquired company and Legacy WMH was treated as the acquirer for financial statement reporting purposes.</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Accordingly, for accounting purposes, the Reverse Recapitalization was treated as the equivalent of Legacy WMH issuing stock for the net assets of Silver Spike, accompanied by a recapitalization.</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Legacy WMH was determined to be the accounting acquirer based on evaluation of the following facts and circumstances:</w:t>
      </w:r>
    </w:p>
    <w:p>
      <w:pPr>
        <w:spacing w:after="0" w:line="114" w:lineRule="exact"/>
        <w:rPr>
          <w:sz w:val="20"/>
          <w:szCs w:val="20"/>
          <w:color w:val="auto"/>
        </w:rPr>
      </w:pPr>
    </w:p>
    <w:p>
      <w:pPr>
        <w:ind w:left="1240" w:hanging="309"/>
        <w:spacing w:after="0" w:line="279" w:lineRule="auto"/>
        <w:tabs>
          <w:tab w:leader="none" w:pos="1236"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Class A Unit holders, through their ownership of the Class V Common Stock, have the greatest voting interest in the Company with over 50% of the voting interest;</w:t>
      </w:r>
    </w:p>
    <w:p>
      <w:pPr>
        <w:spacing w:after="0" w:line="61"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selected the majority of the new board of directors of the Company;</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senior management is the senior management of the Company; and</w:t>
      </w:r>
    </w:p>
    <w:p>
      <w:pPr>
        <w:spacing w:after="0" w:line="113" w:lineRule="exact"/>
        <w:rPr>
          <w:rFonts w:ascii="Arial" w:cs="Arial" w:eastAsia="Arial" w:hAnsi="Arial"/>
          <w:sz w:val="17"/>
          <w:szCs w:val="17"/>
          <w:color w:val="auto"/>
        </w:rPr>
      </w:pPr>
    </w:p>
    <w:p>
      <w:pPr>
        <w:ind w:left="1240" w:hanging="309"/>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Legacy WMH is the larger entity based on historical operating activity and has the larger employee base.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Thus, the financial statements included in this quarterly report reflect (i) the historical operating results of Legacy WMH prior to the Business Combination;</w:t>
      </w:r>
    </w:p>
    <w:p>
      <w:pPr>
        <w:spacing w:after="0" w:line="45" w:lineRule="exact"/>
        <w:rPr>
          <w:sz w:val="20"/>
          <w:szCs w:val="20"/>
          <w:color w:val="auto"/>
        </w:rPr>
      </w:pPr>
    </w:p>
    <w:p>
      <w:pPr>
        <w:ind w:firstLine="3"/>
        <w:spacing w:after="0" w:line="266" w:lineRule="auto"/>
        <w:tabs>
          <w:tab w:leader="none" w:pos="256"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combined results of the WMH LLC and Silver Spike following the Business Combination; and (iii) the acquired assets and liabilities of Silver Spike stated at historical cost, with no goodwill or other intangible assets recorded.</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Principles of Consolidation</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condensed consolidated financial statements include the accounts of WM Technology, Inc. and WM Holding Company, LLC and its subsidiaries, GMG Holdco, Inc., Weedmaps Media, LLC (“Weedmaps”), Ghost Management Group, LLC, WM Canada Holdings, Inc., WM Enterprise, LLC, WM Marketplace, LLC, Weedmaps Spain, S.LU., WM Retail, LLC, Grow One Software (Canada), Inc., Discovery Opco, LLC, WM Museum, LLC, WM Teal, LLC, Weedmaps Germany GmbH, Transport Logistics Holding Company, LLC and WM Loyalty, LLC. All significant intercompany balance and transactions have been eliminated upon consolidation.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Assets and liabilities denominated in a foreign currency are translated into U.S. dollars using the exchange rates in effect at the balance sheet date. Revenue and expense accounts are translated at the average exchange rates during the periods. The impact of exchange rate fluctuations from translation of assets and liabilities is insignificant for the three and nine months ended September 30, 2021 and 2020.</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interim condensed consolidated financial statements and the reported amounts of revenues and expenses during the reporting period. Actual results could differ from those estimates.</w:t>
      </w:r>
    </w:p>
    <w:p>
      <w:pPr>
        <w:spacing w:after="0" w:line="55"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Significant estimates made by management include, among others, the valuation of accounts receivable, the useful lives of long-lived assets, income taxes, website and internal-use software development costs, leases, valuation of goodwill and other intangible assets, valuation of warrant liability, deferred tax asset and tax receivable agreement liability, revenue recognition, stock-based compensation, and the recognition and disclosure of contingent liabilities.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240"/>
          </w:cols>
          <w:pgMar w:left="320" w:top="127"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Company operates in a relatively new industry where laws and regulations vary significantly by jurisdiction. Currently, several states permit medical or recreational use of cannabis; however, the use of cannabis is prohibited on a federal level in the United States. If any of the states that permit use of cannabis were to change their laws or the federal government was to actively enforce such prohibition, the Company’s business could be adversely affected.</w:t>
      </w:r>
    </w:p>
    <w:p>
      <w:pPr>
        <w:spacing w:after="0" w:line="55"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addition, the Company’s ability to grow and meet its operating objectives depends largely on the continued legalization of cannabis on a widespread basis. There can be no assurance that such legalization will occur on a timely basis, or at all.</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Accounts receivable is recorded at the invoiced amount and does not bear interest. The allowance for doubtful accounts is the Company’s best estimate of the amount of probable credit losses in existing accounts receivable. The allowance for doubtful accounts is reviewed on a monthly basis and the Company reserves for all balances outstanding in excess of ninety days. Account balances are written off against the allowance when it is determined that it is probable that the receivable will not be recovered. The Company recorded a provision for doubtful accounts of $3.0 million and $0.9 million as of September 30, 2021 and December 31, 2020,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The Company’s revenues are derived primarily from monthly subscriptions and additional offerings for access to the Company’s Weedmaps platform and the Company’s SaaS solutions. The Company recognizes revenue when the fundamental criteria for revenue recognition are met. The Company recognizes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the Company satisfies these performance obligations in an amount that reflects the consideration it expects to be entitled to in exchange for those services.</w:t>
      </w:r>
    </w:p>
    <w:p>
      <w:pPr>
        <w:spacing w:after="0" w:line="65"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Substantially all of the Company’s revenue is generated by providing standard listing and software subscription services and other paid listing subscriptions services, including featured listings, promoted deals, nearby listings and other display advertising to its customers. These arrangements are recognized over-time, generally during a month-to-month subscription period as the products are provided. The Company may also provide services to its customers, including access to the Company’s orders functionality, which are recognized at a point in time, typically when an order for delivery or pickup is submitted. The Company rarely needs to allocate the transaction price to separate performance obligations. In the rare case that allocation of the transaction price is needed, the Company recognizes revenue in proportion to the standalone selling prices of the underlying services at contract inception. Starting on January 1, 2021, the Company eliminated the technology services fee charge related to the Company’s orders functionality.</w:t>
      </w:r>
    </w:p>
    <w:p>
      <w:pPr>
        <w:spacing w:after="0" w:line="6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The prior year deferred revenue balance of $5.3 million was fully recognized in the first quarter of fiscal year 2021, and the deferred revenue balance as of September 30, 2021 of $7.8 million is expected to be fully recognized within the next twelve months. The Company generally invoices customers and receives payment on an upfront basis and payments do not include significant financing components or variable consideration and there are generally no rights of return or refunds after the subscription period has passed.</w:t>
      </w:r>
    </w:p>
    <w:p>
      <w:pPr>
        <w:spacing w:after="0" w:line="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disaggregated net revenue information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ind w:left="40"/>
              <w:spacing w:after="0"/>
              <w:rPr>
                <w:sz w:val="20"/>
                <w:szCs w:val="20"/>
                <w:color w:val="auto"/>
              </w:rPr>
            </w:pPr>
            <w:r>
              <w:rPr>
                <w:rFonts w:ascii="Arial" w:cs="Arial" w:eastAsia="Arial" w:hAnsi="Arial"/>
                <w:sz w:val="17"/>
                <w:szCs w:val="17"/>
                <w:b w:val="1"/>
                <w:bCs w:val="1"/>
                <w:color w:val="auto"/>
                <w:w w:val="97"/>
              </w:rPr>
              <w:t>Three months ended September 30,</w:t>
            </w:r>
          </w:p>
        </w:tc>
        <w:tc>
          <w:tcPr>
            <w:tcW w:w="160" w:type="dxa"/>
            <w:vAlign w:val="bottom"/>
          </w:tcPr>
          <w:p>
            <w:pPr>
              <w:spacing w:after="0"/>
              <w:rPr>
                <w:sz w:val="19"/>
                <w:szCs w:val="19"/>
                <w:color w:val="auto"/>
              </w:rPr>
            </w:pPr>
          </w:p>
        </w:tc>
        <w:tc>
          <w:tcPr>
            <w:tcW w:w="2760" w:type="dxa"/>
            <w:vAlign w:val="bottom"/>
            <w:gridSpan w:val="4"/>
          </w:tcPr>
          <w:p>
            <w:pPr>
              <w:jc w:val="right"/>
              <w:ind w:right="114"/>
              <w:spacing w:after="0"/>
              <w:rPr>
                <w:sz w:val="20"/>
                <w:szCs w:val="20"/>
                <w:color w:val="auto"/>
              </w:rPr>
            </w:pPr>
            <w:r>
              <w:rPr>
                <w:rFonts w:ascii="Arial" w:cs="Arial" w:eastAsia="Arial" w:hAnsi="Arial"/>
                <w:sz w:val="17"/>
                <w:szCs w:val="17"/>
                <w:b w:val="1"/>
                <w:bCs w:val="1"/>
                <w:color w:val="auto"/>
                <w:w w:val="91"/>
              </w:rPr>
              <w:t>Nine months ended September 30,</w:t>
            </w:r>
          </w:p>
        </w:tc>
      </w:tr>
      <w:tr>
        <w:trPr>
          <w:trHeight w:val="213"/>
        </w:trPr>
        <w:tc>
          <w:tcPr>
            <w:tcW w:w="5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302"/>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 recognized over time</w:t>
            </w:r>
            <w:r>
              <w:rPr>
                <w:rFonts w:ascii="Arial" w:cs="Arial" w:eastAsia="Arial" w:hAnsi="Arial"/>
                <w:sz w:val="22"/>
                <w:szCs w:val="22"/>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44,459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112,615</w:t>
            </w:r>
          </w:p>
        </w:tc>
      </w:tr>
      <w:tr>
        <w:trPr>
          <w:trHeight w:val="322"/>
        </w:trPr>
        <w:tc>
          <w:tcPr>
            <w:tcW w:w="5320" w:type="dxa"/>
            <w:vAlign w:val="bottom"/>
          </w:tcPr>
          <w:p>
            <w:pPr>
              <w:ind w:left="20"/>
              <w:spacing w:after="0"/>
              <w:rPr>
                <w:sz w:val="20"/>
                <w:szCs w:val="20"/>
                <w:color w:val="auto"/>
              </w:rPr>
            </w:pPr>
            <w:r>
              <w:rPr>
                <w:rFonts w:ascii="Arial" w:cs="Arial" w:eastAsia="Arial" w:hAnsi="Arial"/>
                <w:sz w:val="17"/>
                <w:szCs w:val="17"/>
                <w:color w:val="auto"/>
              </w:rPr>
              <w:t>Revenues recognized at a point in time</w:t>
            </w:r>
            <w:r>
              <w:rPr>
                <w:rFonts w:ascii="Arial" w:cs="Arial" w:eastAsia="Arial" w:hAnsi="Arial"/>
                <w:sz w:val="22"/>
                <w:szCs w:val="22"/>
                <w:color w:val="auto"/>
                <w:vertAlign w:val="superscript"/>
              </w:rPr>
              <w:t>(2)</w:t>
            </w:r>
          </w:p>
        </w:tc>
        <w:tc>
          <w:tcPr>
            <w:tcW w:w="120" w:type="dxa"/>
            <w:vAlign w:val="bottom"/>
          </w:tcPr>
          <w:p>
            <w:pPr>
              <w:spacing w:after="0"/>
              <w:rPr>
                <w:sz w:val="24"/>
                <w:szCs w:val="24"/>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2,046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4,855</w:t>
            </w:r>
          </w:p>
        </w:tc>
      </w:tr>
      <w:tr>
        <w:trPr>
          <w:trHeight w:val="237"/>
        </w:trPr>
        <w:tc>
          <w:tcPr>
            <w:tcW w:w="5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-588645</wp:posOffset>
            </wp:positionV>
            <wp:extent cx="5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-588645</wp:posOffset>
            </wp:positionV>
            <wp:extent cx="571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5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w:t>
      </w:r>
    </w:p>
    <w:p>
      <w:pPr>
        <w:spacing w:after="0" w:line="10" w:lineRule="exact"/>
        <w:rPr>
          <w:sz w:val="20"/>
          <w:szCs w:val="20"/>
          <w:color w:val="auto"/>
        </w:rPr>
      </w:pPr>
    </w:p>
    <w:p>
      <w:pPr>
        <w:ind w:left="300" w:hanging="297"/>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Revenues from listing subscription services, featured listings and other advertising products.</w:t>
      </w:r>
    </w:p>
    <w:p>
      <w:pPr>
        <w:ind w:left="300" w:hanging="297"/>
        <w:spacing w:after="0"/>
        <w:tabs>
          <w:tab w:leader="none" w:pos="300" w:val="left"/>
        </w:tabs>
        <w:numPr>
          <w:ilvl w:val="0"/>
          <w:numId w:val="6"/>
        </w:numPr>
        <w:rPr>
          <w:rFonts w:ascii="Arial" w:cs="Arial" w:eastAsia="Arial" w:hAnsi="Arial"/>
          <w:sz w:val="14"/>
          <w:szCs w:val="14"/>
          <w:color w:val="auto"/>
        </w:rPr>
      </w:pPr>
      <w:r>
        <w:rPr>
          <w:rFonts w:ascii="Arial" w:cs="Arial" w:eastAsia="Arial" w:hAnsi="Arial"/>
          <w:sz w:val="14"/>
          <w:szCs w:val="14"/>
          <w:color w:val="auto"/>
        </w:rPr>
        <w:t>Revenues from use of orders functionality.</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240"/>
          </w:cols>
          <w:pgMar w:left="320" w:top="127"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Company’s U.S. and foreign revenues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80" w:type="dxa"/>
            <w:vAlign w:val="bottom"/>
            <w:gridSpan w:val="5"/>
          </w:tcPr>
          <w:p>
            <w:pPr>
              <w:ind w:left="40"/>
              <w:spacing w:after="0"/>
              <w:rPr>
                <w:sz w:val="20"/>
                <w:szCs w:val="20"/>
                <w:color w:val="auto"/>
              </w:rPr>
            </w:pPr>
            <w:r>
              <w:rPr>
                <w:rFonts w:ascii="Arial" w:cs="Arial" w:eastAsia="Arial" w:hAnsi="Arial"/>
                <w:sz w:val="17"/>
                <w:szCs w:val="17"/>
                <w:b w:val="1"/>
                <w:bCs w:val="1"/>
                <w:color w:val="auto"/>
                <w:w w:val="97"/>
              </w:rPr>
              <w:t>Three months ended September 30,</w:t>
            </w:r>
          </w:p>
        </w:tc>
        <w:tc>
          <w:tcPr>
            <w:tcW w:w="160" w:type="dxa"/>
            <w:vAlign w:val="bottom"/>
          </w:tcPr>
          <w:p>
            <w:pPr>
              <w:spacing w:after="0"/>
              <w:rPr>
                <w:sz w:val="19"/>
                <w:szCs w:val="19"/>
                <w:color w:val="auto"/>
              </w:rPr>
            </w:pPr>
          </w:p>
        </w:tc>
        <w:tc>
          <w:tcPr>
            <w:tcW w:w="2760" w:type="dxa"/>
            <w:vAlign w:val="bottom"/>
            <w:gridSpan w:val="4"/>
          </w:tcPr>
          <w:p>
            <w:pPr>
              <w:jc w:val="right"/>
              <w:ind w:right="114"/>
              <w:spacing w:after="0"/>
              <w:rPr>
                <w:sz w:val="20"/>
                <w:szCs w:val="20"/>
                <w:color w:val="auto"/>
              </w:rPr>
            </w:pPr>
            <w:r>
              <w:rPr>
                <w:rFonts w:ascii="Arial" w:cs="Arial" w:eastAsia="Arial" w:hAnsi="Arial"/>
                <w:sz w:val="17"/>
                <w:szCs w:val="17"/>
                <w:b w:val="1"/>
                <w:bCs w:val="1"/>
                <w:color w:val="auto"/>
                <w:w w:val="91"/>
              </w:rPr>
              <w:t>Nine months ended September 30,</w:t>
            </w:r>
          </w:p>
        </w:tc>
      </w:tr>
      <w:tr>
        <w:trPr>
          <w:trHeight w:val="213"/>
        </w:trPr>
        <w:tc>
          <w:tcPr>
            <w:tcW w:w="53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r>
      <w:tr>
        <w:trPr>
          <w:trHeight w:val="212"/>
        </w:trPr>
        <w:tc>
          <w:tcPr>
            <w:tcW w:w="5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U.S.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34,877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91,275</w:t>
            </w:r>
          </w:p>
        </w:tc>
      </w:tr>
      <w:tr>
        <w:trPr>
          <w:trHeight w:val="218"/>
        </w:trPr>
        <w:tc>
          <w:tcPr>
            <w:tcW w:w="5320" w:type="dxa"/>
            <w:vAlign w:val="bottom"/>
          </w:tcPr>
          <w:p>
            <w:pPr>
              <w:ind w:left="20"/>
              <w:spacing w:after="0"/>
              <w:rPr>
                <w:sz w:val="20"/>
                <w:szCs w:val="20"/>
                <w:color w:val="auto"/>
              </w:rPr>
            </w:pPr>
            <w:r>
              <w:rPr>
                <w:rFonts w:ascii="Arial" w:cs="Arial" w:eastAsia="Arial" w:hAnsi="Arial"/>
                <w:sz w:val="17"/>
                <w:szCs w:val="17"/>
                <w:color w:val="auto"/>
              </w:rPr>
              <w:t>Foreign revenues</w:t>
            </w: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11,628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26,195</w:t>
            </w:r>
          </w:p>
        </w:tc>
      </w:tr>
      <w:tr>
        <w:trPr>
          <w:trHeight w:val="238"/>
        </w:trPr>
        <w:tc>
          <w:tcPr>
            <w:tcW w:w="53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revenues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50,884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6182995</wp:posOffset>
            </wp:positionH>
            <wp:positionV relativeFrom="paragraph">
              <wp:posOffset>-466090</wp:posOffset>
            </wp:positionV>
            <wp:extent cx="571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4267200</wp:posOffset>
            </wp:positionH>
            <wp:positionV relativeFrom="paragraph">
              <wp:posOffset>-466090</wp:posOffset>
            </wp:positionV>
            <wp:extent cx="571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1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All foreign revenues were generated in Canada. During the second half of fiscal 2020, the Company discontinued its services to Canada-based retail operator clients who failed to provide valid license information, similar to the transition the Company implemented in California at the end of fiscal 2019. Following the completion of the discontinuation of such services, all revenue has been generated in the United States.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 xml:space="preserve">The Company uses the asset and liability method of accounting for income taxes under ASC 740 -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Under the guidance, deferred tax assets and liabilities are recognized for the future tax consequences of (i) temporary differences between the financial statement carrying amounts and the tax bases of existing assets and liabilities and (ii) operating loss and tax credit carryforwards. Deferred income tax assets and liabilities are based on enacted tax rates applicable to the future period when those temporary differences are expected to be recovered or settled. The effect of a change in tax rates on deferred tax assets and liabilities is recognized in income in the period the rate change is enacted. A valuation allowance is provided for deferred tax assets when it is more-likely-than-not the deferred tax assets will not be realized.</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tax provision for interim periods is determined using an estimate of the Company’s annual effective tax rate, adjusted for discrete items, if any, that arise during the period. Each quarter, the Company updates its estimate of its annual effective tax rate, and if the estimated annual effective tax rate changes, the Company makes a cumulative adjustment in such period. The quarterly tax provision, and estimate of the Company’s annual effective tax rate, is subject to variation due to several factors, including variability in pre-tax income (or loss), revaluations of the warrant liability, changes in flow-through income not subject to tax and tax law developments.</w:t>
      </w:r>
    </w:p>
    <w:p>
      <w:pPr>
        <w:spacing w:after="0" w:line="20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9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For the three and nine months ended September 30, 2021, the Company recorded a provision for income taxes of $0.4 million and $0.2 million, respectively. The provision for income taxes during the first quarter of 2021 was the result of an audit performed by the Canada Revenue Agency on prior years income taxes paid by the Company’s subsidiary, WM Canada Holdings, Inc. The effective tax rates differ from the federal statutory rate of 21% primarily due to the impact of warrant valuations, non-controlling interests represented by the portion of the flow-through income not subject to tax, permanent stock based compensation, and state taxes.</w:t>
      </w:r>
    </w:p>
    <w:p>
      <w:pPr>
        <w:spacing w:after="0" w:line="209"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ASC 740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 The Company recognizes accrued interest and penalties related to unrecognized tax benefits as income tax expense. The Company does not believe it has any uncertain income tax positions that are more-likely-than-not to materially affect its condensed consolidated financial statements.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240"/>
          </w:cols>
          <w:pgMar w:left="320" w:top="127"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Company’s financial instruments are potentially subject to concentrations of credit risk. The Company places its cash with high quality credit institutions. From time to time, the Company maintains cash balances at certain institutions in excess of the Federal Deposit Insurance Corporation limit. Management believes that the risk of loss is not significant and has not experienced any losses in such accounts.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Company’s cost of revenue primarily consists of web hosting, internet service costs, and credit card processing costs.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Costs</w:t>
      </w:r>
    </w:p>
    <w:p>
      <w:pPr>
        <w:spacing w:after="0" w:line="114"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Product development costs includes salaries and benefits for employees, including engineering and technical teams who are responsible for building new products, as well as improving existing products. Product development costs that do not meet the criteria for capitalization are expensed as incurred.</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Advertising</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expenses the cost of advertising in the period incurred. Advertising expense totaled $4.1 million and $2.4 million for the three months ended September 30, 2021 and 2020, respectively, and $11.9 million and $6.7 million for the nine months ended September 30, 2021 and 2020, respectively, and are included in sales and marketing expense in the accompanying condensed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Political Contributions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Company expenses the costs of all political contributions in the period incurred. Political contributions totaled $0.2 million and $0.3 million for the three months ended September 30, 2021 and 2020, respectively, and $0.5 million and $0.6 million for the nine months ended September 30, 2021 and 2020, respectively, and are included in other expense in the accompanying condensed consolidated statements of income.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1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The Company measures fair value of employee stock-based compensation awards on the date of grant and allocates the related expense over the requisite service period. The fair value of the Class P Units are measured using the Black-Scholes-Merton valuation model. When awards include a performance condition that impacts the vesting for exercisability of the award, the Company records compensation cost when it becomes probable that the performance condition will be met and the service is provided. The expected volatility is based on the historical volatility and implied volatilities for comparable companies, the expected life of the award is based on the simplified method.</w:t>
      </w:r>
    </w:p>
    <w:p>
      <w:pPr>
        <w:spacing w:after="0" w:line="8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accounts for nonemployee stock-based transactions using the fair value of the consideration received (i.e., the value of the goods or services) or the fair value of the equity instruments issued, whichever is more reliably measurable.</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Reporting</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Company and its subsidiaries operate in one business segment.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Earnings Per Share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Basic income (loss) per share is computed by dividing net income (loss) attributable to WM Technology, Inc. by the weighted-average number of shares of Class A Common Stock outstanding during the period.</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Diluted income (loss) per share is computed giving effect to all potential weighted-average dilutive shares for the period. The dilutive effect of outstanding awards or financial instruments, if any, is reflected in diluted income (loss) per share by application of the treasury stock method or if-converted method, as applicable.</w:t>
      </w:r>
    </w:p>
    <w:p>
      <w:pPr>
        <w:spacing w:after="0" w:line="72"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Prior to the Business Combination, the membership structure of Legacy WMH included units which had profit interests. The Company analyzed the calculation of earnings per unit for periods prior to the Business Combination and determined that it resulted in values that would not be meaningful to the users of these condensed consolidated financial statements. As a result, earnings per share information has not been presented for periods prior to the Business Combination on June 16, 2021. The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240"/>
          </w:cols>
          <w:pgMar w:left="320" w:top="127"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basic and diluted income (loss) per share for the nine months ended September 30, 2021 represent the period from June 16, 2021 (Closing Date) to September 30, 2021.</w:t>
      </w:r>
    </w:p>
    <w:p>
      <w:pPr>
        <w:spacing w:after="0" w:line="2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Warrant Liability</w:t>
      </w:r>
    </w:p>
    <w:p>
      <w:pPr>
        <w:spacing w:after="0" w:line="243"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The Company assumed 12,499,933 Public Warrants and 7,000,000 Private Placement Warrants (together, the “Warrants”) upon the Closing, all of which were issued in connection with Silver Spike’s initial public offering and entitle the holder to purchase one share of Class A Common Stock at an exercise price of at $11.50 per share. All of the Warrants remained outstanding as of September 30, 2021. The Public Warrants are publicly traded and are exercisable for cash unless certain conditions occur, such as the failure to have an effective registration statement related to the shares issuable upon exercise or redemption by the Company under certain conditions, at which time the warrants may be cashless exercised. The Private Placement Warrants are transferable, assignable or salable in certain limited exceptions. The Private Placement Warrants are exercisable for cash or on a cashless basis, at the holder’s option, and are non-redeemable so long as they are held by the initial purchasers or their permitted transferees. If the Private Placement Warrants are held by someone other than the initial purchasers or their permitted transferees, the Private Placement Warrants will cease to be Private Placement Warrants, and become Public Warrants and be redeemable by the Company and exercisable by such holders on the same basis as the other Public Warrants.</w:t>
      </w:r>
    </w:p>
    <w:p>
      <w:pPr>
        <w:spacing w:after="0" w:line="198"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 xml:space="preserve">The Company evaluated the Warrants under ASC 815-40 </w:t>
      </w:r>
      <w:r>
        <w:rPr>
          <w:rFonts w:ascii="Arial" w:cs="Arial" w:eastAsia="Arial" w:hAnsi="Arial"/>
          <w:sz w:val="16"/>
          <w:szCs w:val="16"/>
          <w:i w:val="1"/>
          <w:iCs w:val="1"/>
          <w:color w:val="auto"/>
        </w:rPr>
        <w:t>- Derivatives and Hedging - Contracts in Entity’s Own Equity</w:t>
      </w:r>
      <w:r>
        <w:rPr>
          <w:rFonts w:ascii="Arial" w:cs="Arial" w:eastAsia="Arial" w:hAnsi="Arial"/>
          <w:sz w:val="16"/>
          <w:szCs w:val="16"/>
          <w:color w:val="auto"/>
        </w:rPr>
        <w:t>, and concluded they do not meet the criteria to be classified in stockholders’ equity. Specifically, the exercise of the Warrants may be settled in cash upon the occurrence of a tender offer or exchange that involves 50% or more of our Class A equity holders. Because not all of the voting stockholders need to participate in such tender offer or exchange to trigger the potential cash settlement and the Company does not control the occurrence of such an event, the Company concluded that the Warrants do not meet the conditions to be classified in equity. Since the Warrants meet the definition of a derivative under ASC 815, the Company recorded these warrants as liabilities on the condensed consolidated balance sheets at fair value, with subsequent changes in their respective fair values recognized in change in fair value of warrant liabilities within the condensed consolidated statements of income at each reporting date.</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The Company follows the guidance in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its financial assets and liabilities that are re-measured and reported at fair value at each reporting period.</w:t>
      </w:r>
    </w:p>
    <w:p>
      <w:pPr>
        <w:spacing w:after="0" w:line="61"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 The following fair value hierarchy is used to classify assets and liabilities based on the observable inputs and unobservable inputs used in order to value the assets and liabilities:</w:t>
      </w:r>
    </w:p>
    <w:p>
      <w:pPr>
        <w:spacing w:after="0" w:line="80" w:lineRule="exact"/>
        <w:rPr>
          <w:sz w:val="20"/>
          <w:szCs w:val="20"/>
          <w:color w:val="auto"/>
        </w:rPr>
      </w:pPr>
    </w:p>
    <w:p>
      <w:pPr>
        <w:ind w:left="780" w:hanging="313"/>
        <w:spacing w:after="0" w:line="279"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1: Quoted prices in active markets for identical assets or liabilities. An active market for an asset or liability is a market in which transactions for the asset or liability occur with sufficient frequency and volume to provide pricing information on an ongoing basis.</w:t>
      </w:r>
    </w:p>
    <w:p>
      <w:pPr>
        <w:spacing w:after="0" w:line="61" w:lineRule="exact"/>
        <w:rPr>
          <w:rFonts w:ascii="Arial" w:cs="Arial" w:eastAsia="Arial" w:hAnsi="Arial"/>
          <w:sz w:val="17"/>
          <w:szCs w:val="17"/>
          <w:color w:val="auto"/>
        </w:rPr>
      </w:pPr>
    </w:p>
    <w:p>
      <w:pPr>
        <w:ind w:left="780" w:hanging="313"/>
        <w:spacing w:after="0" w:line="279" w:lineRule="auto"/>
        <w:tabs>
          <w:tab w:leader="none" w:pos="776" w:val="left"/>
        </w:tabs>
        <w:numPr>
          <w:ilvl w:val="0"/>
          <w:numId w:val="7"/>
        </w:numPr>
        <w:rPr>
          <w:rFonts w:ascii="Arial" w:cs="Arial" w:eastAsia="Arial" w:hAnsi="Arial"/>
          <w:sz w:val="17"/>
          <w:szCs w:val="17"/>
          <w:color w:val="auto"/>
        </w:rPr>
      </w:pPr>
      <w:r>
        <w:rPr>
          <w:rFonts w:ascii="Arial" w:cs="Arial" w:eastAsia="Arial" w:hAnsi="Arial"/>
          <w:sz w:val="17"/>
          <w:szCs w:val="17"/>
          <w:color w:val="auto"/>
        </w:rPr>
        <w:t>Level 2: Observable inputs other than Level 1 inputs. Examples of Level 2 inputs include quoted prices in active markets for similar assets or liabilities and quoted prices for identical assets or liabilities in markets that are not active.</w:t>
      </w:r>
    </w:p>
    <w:p>
      <w:pPr>
        <w:spacing w:after="0" w:line="61" w:lineRule="exact"/>
        <w:rPr>
          <w:rFonts w:ascii="Arial" w:cs="Arial" w:eastAsia="Arial" w:hAnsi="Arial"/>
          <w:sz w:val="17"/>
          <w:szCs w:val="17"/>
          <w:color w:val="auto"/>
        </w:rPr>
      </w:pPr>
    </w:p>
    <w:p>
      <w:pPr>
        <w:ind w:left="780" w:hanging="313"/>
        <w:spacing w:after="0"/>
        <w:tabs>
          <w:tab w:leader="none" w:pos="780" w:val="left"/>
        </w:tabs>
        <w:numPr>
          <w:ilvl w:val="0"/>
          <w:numId w:val="7"/>
        </w:numPr>
        <w:rPr>
          <w:rFonts w:ascii="Arial" w:cs="Arial" w:eastAsia="Arial" w:hAnsi="Arial"/>
          <w:sz w:val="15"/>
          <w:szCs w:val="15"/>
          <w:color w:val="auto"/>
        </w:rPr>
      </w:pPr>
      <w:r>
        <w:rPr>
          <w:rFonts w:ascii="Arial" w:cs="Arial" w:eastAsia="Arial" w:hAnsi="Arial"/>
          <w:sz w:val="15"/>
          <w:szCs w:val="15"/>
          <w:color w:val="auto"/>
        </w:rPr>
        <w:t>Level 3: Unobservable inputs based on the Company assessment of the assumptions that market participants would use in pricing the asset or liability.</w:t>
      </w: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 Receivable Agreement</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Business Combination was accomplished through what is commonly referred to as an “Up-C” structure, which is often used by partnerships and limited liability companies undertaking an initial public offering. The Up-C structure allows the Legacy WMH Unit holders to retain their equity ownership in WMH LLC, an entity that is classified as a partnership for U.S.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240"/>
          </w:cols>
          <w:pgMar w:left="320" w:top="127"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federal income tax purposes, in the form of Units and provides potential future tax benefits for both the Company and the WMH LLC Unit holders when they ultimately exchange their pass-through interests for shares of Class A Common Stock. Additionally, the Company could obtain future increases in its tax basis of the assets of WMH LLC when such units are redeemed or exchanged by the continuing members. This increase in tax basis may have the effect of reducing the amounts paid in the future to various tax authorities. The increase in tax basis may also decrease gains (or increase losses) on future dispositions of certain capital assets to the extent tax basis is allocated to those capital assets.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connection with the Business Combination, the Company entered into a tax receivable agreement (the “Tax Receivable Agreement”) with continuing members that provides for a payment to the continuing Class A Unit holders of 85% of the amount of tax benefits, if any, that the Company realizes, or is deemed to realize, as a result of redemptions or exchanges of Units. In connection with such potential future tax benefits resulting from the Business Combination, the Company has established a deferred tax asset for the additional tax basis and a corresponding TRA liability of 85% of the expected benefit. The remaining 15% is recorded to additional paid-in capital.</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 xml:space="preserve">Effective January 1, 2021, the Company accounts for its leases under ASC 842 - </w:t>
      </w:r>
      <w:r>
        <w:rPr>
          <w:rFonts w:ascii="Arial" w:cs="Arial" w:eastAsia="Arial" w:hAnsi="Arial"/>
          <w:sz w:val="15"/>
          <w:szCs w:val="15"/>
          <w:i w:val="1"/>
          <w:iCs w:val="1"/>
          <w:color w:val="auto"/>
        </w:rPr>
        <w:t>Leases</w:t>
      </w:r>
      <w:r>
        <w:rPr>
          <w:rFonts w:ascii="Arial" w:cs="Arial" w:eastAsia="Arial" w:hAnsi="Arial"/>
          <w:sz w:val="15"/>
          <w:szCs w:val="15"/>
          <w:color w:val="auto"/>
        </w:rPr>
        <w:t>. Under this guidance, lessees classify arrangements meeting the definition of a lease as operating or financing leases, and leases are recorded on the consolidated balance sheet as both a right-of-use asset (“ROU”) and lease liability, calculated by discounting fixed lease payments over the lease term at the rate implicit in the lease or the Company’s incremental borrowing rate. Lease liabilities are increased by interest and reduced by payments each period, and the right-of-use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5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calculating the right-of-use asset and lease liability, the Company elects to combine lease and non-lease components for all classes of assets. The Company excludes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The Company continues to account for leases in the prior period financial statements under ASC 840,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3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 Equity Security</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 xml:space="preserve">Investments in equity securities that do not have a readily determinable fair value and qualify for the measurement alternative for equity investments provided in ASC 321, </w:t>
      </w:r>
      <w:r>
        <w:rPr>
          <w:rFonts w:ascii="Arial" w:cs="Arial" w:eastAsia="Arial" w:hAnsi="Arial"/>
          <w:sz w:val="17"/>
          <w:szCs w:val="17"/>
          <w:i w:val="1"/>
          <w:iCs w:val="1"/>
          <w:color w:val="auto"/>
        </w:rPr>
        <w:t>Investments – Equity Securities</w:t>
      </w:r>
      <w:r>
        <w:rPr>
          <w:rFonts w:ascii="Arial" w:cs="Arial" w:eastAsia="Arial" w:hAnsi="Arial"/>
          <w:sz w:val="17"/>
          <w:szCs w:val="17"/>
          <w:color w:val="auto"/>
        </w:rPr>
        <w:t xml:space="preserve"> are accounted for at cost, less any impairment, plus or minus changes resulting from observable price changes in orderly transactions for an identical or similar investment of the same issuer. As of September 30, 2021, the carrying value of the Company’s investment in an equity security without a readily determinable fair value was $3.0 million, which is recorded within Other assets on the Company’s condensed consolidated balance sheets.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114" w:lineRule="exact"/>
        <w:rPr>
          <w:sz w:val="20"/>
          <w:szCs w:val="20"/>
          <w:color w:val="auto"/>
        </w:rPr>
      </w:pPr>
    </w:p>
    <w:p>
      <w:pPr>
        <w:jc w:val="both"/>
        <w:ind w:firstLine="464"/>
        <w:spacing w:after="0" w:line="274"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2016-02, Leases (Topic 842). The guidance in this ASU supersedes the leasing guidance in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consolidated statements of operations. The Company adopted ASC 842 as of January 1, 2021, using the modified retrospective transition approach by recording an ROU asset and lease liability for operating leases of $43.3 million and $48.4 million, respectively, at that date; the Company did not have any finance lease assets and liabilities upon adoption or any arrangements where it acts as a lessor. Adoption of ASC 842 did not have an effect on the Company’s retained earnings. The Company availed itself of the practical expedients provided under ASC 842 regarding identification of leases, lease classification, indirect costs, and the combination of lease and non-lease components for all classes of assets. The Company continues to account for leases in the prior period financial statements under ASC 840.</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240"/>
          </w:cols>
          <w:pgMar w:left="320" w:top="127" w:right="3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4"/>
          <w:szCs w:val="14"/>
          <w:b w:val="1"/>
          <w:bCs w:val="1"/>
          <w:color w:val="auto"/>
        </w:rPr>
        <w:t>Leases</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On January 1, 2021, the Company adopted ASC 842 using the modified retrospective transition approach for recording ROU assets and operating lease liabilities for its operating leases. The Company’s operating leases consist of office space located primarily in the United States. The Company does not have any leases classified as financing leases.</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components of lease related costs for the three and nine months ended September 30, 2021 are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2"/>
              </w:rPr>
              <w:t>Three Months Ended</w:t>
            </w:r>
          </w:p>
        </w:tc>
        <w:tc>
          <w:tcPr>
            <w:tcW w:w="2340" w:type="dxa"/>
            <w:vAlign w:val="bottom"/>
            <w:gridSpan w:val="2"/>
          </w:tcPr>
          <w:p>
            <w:pPr>
              <w:ind w:left="20"/>
              <w:spacing w:after="0"/>
              <w:rPr>
                <w:sz w:val="20"/>
                <w:szCs w:val="20"/>
                <w:color w:val="auto"/>
              </w:rPr>
            </w:pPr>
            <w:r>
              <w:rPr>
                <w:rFonts w:ascii="Arial" w:cs="Arial" w:eastAsia="Arial" w:hAnsi="Arial"/>
                <w:sz w:val="17"/>
                <w:szCs w:val="17"/>
                <w:b w:val="1"/>
                <w:bCs w:val="1"/>
                <w:color w:val="auto"/>
                <w:w w:val="91"/>
              </w:rPr>
              <w:t>Nine Months Ended September</w:t>
            </w:r>
          </w:p>
        </w:tc>
      </w:tr>
      <w:tr>
        <w:trPr>
          <w:trHeight w:val="219"/>
        </w:trPr>
        <w:tc>
          <w:tcPr>
            <w:tcW w:w="6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0"/>
              </w:rPr>
              <w:t>September 30, 2021</w:t>
            </w:r>
          </w:p>
        </w:tc>
        <w:tc>
          <w:tcPr>
            <w:tcW w:w="480" w:type="dxa"/>
            <w:vAlign w:val="bottom"/>
          </w:tcPr>
          <w:p>
            <w:pPr>
              <w:spacing w:after="0"/>
              <w:rPr>
                <w:sz w:val="19"/>
                <w:szCs w:val="19"/>
                <w:color w:val="auto"/>
              </w:rPr>
            </w:pPr>
          </w:p>
        </w:tc>
        <w:tc>
          <w:tcPr>
            <w:tcW w:w="1860" w:type="dxa"/>
            <w:vAlign w:val="bottom"/>
          </w:tcPr>
          <w:p>
            <w:pPr>
              <w:jc w:val="right"/>
              <w:ind w:right="774"/>
              <w:spacing w:after="0"/>
              <w:rPr>
                <w:sz w:val="20"/>
                <w:szCs w:val="20"/>
                <w:color w:val="auto"/>
              </w:rPr>
            </w:pPr>
            <w:r>
              <w:rPr>
                <w:rFonts w:ascii="Arial" w:cs="Arial" w:eastAsia="Arial" w:hAnsi="Arial"/>
                <w:sz w:val="17"/>
                <w:szCs w:val="17"/>
                <w:b w:val="1"/>
                <w:bCs w:val="1"/>
                <w:color w:val="auto"/>
              </w:rPr>
              <w:t>30, 2021</w:t>
            </w:r>
          </w:p>
        </w:tc>
      </w:tr>
      <w:tr>
        <w:trPr>
          <w:trHeight w:val="212"/>
        </w:trPr>
        <w:tc>
          <w:tcPr>
            <w:tcW w:w="6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Operating lease cost</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2,350</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7,118</w:t>
            </w: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Variable lease cost</w:t>
            </w: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r>
      <w:tr>
        <w:trPr>
          <w:trHeight w:val="213"/>
        </w:trPr>
        <w:tc>
          <w:tcPr>
            <w:tcW w:w="64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Operating lease cost</w:t>
            </w:r>
          </w:p>
        </w:tc>
        <w:tc>
          <w:tcPr>
            <w:tcW w:w="24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2,915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8,833</w:t>
            </w:r>
          </w:p>
        </w:tc>
      </w:tr>
      <w:tr>
        <w:trPr>
          <w:trHeight w:val="218"/>
        </w:trPr>
        <w:tc>
          <w:tcPr>
            <w:tcW w:w="6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Short-term lease cost</w:t>
            </w:r>
          </w:p>
        </w:tc>
        <w:tc>
          <w:tcPr>
            <w:tcW w:w="2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w:t>
            </w:r>
          </w:p>
        </w:tc>
      </w:tr>
      <w:tr>
        <w:trPr>
          <w:trHeight w:val="238"/>
        </w:trPr>
        <w:tc>
          <w:tcPr>
            <w:tcW w:w="6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 lease cost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8,921</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5593080</wp:posOffset>
            </wp:positionH>
            <wp:positionV relativeFrom="paragraph">
              <wp:posOffset>-752475</wp:posOffset>
            </wp:positionV>
            <wp:extent cx="571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For the three and nine months ended September 30, 2021, the Company made cash payments of $2.4 million and $5.9 million, respectively, on its operating leases, all of which were included in cash flows from operating activities within the condensed consolidated statements of cash flows. During the nine months ended September 30, 2021, ROU assets obtained in exchange for operating lease liabilities were $43.3 million.</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160" w:type="dxa"/>
            <w:vAlign w:val="bottom"/>
          </w:tcPr>
          <w:p>
            <w:pPr>
              <w:ind w:left="460"/>
              <w:spacing w:after="0"/>
              <w:rPr>
                <w:sz w:val="20"/>
                <w:szCs w:val="20"/>
                <w:color w:val="auto"/>
              </w:rPr>
            </w:pPr>
            <w:r>
              <w:rPr>
                <w:rFonts w:ascii="Arial" w:cs="Arial" w:eastAsia="Arial" w:hAnsi="Arial"/>
                <w:sz w:val="17"/>
                <w:szCs w:val="17"/>
                <w:color w:val="auto"/>
                <w:w w:val="95"/>
              </w:rPr>
              <w:t>As of September 30, 2021, future minimum payments for the next five years and thereafter are as follows (in thousands):</w:t>
            </w:r>
          </w:p>
        </w:tc>
        <w:tc>
          <w:tcPr>
            <w:tcW w:w="24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49"/>
        </w:trPr>
        <w:tc>
          <w:tcPr>
            <w:tcW w:w="916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w w:val="99"/>
              </w:rPr>
              <w:t>Operating Leases</w:t>
            </w:r>
          </w:p>
        </w:tc>
      </w:tr>
      <w:tr>
        <w:trPr>
          <w:trHeight w:val="213"/>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period in 2021 (three months)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Year ended December 31, 2022</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9,597</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2023</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9,898</w:t>
            </w:r>
          </w:p>
        </w:tc>
      </w:tr>
      <w:tr>
        <w:trPr>
          <w:trHeight w:val="218"/>
        </w:trPr>
        <w:tc>
          <w:tcPr>
            <w:tcW w:w="9160" w:type="dxa"/>
            <w:vAlign w:val="bottom"/>
          </w:tcPr>
          <w:p>
            <w:pPr>
              <w:ind w:left="20"/>
              <w:spacing w:after="0"/>
              <w:rPr>
                <w:sz w:val="20"/>
                <w:szCs w:val="20"/>
                <w:color w:val="auto"/>
              </w:rPr>
            </w:pPr>
            <w:r>
              <w:rPr>
                <w:rFonts w:ascii="Arial" w:cs="Arial" w:eastAsia="Arial" w:hAnsi="Arial"/>
                <w:sz w:val="17"/>
                <w:szCs w:val="17"/>
                <w:color w:val="auto"/>
              </w:rPr>
              <w:t>Year ended December 31, 2024</w:t>
            </w: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7"/>
                <w:szCs w:val="17"/>
                <w:color w:val="auto"/>
              </w:rPr>
              <w:t>9,405</w:t>
            </w:r>
          </w:p>
        </w:tc>
      </w:tr>
      <w:tr>
        <w:trPr>
          <w:trHeight w:val="220"/>
        </w:trPr>
        <w:tc>
          <w:tcPr>
            <w:tcW w:w="9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Year ended December 31, 2025</w:t>
            </w:r>
          </w:p>
        </w:tc>
        <w:tc>
          <w:tcPr>
            <w:tcW w:w="2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5,830</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29,732</w:t>
            </w:r>
          </w:p>
        </w:tc>
      </w:tr>
      <w:tr>
        <w:trPr>
          <w:trHeight w:val="213"/>
        </w:trPr>
        <w:tc>
          <w:tcPr>
            <w:tcW w:w="91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Future minimum lease payments</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66,805</w:t>
            </w:r>
          </w:p>
        </w:tc>
      </w:tr>
      <w:tr>
        <w:trPr>
          <w:trHeight w:val="218"/>
        </w:trPr>
        <w:tc>
          <w:tcPr>
            <w:tcW w:w="9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present value discount</w:t>
            </w: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(20,736)</w:t>
            </w:r>
          </w:p>
        </w:tc>
      </w:tr>
      <w:tr>
        <w:trPr>
          <w:trHeight w:val="238"/>
        </w:trPr>
        <w:tc>
          <w:tcPr>
            <w:tcW w:w="9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Operating lease liabilities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46,069</w:t>
            </w:r>
          </w:p>
        </w:tc>
      </w:tr>
      <w:tr>
        <w:trPr>
          <w:trHeight w:val="20"/>
        </w:trPr>
        <w:tc>
          <w:tcPr>
            <w:tcW w:w="9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r>
    </w:tbl>
    <w:p>
      <w:pPr>
        <w:spacing w:after="0" w:line="168"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As of September 30, 2021, the Company’s operating leases had a weighted average remaining lease term of 7.6 years and a weighted-average discount rate of 9.8%. The Company’s lease agreements do not provide an implicit rate and as a result, the Company used an estimated incremental borrowing rate, which was derived from third-party information available at the time the Company adopted ASC 842 in determining the present value of future lease payments. The rate used is for a secured borrowing of a similar term as the right of use asset. During the nine months ended September 30, 2021, the Company recognized an impairment charge of $2.4 million related to an ROU asset reducing the carrying value of the lease asset to its estimated fair value. The fair value was estimated using an income approach based on management’s forecast of future cash flows expected to be derived based on current sublease market rent. The impairment charge is included in general and administrative expenses in the condensed consolidated statements of income.</w:t>
      </w:r>
    </w:p>
    <w:p>
      <w:pPr>
        <w:spacing w:after="0" w:line="163"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Commitments and Contingencies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Litigation</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ordinary course of the Company’s business, it is subject to various claims and litigation. Management believes that the outcome of such claims or litigation will not have a material adverse effect on the Company’s financial position, results of operations or cash flow.</w:t>
      </w:r>
    </w:p>
    <w:p>
      <w:pPr>
        <w:spacing w:after="0" w:line="6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September 2019, the Company received a grand jury subpoena prepared by the United States Attorney’s Office for the Eastern District of California (“DOJ”). The subpoena demanded certain categories of information from the Company, some of</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240"/>
          </w:cols>
          <w:pgMar w:left="320" w:top="127"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which the Company has already provided. Management believes that the outcome of such inquiry will not have a material adverse impact of the Company’s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75"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5"/>
          <w:szCs w:val="15"/>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The Company has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2021.The Company believes that these allegations are without merit. These matters are in the early stages and the Company is unable to reasonably determine the outcome or estimate the loss, if any, and as such, have not recorded a loss contingency.</w:t>
      </w:r>
    </w:p>
    <w:p>
      <w:pPr>
        <w:spacing w:after="0" w:line="154" w:lineRule="exact"/>
        <w:rPr>
          <w:sz w:val="20"/>
          <w:szCs w:val="20"/>
          <w:color w:val="auto"/>
        </w:rPr>
      </w:pPr>
    </w:p>
    <w:p>
      <w:pPr>
        <w:spacing w:after="0"/>
        <w:tabs>
          <w:tab w:leader="none" w:pos="28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Fair Value Measurements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information about the Company’s liabilities that are measured at fair value on a recurring basis at September 30, 2021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2020, and indicates the fair value hierarchy of the valuation inputs the Company utilized to determine such fair value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520" w:type="dxa"/>
            <w:vAlign w:val="bottom"/>
          </w:tcPr>
          <w:p>
            <w:pPr>
              <w:spacing w:after="0"/>
              <w:rPr>
                <w:sz w:val="19"/>
                <w:szCs w:val="19"/>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Level</w:t>
            </w:r>
          </w:p>
        </w:tc>
        <w:tc>
          <w:tcPr>
            <w:tcW w:w="180" w:type="dxa"/>
            <w:vAlign w:val="bottom"/>
          </w:tcPr>
          <w:p>
            <w:pPr>
              <w:spacing w:after="0"/>
              <w:rPr>
                <w:sz w:val="19"/>
                <w:szCs w:val="19"/>
                <w:color w:val="auto"/>
              </w:rPr>
            </w:pPr>
          </w:p>
        </w:tc>
        <w:tc>
          <w:tcPr>
            <w:tcW w:w="1860" w:type="dxa"/>
            <w:vAlign w:val="bottom"/>
            <w:gridSpan w:val="2"/>
          </w:tcPr>
          <w:p>
            <w:pPr>
              <w:ind w:left="80"/>
              <w:spacing w:after="0"/>
              <w:rPr>
                <w:sz w:val="20"/>
                <w:szCs w:val="20"/>
                <w:color w:val="auto"/>
              </w:rPr>
            </w:pPr>
            <w:r>
              <w:rPr>
                <w:rFonts w:ascii="Arial" w:cs="Arial" w:eastAsia="Arial" w:hAnsi="Arial"/>
                <w:sz w:val="17"/>
                <w:szCs w:val="17"/>
                <w:b w:val="1"/>
                <w:bCs w:val="1"/>
                <w:color w:val="auto"/>
              </w:rPr>
              <w:t>September 30, 2021</w:t>
            </w:r>
          </w:p>
        </w:tc>
        <w:tc>
          <w:tcPr>
            <w:tcW w:w="200" w:type="dxa"/>
            <w:vAlign w:val="bottom"/>
          </w:tcPr>
          <w:p>
            <w:pPr>
              <w:spacing w:after="0"/>
              <w:rPr>
                <w:sz w:val="19"/>
                <w:szCs w:val="19"/>
                <w:color w:val="auto"/>
              </w:rPr>
            </w:pPr>
          </w:p>
        </w:tc>
        <w:tc>
          <w:tcPr>
            <w:tcW w:w="1760" w:type="dxa"/>
            <w:vAlign w:val="bottom"/>
          </w:tcPr>
          <w:p>
            <w:pPr>
              <w:ind w:left="80"/>
              <w:spacing w:after="0"/>
              <w:rPr>
                <w:sz w:val="20"/>
                <w:szCs w:val="20"/>
                <w:color w:val="auto"/>
              </w:rPr>
            </w:pPr>
            <w:r>
              <w:rPr>
                <w:rFonts w:ascii="Arial" w:cs="Arial" w:eastAsia="Arial" w:hAnsi="Arial"/>
                <w:sz w:val="17"/>
                <w:szCs w:val="17"/>
                <w:b w:val="1"/>
                <w:bCs w:val="1"/>
                <w:color w:val="auto"/>
              </w:rPr>
              <w:t>December 31, 2020</w:t>
            </w:r>
          </w:p>
        </w:tc>
      </w:tr>
      <w:tr>
        <w:trPr>
          <w:trHeight w:val="200"/>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60" w:type="dxa"/>
            <w:vAlign w:val="bottom"/>
            <w:tcBorders>
              <w:top w:val="single" w:sz="8" w:color="auto"/>
            </w:tcBorders>
            <w:shd w:val="clear" w:color="auto" w:fill="CCEEFF"/>
          </w:tcPr>
          <w:p>
            <w:pPr>
              <w:spacing w:after="0"/>
              <w:rPr>
                <w:sz w:val="17"/>
                <w:szCs w:val="17"/>
                <w:color w:val="auto"/>
              </w:rPr>
            </w:pPr>
          </w:p>
        </w:tc>
      </w:tr>
      <w:tr>
        <w:trPr>
          <w:trHeight w:val="218"/>
        </w:trPr>
        <w:tc>
          <w:tcPr>
            <w:tcW w:w="5520" w:type="dxa"/>
            <w:vAlign w:val="bottom"/>
          </w:tcPr>
          <w:p>
            <w:pPr>
              <w:ind w:left="20"/>
              <w:spacing w:after="0"/>
              <w:rPr>
                <w:sz w:val="20"/>
                <w:szCs w:val="20"/>
                <w:color w:val="auto"/>
              </w:rPr>
            </w:pPr>
            <w:r>
              <w:rPr>
                <w:rFonts w:ascii="Arial" w:cs="Arial" w:eastAsia="Arial" w:hAnsi="Arial"/>
                <w:sz w:val="17"/>
                <w:szCs w:val="17"/>
                <w:color w:val="auto"/>
              </w:rPr>
              <w:t>Warrant liability – Public Warrants</w:t>
            </w:r>
          </w:p>
        </w:tc>
        <w:tc>
          <w:tcPr>
            <w:tcW w:w="1440" w:type="dxa"/>
            <w:vAlign w:val="bottom"/>
          </w:tcPr>
          <w:p>
            <w:pPr>
              <w:jc w:val="center"/>
              <w:spacing w:after="0"/>
              <w:rPr>
                <w:sz w:val="20"/>
                <w:szCs w:val="20"/>
                <w:color w:val="auto"/>
              </w:rPr>
            </w:pPr>
            <w:r>
              <w:rPr>
                <w:rFonts w:ascii="Arial" w:cs="Arial" w:eastAsia="Arial" w:hAnsi="Arial"/>
                <w:sz w:val="17"/>
                <w:szCs w:val="17"/>
                <w:color w:val="auto"/>
                <w:w w:val="84"/>
              </w:rPr>
              <w:t>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Pr>
          <w:p>
            <w:pPr>
              <w:jc w:val="right"/>
              <w:spacing w:after="0"/>
              <w:rPr>
                <w:sz w:val="20"/>
                <w:szCs w:val="20"/>
                <w:color w:val="auto"/>
              </w:rPr>
            </w:pPr>
            <w:r>
              <w:rPr>
                <w:rFonts w:ascii="Arial" w:cs="Arial" w:eastAsia="Arial" w:hAnsi="Arial"/>
                <w:sz w:val="17"/>
                <w:szCs w:val="17"/>
                <w:color w:val="auto"/>
              </w:rPr>
              <w:t>54,000</w:t>
            </w:r>
          </w:p>
        </w:tc>
        <w:tc>
          <w:tcPr>
            <w:tcW w:w="100" w:type="dxa"/>
            <w:vAlign w:val="bottom"/>
          </w:tcPr>
          <w:p>
            <w:pPr>
              <w:spacing w:after="0"/>
              <w:rPr>
                <w:sz w:val="18"/>
                <w:szCs w:val="18"/>
                <w:color w:val="auto"/>
              </w:rPr>
            </w:pP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Pr>
          <w:p>
            <w:pPr>
              <w:ind w:left="1520"/>
              <w:spacing w:after="0"/>
              <w:rPr>
                <w:sz w:val="20"/>
                <w:szCs w:val="20"/>
                <w:color w:val="auto"/>
              </w:rPr>
            </w:pPr>
            <w:r>
              <w:rPr>
                <w:rFonts w:ascii="Arial" w:cs="Arial" w:eastAsia="Arial" w:hAnsi="Arial"/>
                <w:sz w:val="17"/>
                <w:szCs w:val="17"/>
                <w:color w:val="auto"/>
              </w:rPr>
              <w:t>—</w:t>
            </w:r>
          </w:p>
        </w:tc>
      </w:tr>
      <w:tr>
        <w:trPr>
          <w:trHeight w:val="219"/>
        </w:trPr>
        <w:tc>
          <w:tcPr>
            <w:tcW w:w="5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 – Private Placement Warrants</w:t>
            </w:r>
          </w:p>
        </w:tc>
        <w:tc>
          <w:tcPr>
            <w:tcW w:w="14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56,350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7"/>
                <w:szCs w:val="17"/>
                <w:color w:val="auto"/>
              </w:rPr>
              <w:t>—</w:t>
            </w:r>
          </w:p>
        </w:tc>
      </w:tr>
      <w:tr>
        <w:trPr>
          <w:trHeight w:val="213"/>
        </w:trPr>
        <w:tc>
          <w:tcPr>
            <w:tcW w:w="5520" w:type="dxa"/>
            <w:vAlign w:val="bottom"/>
          </w:tcPr>
          <w:p>
            <w:pPr>
              <w:ind w:left="120"/>
              <w:spacing w:after="0"/>
              <w:rPr>
                <w:sz w:val="20"/>
                <w:szCs w:val="20"/>
                <w:color w:val="auto"/>
              </w:rPr>
            </w:pPr>
            <w:r>
              <w:rPr>
                <w:rFonts w:ascii="Arial" w:cs="Arial" w:eastAsia="Arial" w:hAnsi="Arial"/>
                <w:sz w:val="17"/>
                <w:szCs w:val="17"/>
                <w:color w:val="auto"/>
              </w:rPr>
              <w:t>Total warrant liability</w:t>
            </w: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110,350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760" w:type="dxa"/>
            <w:vAlign w:val="bottom"/>
            <w:tcBorders>
              <w:bottom w:val="single" w:sz="8" w:color="auto"/>
            </w:tcBorders>
          </w:tcPr>
          <w:p>
            <w:pPr>
              <w:ind w:left="1520"/>
              <w:spacing w:after="0"/>
              <w:rPr>
                <w:sz w:val="20"/>
                <w:szCs w:val="20"/>
                <w:color w:val="auto"/>
              </w:rPr>
            </w:pPr>
            <w:r>
              <w:rPr>
                <w:rFonts w:ascii="Arial" w:cs="Arial" w:eastAsia="Arial" w:hAnsi="Arial"/>
                <w:sz w:val="17"/>
                <w:szCs w:val="17"/>
                <w:color w:val="auto"/>
              </w:rPr>
              <w:t>—</w:t>
            </w:r>
          </w:p>
        </w:tc>
      </w:tr>
      <w:tr>
        <w:trPr>
          <w:trHeight w:val="20"/>
        </w:trPr>
        <w:tc>
          <w:tcPr>
            <w:tcW w:w="55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5708015</wp:posOffset>
            </wp:positionH>
            <wp:positionV relativeFrom="paragraph">
              <wp:posOffset>-596900</wp:posOffset>
            </wp:positionV>
            <wp:extent cx="571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4414520</wp:posOffset>
            </wp:positionH>
            <wp:positionV relativeFrom="paragraph">
              <wp:posOffset>-596900</wp:posOffset>
            </wp:positionV>
            <wp:extent cx="571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-596900</wp:posOffset>
            </wp:positionV>
            <wp:extent cx="571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240"/>
          </w:cols>
          <w:pgMar w:left="320" w:top="127"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summarize the changes in the fair value of the warrant liabilities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7"/>
                <w:szCs w:val="17"/>
                <w:b w:val="1"/>
                <w:bCs w:val="1"/>
                <w:color w:val="auto"/>
                <w:w w:val="90"/>
              </w:rPr>
              <w:t>Three months ended September 30, 2021</w:t>
            </w: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Public Warrants</w:t>
            </w:r>
          </w:p>
        </w:tc>
        <w:tc>
          <w:tcPr>
            <w:tcW w:w="1520" w:type="dxa"/>
            <w:vAlign w:val="bottom"/>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1"/>
              </w:rPr>
              <w:t>Private Placement</w:t>
            </w:r>
          </w:p>
        </w:tc>
        <w:tc>
          <w:tcPr>
            <w:tcW w:w="220" w:type="dxa"/>
            <w:vAlign w:val="bottom"/>
          </w:tcPr>
          <w:p>
            <w:pPr>
              <w:spacing w:after="0"/>
              <w:rPr>
                <w:sz w:val="14"/>
                <w:szCs w:val="14"/>
                <w:color w:val="auto"/>
              </w:rPr>
            </w:pPr>
          </w:p>
        </w:tc>
        <w:tc>
          <w:tcPr>
            <w:tcW w:w="1200" w:type="dxa"/>
            <w:vAlign w:val="bottom"/>
          </w:tcPr>
          <w:p>
            <w:pPr>
              <w:jc w:val="center"/>
              <w:ind w:right="154"/>
              <w:spacing w:after="0" w:line="162" w:lineRule="exact"/>
              <w:rPr>
                <w:sz w:val="20"/>
                <w:szCs w:val="20"/>
                <w:color w:val="auto"/>
              </w:rPr>
            </w:pPr>
            <w:r>
              <w:rPr>
                <w:rFonts w:ascii="Arial" w:cs="Arial" w:eastAsia="Arial" w:hAnsi="Arial"/>
                <w:sz w:val="17"/>
                <w:szCs w:val="17"/>
                <w:b w:val="1"/>
                <w:bCs w:val="1"/>
                <w:color w:val="auto"/>
                <w:w w:val="99"/>
              </w:rPr>
              <w:t>Warrant</w:t>
            </w:r>
          </w:p>
        </w:tc>
        <w:tc>
          <w:tcPr>
            <w:tcW w:w="0" w:type="dxa"/>
            <w:vAlign w:val="bottom"/>
          </w:tcPr>
          <w:p>
            <w:pPr>
              <w:spacing w:after="0"/>
              <w:rPr>
                <w:sz w:val="1"/>
                <w:szCs w:val="1"/>
                <w:color w:val="auto"/>
              </w:rPr>
            </w:pPr>
          </w:p>
        </w:tc>
      </w:tr>
      <w:tr>
        <w:trPr>
          <w:trHeight w:val="219"/>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4"/>
              </w:rPr>
              <w:t>Warrants</w:t>
            </w:r>
          </w:p>
        </w:tc>
        <w:tc>
          <w:tcPr>
            <w:tcW w:w="220" w:type="dxa"/>
            <w:vAlign w:val="bottom"/>
          </w:tcPr>
          <w:p>
            <w:pPr>
              <w:spacing w:after="0"/>
              <w:rPr>
                <w:sz w:val="19"/>
                <w:szCs w:val="19"/>
                <w:color w:val="auto"/>
              </w:rPr>
            </w:pPr>
          </w:p>
        </w:tc>
        <w:tc>
          <w:tcPr>
            <w:tcW w:w="1200" w:type="dxa"/>
            <w:vAlign w:val="bottom"/>
          </w:tcPr>
          <w:p>
            <w:pPr>
              <w:jc w:val="center"/>
              <w:ind w:right="134"/>
              <w:spacing w:after="0"/>
              <w:rPr>
                <w:sz w:val="20"/>
                <w:szCs w:val="20"/>
                <w:color w:val="auto"/>
              </w:rPr>
            </w:pPr>
            <w:r>
              <w:rPr>
                <w:rFonts w:ascii="Arial" w:cs="Arial" w:eastAsia="Arial" w:hAnsi="Arial"/>
                <w:sz w:val="17"/>
                <w:szCs w:val="17"/>
                <w:b w:val="1"/>
                <w:bCs w:val="1"/>
                <w:color w:val="auto"/>
                <w:w w:val="94"/>
              </w:rPr>
              <w:t>Liabilities</w:t>
            </w:r>
          </w:p>
        </w:tc>
        <w:tc>
          <w:tcPr>
            <w:tcW w:w="0" w:type="dxa"/>
            <w:vAlign w:val="bottom"/>
          </w:tcPr>
          <w:p>
            <w:pPr>
              <w:spacing w:after="0"/>
              <w:rPr>
                <w:sz w:val="1"/>
                <w:szCs w:val="1"/>
                <w:color w:val="auto"/>
              </w:rPr>
            </w:pPr>
          </w:p>
        </w:tc>
      </w:tr>
      <w:tr>
        <w:trPr>
          <w:trHeight w:val="212"/>
        </w:trPr>
        <w:tc>
          <w:tcPr>
            <w:tcW w:w="6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Fair value,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92"/>
              </w:rPr>
              <w:t>79,375</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2"/>
              </w:rPr>
              <w:t>76,812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w w:val="97"/>
              </w:rPr>
              <w:t>156,187</w:t>
            </w:r>
          </w:p>
        </w:tc>
        <w:tc>
          <w:tcPr>
            <w:tcW w:w="0" w:type="dxa"/>
            <w:vAlign w:val="bottom"/>
          </w:tcPr>
          <w:p>
            <w:pPr>
              <w:spacing w:after="0"/>
              <w:rPr>
                <w:sz w:val="1"/>
                <w:szCs w:val="1"/>
                <w:color w:val="auto"/>
              </w:rPr>
            </w:pPr>
          </w:p>
        </w:tc>
      </w:tr>
      <w:tr>
        <w:trPr>
          <w:trHeight w:val="218"/>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Change in valuation inputs or other assumptions</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center"/>
              <w:ind w:left="594"/>
              <w:spacing w:after="0"/>
              <w:rPr>
                <w:sz w:val="20"/>
                <w:szCs w:val="20"/>
                <w:color w:val="auto"/>
              </w:rPr>
            </w:pPr>
            <w:r>
              <w:rPr>
                <w:rFonts w:ascii="Arial" w:cs="Arial" w:eastAsia="Arial" w:hAnsi="Arial"/>
                <w:sz w:val="17"/>
                <w:szCs w:val="17"/>
                <w:color w:val="auto"/>
                <w:w w:val="94"/>
              </w:rPr>
              <w:t>(25,375)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center"/>
              <w:ind w:left="494"/>
              <w:spacing w:after="0"/>
              <w:rPr>
                <w:sz w:val="20"/>
                <w:szCs w:val="20"/>
                <w:color w:val="auto"/>
              </w:rPr>
            </w:pPr>
            <w:r>
              <w:rPr>
                <w:rFonts w:ascii="Arial" w:cs="Arial" w:eastAsia="Arial" w:hAnsi="Arial"/>
                <w:sz w:val="17"/>
                <w:szCs w:val="17"/>
                <w:color w:val="auto"/>
                <w:w w:val="91"/>
              </w:rPr>
              <w:t>(20,462)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600"/>
              <w:spacing w:after="0"/>
              <w:rPr>
                <w:sz w:val="20"/>
                <w:szCs w:val="20"/>
                <w:color w:val="auto"/>
              </w:rPr>
            </w:pPr>
            <w:r>
              <w:rPr>
                <w:rFonts w:ascii="Arial" w:cs="Arial" w:eastAsia="Arial" w:hAnsi="Arial"/>
                <w:sz w:val="17"/>
                <w:szCs w:val="17"/>
                <w:color w:val="auto"/>
                <w:w w:val="91"/>
              </w:rPr>
              <w:t>(45,837)</w:t>
            </w:r>
          </w:p>
        </w:tc>
        <w:tc>
          <w:tcPr>
            <w:tcW w:w="0" w:type="dxa"/>
            <w:vAlign w:val="bottom"/>
          </w:tcPr>
          <w:p>
            <w:pPr>
              <w:spacing w:after="0"/>
              <w:rPr>
                <w:sz w:val="1"/>
                <w:szCs w:val="1"/>
                <w:color w:val="auto"/>
              </w:rPr>
            </w:pPr>
          </w:p>
        </w:tc>
      </w:tr>
      <w:tr>
        <w:trPr>
          <w:trHeight w:val="238"/>
        </w:trPr>
        <w:tc>
          <w:tcPr>
            <w:tcW w:w="67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Fair value,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92"/>
              </w:rPr>
              <w:t>54,000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jc w:val="center"/>
              <w:ind w:left="514"/>
              <w:spacing w:after="0"/>
              <w:rPr>
                <w:sz w:val="20"/>
                <w:szCs w:val="20"/>
                <w:color w:val="auto"/>
              </w:rPr>
            </w:pPr>
            <w:r>
              <w:rPr>
                <w:rFonts w:ascii="Arial" w:cs="Arial" w:eastAsia="Arial" w:hAnsi="Arial"/>
                <w:sz w:val="17"/>
                <w:szCs w:val="17"/>
                <w:color w:val="auto"/>
                <w:w w:val="92"/>
              </w:rPr>
              <w:t>56,350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7"/>
                <w:szCs w:val="17"/>
                <w:color w:val="auto"/>
                <w:w w:val="97"/>
              </w:rPr>
              <w:t>110,350</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-466090</wp:posOffset>
            </wp:positionV>
            <wp:extent cx="571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7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36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7"/>
                <w:szCs w:val="17"/>
                <w:b w:val="1"/>
                <w:bCs w:val="1"/>
                <w:color w:val="auto"/>
                <w:w w:val="90"/>
              </w:rPr>
              <w:t>Nine months ended September 30, 2021</w:t>
            </w:r>
          </w:p>
        </w:tc>
        <w:tc>
          <w:tcPr>
            <w:tcW w:w="0" w:type="dxa"/>
            <w:vAlign w:val="bottom"/>
          </w:tcPr>
          <w:p>
            <w:pPr>
              <w:spacing w:after="0"/>
              <w:rPr>
                <w:sz w:val="1"/>
                <w:szCs w:val="1"/>
                <w:color w:val="auto"/>
              </w:rPr>
            </w:pPr>
          </w:p>
        </w:tc>
      </w:tr>
      <w:tr>
        <w:trPr>
          <w:trHeight w:val="161"/>
        </w:trPr>
        <w:tc>
          <w:tcPr>
            <w:tcW w:w="6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ind w:right="14"/>
              <w:spacing w:after="0"/>
              <w:rPr>
                <w:sz w:val="20"/>
                <w:szCs w:val="20"/>
                <w:color w:val="auto"/>
              </w:rPr>
            </w:pPr>
            <w:r>
              <w:rPr>
                <w:rFonts w:ascii="Arial" w:cs="Arial" w:eastAsia="Arial" w:hAnsi="Arial"/>
                <w:sz w:val="17"/>
                <w:szCs w:val="17"/>
                <w:b w:val="1"/>
                <w:bCs w:val="1"/>
                <w:color w:val="auto"/>
                <w:w w:val="92"/>
              </w:rPr>
              <w:t>Public Warrants</w:t>
            </w:r>
          </w:p>
        </w:tc>
        <w:tc>
          <w:tcPr>
            <w:tcW w:w="100" w:type="dxa"/>
            <w:vAlign w:val="bottom"/>
            <w:vMerge w:val="restart"/>
          </w:tcPr>
          <w:p>
            <w:pPr>
              <w:spacing w:after="0"/>
              <w:rPr>
                <w:sz w:val="14"/>
                <w:szCs w:val="14"/>
                <w:color w:val="auto"/>
              </w:rPr>
            </w:pPr>
          </w:p>
        </w:tc>
        <w:tc>
          <w:tcPr>
            <w:tcW w:w="1520" w:type="dxa"/>
            <w:vAlign w:val="bottom"/>
            <w:gridSpan w:val="3"/>
          </w:tcPr>
          <w:p>
            <w:pPr>
              <w:jc w:val="center"/>
              <w:ind w:right="100"/>
              <w:spacing w:after="0" w:line="162" w:lineRule="exact"/>
              <w:rPr>
                <w:sz w:val="20"/>
                <w:szCs w:val="20"/>
                <w:color w:val="auto"/>
              </w:rPr>
            </w:pPr>
            <w:r>
              <w:rPr>
                <w:rFonts w:ascii="Arial" w:cs="Arial" w:eastAsia="Arial" w:hAnsi="Arial"/>
                <w:sz w:val="17"/>
                <w:szCs w:val="17"/>
                <w:b w:val="1"/>
                <w:bCs w:val="1"/>
                <w:color w:val="auto"/>
                <w:w w:val="91"/>
              </w:rPr>
              <w:t>Private Placement</w:t>
            </w:r>
          </w:p>
        </w:tc>
        <w:tc>
          <w:tcPr>
            <w:tcW w:w="220" w:type="dxa"/>
            <w:vAlign w:val="bottom"/>
          </w:tcPr>
          <w:p>
            <w:pPr>
              <w:spacing w:after="0"/>
              <w:rPr>
                <w:sz w:val="14"/>
                <w:szCs w:val="14"/>
                <w:color w:val="auto"/>
              </w:rPr>
            </w:pPr>
          </w:p>
        </w:tc>
        <w:tc>
          <w:tcPr>
            <w:tcW w:w="1200" w:type="dxa"/>
            <w:vAlign w:val="bottom"/>
          </w:tcPr>
          <w:p>
            <w:pPr>
              <w:jc w:val="right"/>
              <w:ind w:right="314"/>
              <w:spacing w:after="0" w:line="162" w:lineRule="exact"/>
              <w:rPr>
                <w:sz w:val="20"/>
                <w:szCs w:val="20"/>
                <w:color w:val="auto"/>
              </w:rPr>
            </w:pPr>
            <w:r>
              <w:rPr>
                <w:rFonts w:ascii="Arial" w:cs="Arial" w:eastAsia="Arial" w:hAnsi="Arial"/>
                <w:sz w:val="17"/>
                <w:szCs w:val="17"/>
                <w:b w:val="1"/>
                <w:bCs w:val="1"/>
                <w:color w:val="auto"/>
              </w:rPr>
              <w:t>Warrant</w:t>
            </w:r>
          </w:p>
        </w:tc>
        <w:tc>
          <w:tcPr>
            <w:tcW w:w="0" w:type="dxa"/>
            <w:vAlign w:val="bottom"/>
          </w:tcPr>
          <w:p>
            <w:pPr>
              <w:spacing w:after="0"/>
              <w:rPr>
                <w:sz w:val="1"/>
                <w:szCs w:val="1"/>
                <w:color w:val="auto"/>
              </w:rPr>
            </w:pPr>
          </w:p>
        </w:tc>
      </w:tr>
      <w:tr>
        <w:trPr>
          <w:trHeight w:val="219"/>
        </w:trPr>
        <w:tc>
          <w:tcPr>
            <w:tcW w:w="67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4"/>
              </w:rPr>
              <w:t>Warrants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Liabilities</w:t>
            </w:r>
          </w:p>
        </w:tc>
        <w:tc>
          <w:tcPr>
            <w:tcW w:w="0" w:type="dxa"/>
            <w:vAlign w:val="bottom"/>
          </w:tcPr>
          <w:p>
            <w:pPr>
              <w:spacing w:after="0"/>
              <w:rPr>
                <w:sz w:val="1"/>
                <w:szCs w:val="1"/>
                <w:color w:val="auto"/>
              </w:rPr>
            </w:pPr>
          </w:p>
        </w:tc>
      </w:tr>
      <w:tr>
        <w:trPr>
          <w:trHeight w:val="212"/>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780" w:type="dxa"/>
            <w:vAlign w:val="bottom"/>
          </w:tcPr>
          <w:p>
            <w:pPr>
              <w:ind w:left="20"/>
              <w:spacing w:after="0"/>
              <w:rPr>
                <w:sz w:val="20"/>
                <w:szCs w:val="20"/>
                <w:color w:val="auto"/>
              </w:rPr>
            </w:pPr>
            <w:r>
              <w:rPr>
                <w:rFonts w:ascii="Arial" w:cs="Arial" w:eastAsia="Arial" w:hAnsi="Arial"/>
                <w:sz w:val="17"/>
                <w:szCs w:val="17"/>
                <w:color w:val="auto"/>
              </w:rPr>
              <w:t>Warrant liability acquired</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100,750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93,228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193,978</w:t>
            </w:r>
          </w:p>
        </w:tc>
        <w:tc>
          <w:tcPr>
            <w:tcW w:w="0" w:type="dxa"/>
            <w:vAlign w:val="bottom"/>
          </w:tcPr>
          <w:p>
            <w:pPr>
              <w:spacing w:after="0"/>
              <w:rPr>
                <w:sz w:val="1"/>
                <w:szCs w:val="1"/>
                <w:color w:val="auto"/>
              </w:rPr>
            </w:pPr>
          </w:p>
        </w:tc>
      </w:tr>
      <w:tr>
        <w:trPr>
          <w:trHeight w:val="219"/>
        </w:trPr>
        <w:tc>
          <w:tcPr>
            <w:tcW w:w="6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valuation inputs or other assumptions</w:t>
            </w: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(36,878)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(83,628)</w:t>
            </w:r>
          </w:p>
        </w:tc>
        <w:tc>
          <w:tcPr>
            <w:tcW w:w="0" w:type="dxa"/>
            <w:vAlign w:val="bottom"/>
          </w:tcPr>
          <w:p>
            <w:pPr>
              <w:spacing w:after="0"/>
              <w:rPr>
                <w:sz w:val="1"/>
                <w:szCs w:val="1"/>
                <w:color w:val="auto"/>
              </w:rPr>
            </w:pPr>
          </w:p>
        </w:tc>
      </w:tr>
      <w:tr>
        <w:trPr>
          <w:trHeight w:val="213"/>
        </w:trPr>
        <w:tc>
          <w:tcPr>
            <w:tcW w:w="6780" w:type="dxa"/>
            <w:vAlign w:val="bottom"/>
          </w:tcPr>
          <w:p>
            <w:pPr>
              <w:ind w:left="120"/>
              <w:spacing w:after="0"/>
              <w:rPr>
                <w:sz w:val="20"/>
                <w:szCs w:val="20"/>
                <w:color w:val="auto"/>
              </w:rPr>
            </w:pPr>
            <w:r>
              <w:rPr>
                <w:rFonts w:ascii="Arial" w:cs="Arial" w:eastAsia="Arial" w:hAnsi="Arial"/>
                <w:sz w:val="17"/>
                <w:szCs w:val="17"/>
                <w:color w:val="auto"/>
              </w:rPr>
              <w:t>Fair value,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54,000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56,350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110,350</w:t>
            </w: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6174740</wp:posOffset>
            </wp:positionH>
            <wp:positionV relativeFrom="paragraph">
              <wp:posOffset>-605155</wp:posOffset>
            </wp:positionV>
            <wp:extent cx="571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Public Warrants</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The Company determined the fair value of its public warrants, which were originally issued in the initial public offering of Silver Spike (the “Public Warrants”) based on the publicly listed trading price of such warrants as of the valuation date. Accordingly, the Public Warrants are classified as Level 1 financial instruments. The fair value of the Public Warrants was $54.0 million and $100.8 million as of September 30, 2021 and June 16, 2021, respectively.</w:t>
      </w: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Private Placement Warrants</w:t>
      </w:r>
    </w:p>
    <w:p>
      <w:pPr>
        <w:spacing w:after="0" w:line="114" w:lineRule="exact"/>
        <w:rPr>
          <w:sz w:val="20"/>
          <w:szCs w:val="20"/>
          <w:color w:val="auto"/>
        </w:rPr>
      </w:pPr>
    </w:p>
    <w:p>
      <w:pPr>
        <w:jc w:val="both"/>
        <w:ind w:firstLine="464"/>
        <w:spacing w:after="0" w:line="256" w:lineRule="auto"/>
        <w:rPr>
          <w:sz w:val="20"/>
          <w:szCs w:val="20"/>
          <w:color w:val="auto"/>
        </w:rPr>
      </w:pPr>
      <w:r>
        <w:rPr>
          <w:rFonts w:ascii="Arial" w:cs="Arial" w:eastAsia="Arial" w:hAnsi="Arial"/>
          <w:sz w:val="17"/>
          <w:szCs w:val="17"/>
          <w:color w:val="auto"/>
        </w:rPr>
        <w:t>The estimated fair value of the warrants that were originally issued in a private placement (the “Private Placement Warrants” and together with the Public Warrants, the “Warrants”) is determined with Level 3 inputs using the Black-Scholes model. The significant inputs and assumptions in this method are the stock price, exercise price, volatility, risk-free rate, and term or maturity. The underlying stock price input is the closing stock price as of each valuation date and the exercise price is the price as stated in the warrant agreement. The volatility input was determined using the historical volatility of comparable publicly traded companies which operate in a similar industry or compete directly against the Company. Volatility for each comparable publicly traded company is calculated as the annualized standard deviation of daily continuously compounded returns. The Black-Scholes analysis is performed in a risk-neutral framework, which requires a risk-free rate assumption based upon constant-maturity treasury yields, which are interpolated based on the remaining term of the Private Placement Warrants as of each valuation date. The term/maturity is the duration between each valuation date and the maturity date, which is five years following the date the Business Combination closed, or June 16, 2026.</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provides quantitative information regarding Level 3 fair value measurements inputs at their measurement dates: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2"/>
          </w:tcPr>
          <w:p>
            <w:pPr>
              <w:ind w:left="120"/>
              <w:spacing w:after="0"/>
              <w:rPr>
                <w:sz w:val="20"/>
                <w:szCs w:val="20"/>
                <w:color w:val="auto"/>
              </w:rPr>
            </w:pPr>
            <w:r>
              <w:rPr>
                <w:rFonts w:ascii="Arial" w:cs="Arial" w:eastAsia="Arial" w:hAnsi="Arial"/>
                <w:sz w:val="17"/>
                <w:szCs w:val="17"/>
                <w:b w:val="1"/>
                <w:bCs w:val="1"/>
                <w:color w:val="auto"/>
              </w:rPr>
              <w:t>September 30, 2021</w:t>
            </w:r>
          </w:p>
        </w:tc>
        <w:tc>
          <w:tcPr>
            <w:tcW w:w="400" w:type="dxa"/>
            <w:vAlign w:val="bottom"/>
          </w:tcPr>
          <w:p>
            <w:pPr>
              <w:spacing w:after="0"/>
              <w:rPr>
                <w:sz w:val="19"/>
                <w:szCs w:val="19"/>
                <w:color w:val="auto"/>
              </w:rPr>
            </w:pPr>
          </w:p>
        </w:tc>
        <w:tc>
          <w:tcPr>
            <w:tcW w:w="2000" w:type="dxa"/>
            <w:vAlign w:val="bottom"/>
          </w:tcPr>
          <w:p>
            <w:pPr>
              <w:jc w:val="right"/>
              <w:ind w:right="614"/>
              <w:spacing w:after="0"/>
              <w:rPr>
                <w:sz w:val="20"/>
                <w:szCs w:val="20"/>
                <w:color w:val="auto"/>
              </w:rPr>
            </w:pPr>
            <w:r>
              <w:rPr>
                <w:rFonts w:ascii="Arial" w:cs="Arial" w:eastAsia="Arial" w:hAnsi="Arial"/>
                <w:sz w:val="17"/>
                <w:szCs w:val="17"/>
                <w:b w:val="1"/>
                <w:bCs w:val="1"/>
                <w:color w:val="auto"/>
              </w:rPr>
              <w:t>June 16, 2021</w:t>
            </w:r>
          </w:p>
        </w:tc>
      </w:tr>
      <w:tr>
        <w:trPr>
          <w:trHeight w:val="213"/>
        </w:trPr>
        <w:tc>
          <w:tcPr>
            <w:tcW w:w="6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Exercise price</w:t>
            </w:r>
          </w:p>
        </w:tc>
        <w:tc>
          <w:tcPr>
            <w:tcW w:w="24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900" w:type="dxa"/>
            <w:vAlign w:val="bottom"/>
            <w:tcBorders>
              <w:top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11.50</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Borders>
              <w:top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11.50</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Stock price</w:t>
            </w:r>
          </w:p>
        </w:tc>
        <w:tc>
          <w:tcPr>
            <w:tcW w:w="240" w:type="dxa"/>
            <w:vAlign w:val="bottom"/>
          </w:tcPr>
          <w:p>
            <w:pPr>
              <w:jc w:val="right"/>
              <w:ind w:right="34"/>
              <w:spacing w:after="0"/>
              <w:rPr>
                <w:sz w:val="20"/>
                <w:szCs w:val="20"/>
                <w:color w:val="auto"/>
              </w:rPr>
            </w:pPr>
            <w:r>
              <w:rPr>
                <w:rFonts w:ascii="Arial" w:cs="Arial" w:eastAsia="Arial" w:hAnsi="Arial"/>
                <w:sz w:val="17"/>
                <w:szCs w:val="17"/>
                <w:color w:val="auto"/>
              </w:rPr>
              <w:t>$</w:t>
            </w:r>
          </w:p>
        </w:tc>
        <w:tc>
          <w:tcPr>
            <w:tcW w:w="1900" w:type="dxa"/>
            <w:vAlign w:val="bottom"/>
          </w:tcPr>
          <w:p>
            <w:pPr>
              <w:jc w:val="right"/>
              <w:ind w:right="134"/>
              <w:spacing w:after="0"/>
              <w:rPr>
                <w:sz w:val="20"/>
                <w:szCs w:val="20"/>
                <w:color w:val="auto"/>
              </w:rPr>
            </w:pPr>
            <w:r>
              <w:rPr>
                <w:rFonts w:ascii="Arial" w:cs="Arial" w:eastAsia="Arial" w:hAnsi="Arial"/>
                <w:sz w:val="17"/>
                <w:szCs w:val="17"/>
                <w:color w:val="auto"/>
              </w:rPr>
              <w:t>14.50</w:t>
            </w:r>
          </w:p>
        </w:tc>
        <w:tc>
          <w:tcPr>
            <w:tcW w:w="80" w:type="dxa"/>
            <w:vAlign w:val="bottom"/>
          </w:tcPr>
          <w:p>
            <w:pPr>
              <w:spacing w:after="0"/>
              <w:rPr>
                <w:sz w:val="18"/>
                <w:szCs w:val="18"/>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2000" w:type="dxa"/>
            <w:vAlign w:val="bottom"/>
          </w:tcPr>
          <w:p>
            <w:pPr>
              <w:jc w:val="right"/>
              <w:ind w:right="114"/>
              <w:spacing w:after="0"/>
              <w:rPr>
                <w:sz w:val="20"/>
                <w:szCs w:val="20"/>
                <w:color w:val="auto"/>
              </w:rPr>
            </w:pPr>
            <w:r>
              <w:rPr>
                <w:rFonts w:ascii="Arial" w:cs="Arial" w:eastAsia="Arial" w:hAnsi="Arial"/>
                <w:sz w:val="17"/>
                <w:szCs w:val="17"/>
                <w:color w:val="auto"/>
              </w:rPr>
              <w:t>20.55</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Volatility</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60.0 %</w:t>
            </w:r>
          </w:p>
        </w:tc>
      </w:tr>
      <w:tr>
        <w:trPr>
          <w:trHeight w:val="218"/>
        </w:trPr>
        <w:tc>
          <w:tcPr>
            <w:tcW w:w="6620" w:type="dxa"/>
            <w:vAlign w:val="bottom"/>
          </w:tcPr>
          <w:p>
            <w:pPr>
              <w:ind w:left="20"/>
              <w:spacing w:after="0"/>
              <w:rPr>
                <w:sz w:val="20"/>
                <w:szCs w:val="20"/>
                <w:color w:val="auto"/>
              </w:rPr>
            </w:pPr>
            <w:r>
              <w:rPr>
                <w:rFonts w:ascii="Arial" w:cs="Arial" w:eastAsia="Arial" w:hAnsi="Arial"/>
                <w:sz w:val="17"/>
                <w:szCs w:val="17"/>
                <w:color w:val="auto"/>
              </w:rPr>
              <w:t>Term (years)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7"/>
                <w:szCs w:val="17"/>
                <w:color w:val="auto"/>
              </w:rPr>
              <w:t>4.71</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5.00</w:t>
            </w:r>
          </w:p>
        </w:tc>
      </w:tr>
      <w:tr>
        <w:trPr>
          <w:trHeight w:val="220"/>
        </w:trPr>
        <w:tc>
          <w:tcPr>
            <w:tcW w:w="6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2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0.92 %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240"/>
          </w:cols>
          <w:pgMar w:left="320" w:top="127"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Significant changes in the volatility would result in a significant lower or higher fair value measurement, respectively.</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fair value of the Private Placement Warrants was $56.4 million and $93.2 million as of September 30, 2021 and June 16, 2020, respectively.</w:t>
      </w:r>
    </w:p>
    <w:p>
      <w:pPr>
        <w:spacing w:after="0" w:line="125"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 xml:space="preserve">The Warrants were accounted for as liabilities in accordance with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and are presented within warrant liability on the accompanying condensed consolidated balance sheets. The warrant liabilities are measured at fair value at inception and on a recurring basis, with changes in fair value presented within change in fair value of warrant liability in the condensed consolidated statements of income.</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were no transfers in or out of Level 3 from other levels in the fair value hierarchy.</w:t>
      </w:r>
    </w:p>
    <w:p>
      <w:pPr>
        <w:spacing w:after="0" w:line="211" w:lineRule="exact"/>
        <w:rPr>
          <w:sz w:val="20"/>
          <w:szCs w:val="20"/>
          <w:color w:val="auto"/>
        </w:rPr>
      </w:pPr>
    </w:p>
    <w:p>
      <w:pPr>
        <w:ind w:left="340" w:hanging="337"/>
        <w:spacing w:after="0"/>
        <w:tabs>
          <w:tab w:leader="none" w:pos="34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Business Combination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As further discussed in Note 1, on June 16, 2021, the Company consummated the Business Combination pursuant to the Merger Agreement.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connection with the Closing, the following occurred:</w:t>
      </w:r>
    </w:p>
    <w:p>
      <w:pPr>
        <w:spacing w:after="0" w:line="114" w:lineRule="exact"/>
        <w:rPr>
          <w:sz w:val="20"/>
          <w:szCs w:val="20"/>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Silver Spike was domesticated and continues as a Delaware corporation, changing its name to “WM Technology, Inc.”</w:t>
      </w:r>
    </w:p>
    <w:p>
      <w:pPr>
        <w:spacing w:after="0" w:line="113"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was reorganized into an Up-C structure, in which substantially all of the assets and business of the Company are held by WMH LLC and continue to operate through WMH LLC and its subsidiaries, and WM Technology, Inc.’s material assets are the equity interests of WMH LLC indirectly held by it.</w:t>
      </w:r>
    </w:p>
    <w:p>
      <w:pPr>
        <w:spacing w:after="0" w:line="7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consummated the sale of 32,500,000 shares of Class A Common Stock for a purchase price of $10.00 per share (together, the “PIPE Financing”) pursuant to certain subscription agreements dated as of December 10, 2020, for an aggregate price of $325.0 million.</w:t>
      </w:r>
    </w:p>
    <w:p>
      <w:pPr>
        <w:spacing w:after="0" w:line="61" w:lineRule="exact"/>
        <w:rPr>
          <w:rFonts w:ascii="Arial" w:cs="Arial" w:eastAsia="Arial" w:hAnsi="Arial"/>
          <w:sz w:val="17"/>
          <w:szCs w:val="17"/>
          <w:color w:val="auto"/>
        </w:rPr>
      </w:pPr>
    </w:p>
    <w:p>
      <w:pPr>
        <w:jc w:val="both"/>
        <w:ind w:left="620" w:hanging="307"/>
        <w:spacing w:after="0" w:line="292" w:lineRule="auto"/>
        <w:tabs>
          <w:tab w:leader="none" w:pos="616"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contributed approximately $80.3 million of cash to WMH LLC, representing (a) the net amount held in the Company’s trust account following the redemption of 10,012 shares of Class A Common Stock originally sold in the Silver Spike’s initial public offering, less (b) cash consideration of $455.2 million paid to Legacy WMH Class A equity holders, plus (c) $325.0 million in aggregate proceeds from the PIPE Financing, less</w:t>
      </w:r>
    </w:p>
    <w:p>
      <w:pPr>
        <w:ind w:left="620"/>
        <w:spacing w:after="0"/>
        <w:rPr>
          <w:rFonts w:ascii="Arial" w:cs="Arial" w:eastAsia="Arial" w:hAnsi="Arial"/>
          <w:sz w:val="15"/>
          <w:szCs w:val="15"/>
          <w:color w:val="auto"/>
        </w:rPr>
      </w:pPr>
      <w:r>
        <w:rPr>
          <w:rFonts w:ascii="Arial" w:cs="Arial" w:eastAsia="Arial" w:hAnsi="Arial"/>
          <w:sz w:val="17"/>
          <w:szCs w:val="17"/>
          <w:color w:val="auto"/>
        </w:rPr>
        <w:t>(d) the aggregate amount of transaction expenses incurred by the parties to the Business Combination Agreement.</w:t>
      </w:r>
    </w:p>
    <w:p>
      <w:pPr>
        <w:spacing w:after="0" w:line="103" w:lineRule="exact"/>
        <w:rPr>
          <w:rFonts w:ascii="Arial" w:cs="Arial" w:eastAsia="Arial" w:hAnsi="Arial"/>
          <w:sz w:val="15"/>
          <w:szCs w:val="15"/>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transferred $455.2 million to the Legacy WMH equity holders as cash consideration.</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Legacy WMH equity holders retained an aggregate of 65,502,347 Class A Units and 25,896,042 Class P Units.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issued 65,502,347 shares of Class V Common Stock to Class A Unit holders, representing the same number of Class A Units retained by the Legacy WMH equity holders.</w:t>
      </w:r>
    </w:p>
    <w:p>
      <w:pPr>
        <w:spacing w:after="0" w:line="61" w:lineRule="exact"/>
        <w:rPr>
          <w:rFonts w:ascii="Arial" w:cs="Arial" w:eastAsia="Arial" w:hAnsi="Arial"/>
          <w:sz w:val="17"/>
          <w:szCs w:val="17"/>
          <w:color w:val="auto"/>
        </w:rPr>
      </w:pPr>
    </w:p>
    <w:p>
      <w:pPr>
        <w:jc w:val="both"/>
        <w:ind w:left="620" w:hanging="307"/>
        <w:spacing w:after="0" w:line="302" w:lineRule="auto"/>
        <w:tabs>
          <w:tab w:leader="none" w:pos="616"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Company, the Holder Representative and the Class A Unit holders entered into the Tax Receivable Agreement, pursuant to which WM Technology, Inc. will pay to WMH LLC Class A equity holders 85% of the net income tax savings that WM Technology, Inc. actually realizes as a result of increases in the tax basis of WMH LLC’s assets as a result of the exchange of Units for cash in the Business Combination and future exchanges of the Class A Units for shares of Class A Common Stock or cash pursuant to the Exchange Agreement, and certain other tax attributes of WMH LLC and tax benefits related to the Tax Receivable Agreement, including tax benefits attributable to payments under the Tax Receivable Agreement.</w:t>
      </w:r>
    </w:p>
    <w:p>
      <w:pPr>
        <w:spacing w:after="0" w:line="49"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Concurrently with the closing of the Business Combination, the Unit holders entered into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240"/>
          </w:cols>
          <w:pgMar w:left="320" w:top="127"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the elements of the Business Combination to the condensed consolidated statements of cash flows and the condensed</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20" w:type="dxa"/>
            <w:vAlign w:val="bottom"/>
          </w:tcPr>
          <w:p>
            <w:pPr>
              <w:spacing w:after="0"/>
              <w:rPr>
                <w:sz w:val="20"/>
                <w:szCs w:val="20"/>
                <w:color w:val="auto"/>
              </w:rPr>
            </w:pPr>
            <w:r>
              <w:rPr>
                <w:rFonts w:ascii="Arial" w:cs="Arial" w:eastAsia="Arial" w:hAnsi="Arial"/>
                <w:sz w:val="17"/>
                <w:szCs w:val="17"/>
                <w:color w:val="auto"/>
              </w:rPr>
              <w:t>consolidated statements of equity for the nine months ended September 30, 2021 (in thousands):</w:t>
            </w: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9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right="74"/>
              <w:spacing w:after="0"/>
              <w:rPr>
                <w:sz w:val="20"/>
                <w:szCs w:val="20"/>
                <w:color w:val="auto"/>
              </w:rPr>
            </w:pPr>
            <w:r>
              <w:rPr>
                <w:rFonts w:ascii="Arial" w:cs="Arial" w:eastAsia="Arial" w:hAnsi="Arial"/>
                <w:sz w:val="17"/>
                <w:szCs w:val="17"/>
                <w:b w:val="1"/>
                <w:bCs w:val="1"/>
                <w:color w:val="auto"/>
                <w:w w:val="84"/>
              </w:rPr>
              <w:t>Business</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b w:val="1"/>
                <w:bCs w:val="1"/>
                <w:color w:val="auto"/>
                <w:w w:val="92"/>
              </w:rPr>
              <w:t>Combination</w:t>
            </w:r>
          </w:p>
        </w:tc>
        <w:tc>
          <w:tcPr>
            <w:tcW w:w="0" w:type="dxa"/>
            <w:vAlign w:val="bottom"/>
          </w:tcPr>
          <w:p>
            <w:pPr>
              <w:spacing w:after="0"/>
              <w:rPr>
                <w:sz w:val="1"/>
                <w:szCs w:val="1"/>
                <w:color w:val="auto"/>
              </w:rPr>
            </w:pPr>
          </w:p>
        </w:tc>
      </w:tr>
      <w:tr>
        <w:trPr>
          <w:trHeight w:val="212"/>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 Silver Spike trust and cash, net of redemptions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254,203</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Cash - PIPE Financing</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325,000</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cash consideration paid to Legacy WMH equity holders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(455,182)</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transaction costs and advisory fees</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(44,052)</w:t>
            </w:r>
          </w:p>
        </w:tc>
        <w:tc>
          <w:tcPr>
            <w:tcW w:w="0" w:type="dxa"/>
            <w:vAlign w:val="bottom"/>
          </w:tcPr>
          <w:p>
            <w:pPr>
              <w:spacing w:after="0"/>
              <w:rPr>
                <w:sz w:val="1"/>
                <w:szCs w:val="1"/>
                <w:color w:val="auto"/>
              </w:rPr>
            </w:pPr>
          </w:p>
        </w:tc>
      </w:tr>
      <w:tr>
        <w:trPr>
          <w:trHeight w:val="213"/>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proceeds from the Business Combination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79,969</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Less: initial fair value of warrant liability recognized in the Business Combination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(193,978)</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transaction costs allocated to Warrants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Add: non-cash assets assumed from Silver Spike</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1,053</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deferred tax asset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147,973</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tax receivable agreement liability</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(126,150)</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Net adjustment to total equity from the Business Combination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620"/>
              <w:spacing w:after="0"/>
              <w:rPr>
                <w:sz w:val="20"/>
                <w:szCs w:val="20"/>
                <w:color w:val="auto"/>
              </w:rPr>
            </w:pPr>
            <w:r>
              <w:rPr>
                <w:rFonts w:ascii="Arial" w:cs="Arial" w:eastAsia="Arial" w:hAnsi="Arial"/>
                <w:sz w:val="17"/>
                <w:szCs w:val="17"/>
                <w:color w:val="auto"/>
              </w:rPr>
              <w:t>The number of shares of common stock issued immediately following the Closing:</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9"/>
        </w:trPr>
        <w:tc>
          <w:tcPr>
            <w:tcW w:w="9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9820" w:type="dxa"/>
            <w:vAlign w:val="bottom"/>
            <w:tcBorders>
              <w:bottom w:val="single" w:sz="8" w:color="CCEEFF"/>
            </w:tcBorders>
          </w:tcPr>
          <w:p>
            <w:pPr>
              <w:spacing w:after="0"/>
              <w:rPr>
                <w:sz w:val="24"/>
                <w:szCs w:val="24"/>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1"/>
              </w:rPr>
              <w:t>Number of Shares</w:t>
            </w:r>
          </w:p>
        </w:tc>
        <w:tc>
          <w:tcPr>
            <w:tcW w:w="0" w:type="dxa"/>
            <w:vAlign w:val="bottom"/>
          </w:tcPr>
          <w:p>
            <w:pPr>
              <w:spacing w:after="0"/>
              <w:rPr>
                <w:sz w:val="1"/>
                <w:szCs w:val="1"/>
                <w:color w:val="auto"/>
              </w:rPr>
            </w:pP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outstanding prior to the Business Combination</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24,998,575</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redemption of shares of Silver Spike’s Class A common stock</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10,012</w:t>
            </w:r>
          </w:p>
        </w:tc>
        <w:tc>
          <w:tcPr>
            <w:tcW w:w="0" w:type="dxa"/>
            <w:vAlign w:val="bottom"/>
          </w:tcPr>
          <w:p>
            <w:pPr>
              <w:spacing w:after="0"/>
              <w:rPr>
                <w:sz w:val="1"/>
                <w:szCs w:val="1"/>
                <w:color w:val="auto"/>
              </w:rPr>
            </w:pPr>
          </w:p>
        </w:tc>
      </w:tr>
      <w:tr>
        <w:trPr>
          <w:trHeight w:val="213"/>
        </w:trPr>
        <w:tc>
          <w:tcPr>
            <w:tcW w:w="9820" w:type="dxa"/>
            <w:vAlign w:val="bottom"/>
            <w:shd w:val="clear" w:color="auto" w:fill="CCEEFF"/>
          </w:tcPr>
          <w:p>
            <w:pPr>
              <w:ind w:left="120"/>
              <w:spacing w:after="0"/>
              <w:rPr>
                <w:sz w:val="20"/>
                <w:szCs w:val="20"/>
                <w:color w:val="auto"/>
              </w:rPr>
            </w:pPr>
            <w:r>
              <w:rPr>
                <w:rFonts w:ascii="Arial" w:cs="Arial" w:eastAsia="Arial" w:hAnsi="Arial"/>
                <w:sz w:val="17"/>
                <w:szCs w:val="17"/>
                <w:color w:val="auto"/>
              </w:rPr>
              <w:t>Shares of Silver Spike’s Class A common stock</w:t>
            </w:r>
          </w:p>
        </w:tc>
        <w:tc>
          <w:tcPr>
            <w:tcW w:w="1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24,988,563</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Shares of Class A Common Stock held by Silver Spike’s Sponsor</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6,250,000</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Class A Common Stock issued in the PIPE Financing</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32,500,000</w:t>
            </w:r>
          </w:p>
        </w:tc>
        <w:tc>
          <w:tcPr>
            <w:tcW w:w="0" w:type="dxa"/>
            <w:vAlign w:val="bottom"/>
          </w:tcPr>
          <w:p>
            <w:pPr>
              <w:spacing w:after="0"/>
              <w:rPr>
                <w:sz w:val="1"/>
                <w:szCs w:val="1"/>
                <w:color w:val="auto"/>
              </w:rPr>
            </w:pPr>
          </w:p>
        </w:tc>
      </w:tr>
      <w:tr>
        <w:trPr>
          <w:trHeight w:val="211"/>
        </w:trPr>
        <w:tc>
          <w:tcPr>
            <w:tcW w:w="9820" w:type="dxa"/>
            <w:vAlign w:val="bottom"/>
          </w:tcPr>
          <w:p>
            <w:pPr>
              <w:ind w:left="120"/>
              <w:spacing w:after="0"/>
              <w:rPr>
                <w:sz w:val="20"/>
                <w:szCs w:val="20"/>
                <w:color w:val="auto"/>
              </w:rPr>
            </w:pPr>
            <w:r>
              <w:rPr>
                <w:rFonts w:ascii="Arial" w:cs="Arial" w:eastAsia="Arial" w:hAnsi="Arial"/>
                <w:sz w:val="17"/>
                <w:szCs w:val="17"/>
                <w:color w:val="auto"/>
              </w:rPr>
              <w:t>Shares of Class A Common Stock issued in the Business Combination</w:t>
            </w: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63,738,563</w:t>
            </w:r>
          </w:p>
        </w:tc>
        <w:tc>
          <w:tcPr>
            <w:tcW w:w="0" w:type="dxa"/>
            <w:vAlign w:val="bottom"/>
          </w:tcPr>
          <w:p>
            <w:pPr>
              <w:spacing w:after="0"/>
              <w:rPr>
                <w:sz w:val="1"/>
                <w:szCs w:val="1"/>
                <w:color w:val="auto"/>
              </w:rPr>
            </w:pP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of Class V Common Stock issued to Legacy WMH equity holders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65,502,347</w:t>
            </w:r>
          </w:p>
        </w:tc>
        <w:tc>
          <w:tcPr>
            <w:tcW w:w="0" w:type="dxa"/>
            <w:vAlign w:val="bottom"/>
          </w:tcPr>
          <w:p>
            <w:pPr>
              <w:spacing w:after="0"/>
              <w:rPr>
                <w:sz w:val="1"/>
                <w:szCs w:val="1"/>
                <w:color w:val="auto"/>
              </w:rPr>
            </w:pPr>
          </w:p>
        </w:tc>
      </w:tr>
      <w:tr>
        <w:trPr>
          <w:trHeight w:val="213"/>
        </w:trPr>
        <w:tc>
          <w:tcPr>
            <w:tcW w:w="9820" w:type="dxa"/>
            <w:vAlign w:val="bottom"/>
          </w:tcPr>
          <w:p>
            <w:pPr>
              <w:ind w:left="120"/>
              <w:spacing w:after="0"/>
              <w:rPr>
                <w:sz w:val="20"/>
                <w:szCs w:val="20"/>
                <w:color w:val="auto"/>
              </w:rPr>
            </w:pPr>
            <w:r>
              <w:rPr>
                <w:rFonts w:ascii="Arial" w:cs="Arial" w:eastAsia="Arial" w:hAnsi="Arial"/>
                <w:sz w:val="17"/>
                <w:szCs w:val="17"/>
                <w:color w:val="auto"/>
              </w:rPr>
              <w:t>Total shares of common stock issued in the Business Combination</w:t>
            </w: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129,240,910</w:t>
            </w:r>
          </w:p>
        </w:tc>
        <w:tc>
          <w:tcPr>
            <w:tcW w:w="0" w:type="dxa"/>
            <w:vAlign w:val="bottom"/>
          </w:tcPr>
          <w:p>
            <w:pPr>
              <w:spacing w:after="0"/>
              <w:rPr>
                <w:sz w:val="1"/>
                <w:szCs w:val="1"/>
                <w:color w:val="auto"/>
              </w:rPr>
            </w:pPr>
          </w:p>
        </w:tc>
      </w:tr>
      <w:tr>
        <w:trPr>
          <w:trHeight w:val="20"/>
        </w:trPr>
        <w:tc>
          <w:tcPr>
            <w:tcW w:w="9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6"/>
          <w:szCs w:val="16"/>
          <w:color w:val="auto"/>
        </w:rPr>
        <w:t>Net income for the period from June 16, 2021 (Closing Date) to September 30, 2021 was $58.7 million, which includes change in fair value of warrant liability of $83.6 million, stock-based compensation expense of $23.6 million and transaction costs related to the warrant liability of $5.5 million. The transaction costs related to the warrant liability is included in other expense, net on the accompanying condensed consolidated statements of income.</w:t>
      </w:r>
    </w:p>
    <w:p>
      <w:pPr>
        <w:spacing w:after="0" w:line="164" w:lineRule="exact"/>
        <w:rPr>
          <w:sz w:val="20"/>
          <w:szCs w:val="20"/>
          <w:color w:val="auto"/>
        </w:rPr>
      </w:pPr>
    </w:p>
    <w:p>
      <w:pPr>
        <w:ind w:left="340" w:hanging="337"/>
        <w:spacing w:after="0"/>
        <w:tabs>
          <w:tab w:leader="none" w:pos="34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Acquisitions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Sprout</w:t>
      </w:r>
    </w:p>
    <w:p>
      <w:pPr>
        <w:spacing w:after="0" w:line="230"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 xml:space="preserve">On September 3, 2021, the Company acquired certain assets of the Sprout business (“Sprout"), a leading, cloud-based customer relationship management (“CRM”) and marketing platform for the cannabis industry, for total consideration of approximately $31.2 million. The Company accounted for the Sprout acquisition as an acquisition of a business under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w:t>
      </w:r>
    </w:p>
    <w:p>
      <w:pPr>
        <w:spacing w:after="0" w:line="197" w:lineRule="exact"/>
        <w:rPr>
          <w:sz w:val="20"/>
          <w:szCs w:val="20"/>
          <w:color w:val="auto"/>
        </w:rPr>
      </w:pPr>
    </w:p>
    <w:p>
      <w:pPr>
        <w:jc w:val="both"/>
        <w:ind w:firstLine="619"/>
        <w:spacing w:after="0" w:line="282" w:lineRule="auto"/>
        <w:rPr>
          <w:sz w:val="20"/>
          <w:szCs w:val="20"/>
          <w:color w:val="auto"/>
        </w:rPr>
      </w:pPr>
      <w:r>
        <w:rPr>
          <w:rFonts w:ascii="Arial" w:cs="Arial" w:eastAsia="Arial" w:hAnsi="Arial"/>
          <w:sz w:val="15"/>
          <w:szCs w:val="15"/>
          <w:color w:val="auto"/>
        </w:rPr>
        <w:t>The acquired assets of Sprout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240"/>
          </w:cols>
          <w:pgMar w:left="320" w:top="127"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consideration</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(1)</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19,186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technology</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1,976</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399</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1,762</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27,049</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31,186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w:t>
      </w:r>
    </w:p>
    <w:p>
      <w:pPr>
        <w:spacing w:after="0" w:line="12" w:lineRule="exact"/>
        <w:rPr>
          <w:sz w:val="20"/>
          <w:szCs w:val="20"/>
          <w:color w:val="auto"/>
        </w:rPr>
      </w:pPr>
    </w:p>
    <w:p>
      <w:pPr>
        <w:ind w:left="320" w:hanging="317"/>
        <w:spacing w:after="0" w:line="235" w:lineRule="auto"/>
        <w:tabs>
          <w:tab w:leader="none" w:pos="314"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Spout acquisition was calculated based on 1,244,258 shares of Class A common stock issued multiplied by the share price on the closing date of $15.42.</w:t>
      </w:r>
    </w:p>
    <w:p>
      <w:pPr>
        <w:spacing w:after="0" w:line="31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Sprout’s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 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8"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three and nine months ended September 30, 2021, the Company incurred transaction expenses associated with the Sprout acquisition of $0.8 million, which is included in general and administrative expenses in the condensed consolidated statements of income.</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revenue and operating loss from Sprout included the Company’s condensed consolidated statements of income for the period from September 3, 2021 (acquisition date) through September 30, 2021 were not material. Pro forma revenue and earnings amounts on a combined basis have not been presented as they are not material to the Company’s historical pre-acquisition financials.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240"/>
          </w:cols>
          <w:pgMar w:left="320" w:top="127"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Transport Logistics Holding</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September 29, 2021, the Company acquired all of the equity interests of Transport Logistics Holding Company, LLC (“TLH”), a logistics platform that enables the compliant delivery of cannabis, for total consideration of approximately $15.1 million. The Company accounted for the TLH acquisition as an acquisition of a business under ASC 805.</w:t>
      </w:r>
    </w:p>
    <w:p>
      <w:pPr>
        <w:spacing w:after="0" w:line="201"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The acquired assets of TLH were recorded at their preliminary acquisition date fair values. The purchase price allocations are subject to change as the Company continues to gather information relevant to its determination of the fair value of the assets and liabilities acquired primarily related to, but not limited to, intangible assets. Any adjustments to the purchase price allocations will be made as soon as practicable but no later than one year from the acquisition date.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consideration and the preliminary estimated fair value of assets acquired (in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820" w:type="dxa"/>
            <w:vAlign w:val="bottom"/>
          </w:tcPr>
          <w:p>
            <w:pPr>
              <w:ind w:left="20"/>
              <w:spacing w:after="0"/>
              <w:rPr>
                <w:sz w:val="20"/>
                <w:szCs w:val="20"/>
                <w:color w:val="auto"/>
              </w:rPr>
            </w:pPr>
            <w:r>
              <w:rPr>
                <w:rFonts w:ascii="Arial" w:cs="Arial" w:eastAsia="Arial" w:hAnsi="Arial"/>
                <w:sz w:val="17"/>
                <w:szCs w:val="17"/>
                <w:b w:val="1"/>
                <w:bCs w:val="1"/>
                <w:color w:val="auto"/>
              </w:rPr>
              <w:t>Consideration Transferred:</w:t>
            </w:r>
          </w:p>
        </w:tc>
        <w:tc>
          <w:tcPr>
            <w:tcW w:w="5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Cash consideration </w:t>
            </w:r>
            <w:r>
              <w:rPr>
                <w:rFonts w:ascii="Arial" w:cs="Arial" w:eastAsia="Arial" w:hAnsi="Arial"/>
                <w:sz w:val="22"/>
                <w:szCs w:val="22"/>
                <w:color w:val="auto"/>
                <w:vertAlign w:val="superscript"/>
              </w:rPr>
              <w:t>(1)</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w:t>
            </w:r>
          </w:p>
        </w:tc>
        <w:tc>
          <w:tcPr>
            <w:tcW w:w="0" w:type="dxa"/>
            <w:vAlign w:val="bottom"/>
          </w:tcPr>
          <w:p>
            <w:pPr>
              <w:spacing w:after="0"/>
              <w:rPr>
                <w:sz w:val="1"/>
                <w:szCs w:val="1"/>
                <w:color w:val="auto"/>
              </w:rPr>
            </w:pPr>
          </w:p>
        </w:tc>
      </w:tr>
      <w:tr>
        <w:trPr>
          <w:trHeight w:val="219"/>
        </w:trPr>
        <w:tc>
          <w:tcPr>
            <w:tcW w:w="982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Share consideration</w:t>
            </w:r>
            <w:r>
              <w:rPr>
                <w:rFonts w:ascii="Arial" w:cs="Arial" w:eastAsia="Arial" w:hAnsi="Arial"/>
                <w:sz w:val="22"/>
                <w:szCs w:val="22"/>
                <w:color w:val="auto"/>
                <w:vertAlign w:val="superscript"/>
              </w:rPr>
              <w:t>(2)</w:t>
            </w:r>
          </w:p>
        </w:tc>
        <w:tc>
          <w:tcPr>
            <w:tcW w:w="5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10,126</w:t>
            </w:r>
          </w:p>
        </w:tc>
        <w:tc>
          <w:tcPr>
            <w:tcW w:w="0" w:type="dxa"/>
            <w:vAlign w:val="bottom"/>
          </w:tcPr>
          <w:p>
            <w:pPr>
              <w:spacing w:after="0"/>
              <w:rPr>
                <w:sz w:val="1"/>
                <w:szCs w:val="1"/>
                <w:color w:val="auto"/>
              </w:rPr>
            </w:pPr>
          </w:p>
        </w:tc>
      </w:tr>
      <w:tr>
        <w:trPr>
          <w:trHeight w:val="237"/>
        </w:trPr>
        <w:tc>
          <w:tcPr>
            <w:tcW w:w="98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7"/>
                <w:szCs w:val="17"/>
                <w:color w:val="auto"/>
              </w:rPr>
              <w:t>Total consideration</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Estimated Assets Acquired:</w:t>
            </w: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982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 technology</w:t>
            </w: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249</w:t>
            </w:r>
          </w:p>
        </w:tc>
        <w:tc>
          <w:tcPr>
            <w:tcW w:w="0" w:type="dxa"/>
            <w:vAlign w:val="bottom"/>
          </w:tcPr>
          <w:p>
            <w:pPr>
              <w:spacing w:after="0"/>
              <w:rPr>
                <w:sz w:val="1"/>
                <w:szCs w:val="1"/>
                <w:color w:val="auto"/>
              </w:rPr>
            </w:pP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5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w:t>
            </w:r>
          </w:p>
        </w:tc>
        <w:tc>
          <w:tcPr>
            <w:tcW w:w="0" w:type="dxa"/>
            <w:vAlign w:val="bottom"/>
          </w:tcPr>
          <w:p>
            <w:pPr>
              <w:spacing w:after="0"/>
              <w:rPr>
                <w:sz w:val="1"/>
                <w:szCs w:val="1"/>
                <w:color w:val="auto"/>
              </w:rPr>
            </w:pPr>
          </w:p>
        </w:tc>
      </w:tr>
      <w:tr>
        <w:trPr>
          <w:trHeight w:val="220"/>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5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18"/>
        </w:trPr>
        <w:tc>
          <w:tcPr>
            <w:tcW w:w="9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Goodwill</w:t>
            </w:r>
          </w:p>
        </w:tc>
        <w:tc>
          <w:tcPr>
            <w:tcW w:w="5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14,648</w:t>
            </w:r>
          </w:p>
        </w:tc>
        <w:tc>
          <w:tcPr>
            <w:tcW w:w="0" w:type="dxa"/>
            <w:vAlign w:val="bottom"/>
          </w:tcPr>
          <w:p>
            <w:pPr>
              <w:spacing w:after="0"/>
              <w:rPr>
                <w:sz w:val="1"/>
                <w:szCs w:val="1"/>
                <w:color w:val="auto"/>
              </w:rPr>
            </w:pPr>
          </w:p>
        </w:tc>
      </w:tr>
      <w:tr>
        <w:trPr>
          <w:trHeight w:val="238"/>
        </w:trPr>
        <w:tc>
          <w:tcPr>
            <w:tcW w:w="9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 acquired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15,126</w:t>
            </w:r>
          </w:p>
        </w:tc>
        <w:tc>
          <w:tcPr>
            <w:tcW w:w="0" w:type="dxa"/>
            <w:vAlign w:val="bottom"/>
          </w:tcPr>
          <w:p>
            <w:pPr>
              <w:spacing w:after="0"/>
              <w:rPr>
                <w:sz w:val="1"/>
                <w:szCs w:val="1"/>
                <w:color w:val="auto"/>
              </w:rPr>
            </w:pP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____________________________________</w:t>
      </w:r>
    </w:p>
    <w:p>
      <w:pPr>
        <w:ind w:left="920" w:hanging="298"/>
        <w:spacing w:after="0" w:line="236" w:lineRule="auto"/>
        <w:tabs>
          <w:tab w:leader="none" w:pos="9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Includes holdback of $1.0 million recorded within other current liabilities on the Company’s condensed consolidated balance sheets.</w:t>
      </w:r>
    </w:p>
    <w:p>
      <w:pPr>
        <w:ind w:left="940" w:hanging="318"/>
        <w:spacing w:after="0" w:line="235" w:lineRule="auto"/>
        <w:tabs>
          <w:tab w:leader="none" w:pos="934"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fair value of share consideration issued in connection with the TLH acquisition was calculated based on 694,540 shares of Class A common stock issued multiplied by the share price on the closing date of $14.58.</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excess of the purchase price over the estimated fair values of the net assets acquired, including identifiable intangible assets, is recorded as goodwill. Goodwill is primarily attributable to the expected synergies from combining operations. Goodwill recognized was allocated to the Company’s one operating segment and is generally deductible for tax purposes.</w:t>
      </w:r>
    </w:p>
    <w:p>
      <w:pPr>
        <w:spacing w:after="0" w:line="20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fair values of the trade name intangible assets were determined using an “income approach”, specifically, the relief-from royalty approach, which is a commonly accepted valuation approach. This approach is based on the assumption that in lieu of ownership, a firm would be willing to pay a royalty in order to exploit the related benefits of this asset. Owning that intangible asset means that the underlying entity wouldn’t have to pay for the privilege of deploying that asset. Therefore, a portion of TLH’s earnings, equal to the after-tax royalty that would have been paid for the use of the asset, can be attributed to the firm’s ownership. The fair value of the software technology intangible asset was also determined using an “income approach”, specifically a multi-period excess earnings approach, which is a commonly accepted valuation approach. Under this approach, the net earnings attributable to the asset or liability being measured are isolated using the discounted projected net cash flows. These projected cash flows are isolated from the projected cash flows of the combined asset group over the remaining economic life of the intangible asset or liability being measured. Both the amount and the duration of the cash flows are considered from a market participant perspective. Where appropriate, the net cash flows were adjusted to reflect the potential attrition of existing customers in the future, as existing customers are a “wasting” asset and are expected to decline over time. The fair value of the customer relationships was determined using an “income approach”, specifically, the With-and-Without method, which is a commonly accepted valuation approach. This method estimates the value of customer-related assets by quantifying the impact on cash flows under a scenario in which the customer-related assets must be replaced and assuming all of the existing assets are in place except the customer-related assets. Essentially, it estimates the intangible asset’s value by calculating the difference between the two discounted cash-flow models. One that represents the status quo for the business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240"/>
          </w:cols>
          <w:pgMar w:left="320" w:top="127"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enterprise with the asset in place and the second that represents the business enterprise with everything in place besides the customer-related asset. The projected cash flow period is the time-period it takes to build back up to that status quo. The difference between the two cash flows represents the calculated value of the customer-related asset.</w:t>
      </w:r>
    </w:p>
    <w:p>
      <w:pPr>
        <w:spacing w:after="0" w:line="20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During the three and nine months ended September 30, 2021, the Company incurred transaction expenses associated with the TLH acquisition of $0.6 million, which is included in general and administrative expenses in the condensed consolidated statements of income</w:t>
      </w:r>
    </w:p>
    <w:p>
      <w:pPr>
        <w:spacing w:after="0" w:line="19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revenue and operating loss from TLH included the Company’s condensed consolidated statements of income for the period from September 29, 2021 (acquisition date) through September 30, 2021 were not material. Pro forma revenue and earnings amounts on a combined basis have not been presented as they are not material to the Company’s historical pre-acquisition financials.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20" w:type="dxa"/>
            <w:vAlign w:val="bottom"/>
          </w:tcPr>
          <w:p>
            <w:pPr>
              <w:spacing w:after="0"/>
              <w:rPr>
                <w:sz w:val="20"/>
                <w:szCs w:val="20"/>
                <w:color w:val="auto"/>
              </w:rPr>
            </w:pPr>
            <w:r>
              <w:rPr>
                <w:rFonts w:ascii="Arial" w:cs="Arial" w:eastAsia="Arial" w:hAnsi="Arial"/>
                <w:sz w:val="17"/>
                <w:szCs w:val="17"/>
                <w:b w:val="1"/>
                <w:bCs w:val="1"/>
                <w:color w:val="auto"/>
              </w:rPr>
              <w:t>8.   Goodwill and Intangible Assets</w:t>
            </w: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438"/>
        </w:trPr>
        <w:tc>
          <w:tcPr>
            <w:tcW w:w="9820" w:type="dxa"/>
            <w:vAlign w:val="bottom"/>
          </w:tcPr>
          <w:p>
            <w:pPr>
              <w:ind w:left="620"/>
              <w:spacing w:after="0"/>
              <w:rPr>
                <w:sz w:val="20"/>
                <w:szCs w:val="20"/>
                <w:color w:val="auto"/>
              </w:rPr>
            </w:pPr>
            <w:r>
              <w:rPr>
                <w:rFonts w:ascii="Arial" w:cs="Arial" w:eastAsia="Arial" w:hAnsi="Arial"/>
                <w:sz w:val="17"/>
                <w:szCs w:val="17"/>
                <w:color w:val="auto"/>
              </w:rPr>
              <w:t>A summary of changes in goodwill for the nine months ended September 30, 2021 is as follows (in thousands):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52"/>
        </w:trPr>
        <w:tc>
          <w:tcPr>
            <w:tcW w:w="98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Goodwill</w:t>
            </w:r>
          </w:p>
        </w:tc>
      </w:tr>
      <w:tr>
        <w:trPr>
          <w:trHeight w:val="213"/>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at December 31, 2020</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3,961</w:t>
            </w:r>
          </w:p>
        </w:tc>
      </w:tr>
      <w:tr>
        <w:trPr>
          <w:trHeight w:val="218"/>
        </w:trPr>
        <w:tc>
          <w:tcPr>
            <w:tcW w:w="9820" w:type="dxa"/>
            <w:vAlign w:val="bottom"/>
          </w:tcPr>
          <w:p>
            <w:pPr>
              <w:ind w:left="20"/>
              <w:spacing w:after="0"/>
              <w:rPr>
                <w:sz w:val="20"/>
                <w:szCs w:val="20"/>
                <w:color w:val="auto"/>
              </w:rPr>
            </w:pPr>
            <w:r>
              <w:rPr>
                <w:rFonts w:ascii="Arial" w:cs="Arial" w:eastAsia="Arial" w:hAnsi="Arial"/>
                <w:sz w:val="17"/>
                <w:szCs w:val="17"/>
                <w:color w:val="auto"/>
              </w:rPr>
              <w:t>Acquisition of Sprout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27,049</w:t>
            </w:r>
          </w:p>
        </w:tc>
      </w:tr>
      <w:tr>
        <w:trPr>
          <w:trHeight w:val="219"/>
        </w:trPr>
        <w:tc>
          <w:tcPr>
            <w:tcW w:w="9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 of TLH</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14,648</w:t>
            </w:r>
          </w:p>
        </w:tc>
      </w:tr>
      <w:tr>
        <w:trPr>
          <w:trHeight w:val="213"/>
        </w:trPr>
        <w:tc>
          <w:tcPr>
            <w:tcW w:w="9820" w:type="dxa"/>
            <w:vAlign w:val="bottom"/>
          </w:tcPr>
          <w:p>
            <w:pPr>
              <w:ind w:left="20"/>
              <w:spacing w:after="0"/>
              <w:rPr>
                <w:sz w:val="20"/>
                <w:szCs w:val="20"/>
                <w:color w:val="auto"/>
              </w:rPr>
            </w:pPr>
            <w:r>
              <w:rPr>
                <w:rFonts w:ascii="Arial" w:cs="Arial" w:eastAsia="Arial" w:hAnsi="Arial"/>
                <w:sz w:val="17"/>
                <w:szCs w:val="17"/>
                <w:color w:val="auto"/>
              </w:rPr>
              <w:t>Balance at September 30, 2021</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45,658</w:t>
            </w:r>
          </w:p>
        </w:tc>
      </w:tr>
      <w:tr>
        <w:trPr>
          <w:trHeight w:val="20"/>
        </w:trPr>
        <w:tc>
          <w:tcPr>
            <w:tcW w:w="9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Intangible assets consisted of the following as of September 30, 2021 and December 31, 2020 (in thousands):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5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8"/>
          </w:tcPr>
          <w:p>
            <w:pPr>
              <w:ind w:left="700"/>
              <w:spacing w:after="0"/>
              <w:rPr>
                <w:sz w:val="20"/>
                <w:szCs w:val="20"/>
                <w:color w:val="auto"/>
              </w:rPr>
            </w:pPr>
            <w:r>
              <w:rPr>
                <w:rFonts w:ascii="Arial" w:cs="Arial" w:eastAsia="Arial" w:hAnsi="Arial"/>
                <w:sz w:val="17"/>
                <w:szCs w:val="17"/>
                <w:b w:val="1"/>
                <w:bCs w:val="1"/>
                <w:color w:val="auto"/>
              </w:rPr>
              <w:t>September 30, 2021</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6"/>
          </w:tcPr>
          <w:p>
            <w:pPr>
              <w:jc w:val="center"/>
              <w:ind w:right="34"/>
              <w:spacing w:after="0" w:line="162" w:lineRule="exact"/>
              <w:rPr>
                <w:sz w:val="20"/>
                <w:szCs w:val="20"/>
                <w:color w:val="auto"/>
              </w:rPr>
            </w:pPr>
            <w:r>
              <w:rPr>
                <w:rFonts w:ascii="Arial" w:cs="Arial" w:eastAsia="Arial" w:hAnsi="Arial"/>
                <w:sz w:val="17"/>
                <w:szCs w:val="17"/>
                <w:b w:val="1"/>
                <w:bCs w:val="1"/>
                <w:color w:val="auto"/>
                <w:w w:val="90"/>
              </w:rPr>
              <w:t>Weighted Average</w:t>
            </w:r>
          </w:p>
        </w:tc>
        <w:tc>
          <w:tcPr>
            <w:tcW w:w="1220" w:type="dxa"/>
            <w:vAlign w:val="bottom"/>
            <w:gridSpan w:val="3"/>
            <w:vMerge w:val="restart"/>
          </w:tcPr>
          <w:p>
            <w:pPr>
              <w:jc w:val="center"/>
              <w:spacing w:after="0"/>
              <w:rPr>
                <w:sz w:val="20"/>
                <w:szCs w:val="20"/>
                <w:color w:val="auto"/>
              </w:rPr>
            </w:pPr>
            <w:r>
              <w:rPr>
                <w:rFonts w:ascii="Arial" w:cs="Arial" w:eastAsia="Arial" w:hAnsi="Arial"/>
                <w:sz w:val="17"/>
                <w:szCs w:val="17"/>
                <w:b w:val="1"/>
                <w:bCs w:val="1"/>
                <w:color w:val="auto"/>
                <w:w w:val="90"/>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7"/>
                <w:szCs w:val="17"/>
                <w:b w:val="1"/>
                <w:bCs w:val="1"/>
                <w:color w:val="auto"/>
                <w:w w:val="95"/>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restart"/>
          </w:tcPr>
          <w:p>
            <w:pPr>
              <w:jc w:val="right"/>
              <w:ind w:right="94"/>
              <w:spacing w:after="0"/>
              <w:rPr>
                <w:sz w:val="20"/>
                <w:szCs w:val="20"/>
                <w:color w:val="auto"/>
              </w:rPr>
            </w:pPr>
            <w:r>
              <w:rPr>
                <w:rFonts w:ascii="Arial" w:cs="Arial" w:eastAsia="Arial" w:hAnsi="Arial"/>
                <w:sz w:val="17"/>
                <w:szCs w:val="17"/>
                <w:b w:val="1"/>
                <w:bCs w:val="1"/>
                <w:color w:val="auto"/>
                <w:w w:val="96"/>
              </w:rPr>
              <w:t>Net Intangible</w:t>
            </w: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3"/>
          </w:tcPr>
          <w:p>
            <w:pPr>
              <w:jc w:val="center"/>
              <w:ind w:left="94"/>
              <w:spacing w:after="0" w:line="167" w:lineRule="exact"/>
              <w:rPr>
                <w:sz w:val="20"/>
                <w:szCs w:val="20"/>
                <w:color w:val="auto"/>
              </w:rPr>
            </w:pPr>
            <w:r>
              <w:rPr>
                <w:rFonts w:ascii="Arial" w:cs="Arial" w:eastAsia="Arial" w:hAnsi="Arial"/>
                <w:sz w:val="17"/>
                <w:szCs w:val="17"/>
                <w:b w:val="1"/>
                <w:bCs w:val="1"/>
                <w:color w:val="auto"/>
                <w:w w:val="94"/>
              </w:rPr>
              <w:t>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504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3"/>
          </w:tcPr>
          <w:p>
            <w:pPr>
              <w:jc w:val="center"/>
              <w:ind w:left="94"/>
              <w:spacing w:after="0"/>
              <w:rPr>
                <w:sz w:val="20"/>
                <w:szCs w:val="20"/>
                <w:color w:val="auto"/>
              </w:rPr>
            </w:pPr>
            <w:r>
              <w:rPr>
                <w:rFonts w:ascii="Arial" w:cs="Arial" w:eastAsia="Arial" w:hAnsi="Arial"/>
                <w:sz w:val="17"/>
                <w:szCs w:val="17"/>
                <w:b w:val="1"/>
                <w:bCs w:val="1"/>
                <w:color w:val="auto"/>
                <w:w w:val="91"/>
              </w:rPr>
              <w:t>Period (Years)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82"/>
              </w:rPr>
              <w:t>Assets</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7"/>
                <w:szCs w:val="17"/>
                <w:b w:val="1"/>
                <w:bCs w:val="1"/>
                <w:color w:val="auto"/>
                <w:w w:val="98"/>
              </w:rPr>
              <w:t>Amortization</w:t>
            </w: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Assets</w:t>
            </w:r>
          </w:p>
        </w:tc>
        <w:tc>
          <w:tcPr>
            <w:tcW w:w="0" w:type="dxa"/>
            <w:vAlign w:val="bottom"/>
          </w:tcPr>
          <w:p>
            <w:pPr>
              <w:spacing w:after="0"/>
              <w:rPr>
                <w:sz w:val="1"/>
                <w:szCs w:val="1"/>
                <w:color w:val="auto"/>
              </w:rPr>
            </w:pPr>
          </w:p>
        </w:tc>
      </w:tr>
      <w:tr>
        <w:trPr>
          <w:trHeight w:val="212"/>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Trade and domain names</w:t>
            </w:r>
          </w:p>
        </w:tc>
        <w:tc>
          <w:tcPr>
            <w:tcW w:w="144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90"/>
              </w:rPr>
              <w:t>14.3</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7,713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(3,917)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3,796</w:t>
            </w:r>
          </w:p>
        </w:tc>
        <w:tc>
          <w:tcPr>
            <w:tcW w:w="0" w:type="dxa"/>
            <w:vAlign w:val="bottom"/>
          </w:tcPr>
          <w:p>
            <w:pPr>
              <w:spacing w:after="0"/>
              <w:rPr>
                <w:sz w:val="1"/>
                <w:szCs w:val="1"/>
                <w:color w:val="auto"/>
              </w:rPr>
            </w:pPr>
          </w:p>
        </w:tc>
      </w:tr>
      <w:tr>
        <w:trPr>
          <w:trHeight w:val="218"/>
        </w:trPr>
        <w:tc>
          <w:tcPr>
            <w:tcW w:w="5040" w:type="dxa"/>
            <w:vAlign w:val="bottom"/>
          </w:tcPr>
          <w:p>
            <w:pPr>
              <w:ind w:left="20"/>
              <w:spacing w:after="0"/>
              <w:rPr>
                <w:sz w:val="20"/>
                <w:szCs w:val="20"/>
                <w:color w:val="auto"/>
              </w:rPr>
            </w:pPr>
            <w:r>
              <w:rPr>
                <w:rFonts w:ascii="Arial" w:cs="Arial" w:eastAsia="Arial" w:hAnsi="Arial"/>
                <w:sz w:val="17"/>
                <w:szCs w:val="17"/>
                <w:color w:val="auto"/>
              </w:rPr>
              <w:t>Software technology</w:t>
            </w:r>
          </w:p>
        </w:tc>
        <w:tc>
          <w:tcPr>
            <w:tcW w:w="1440" w:type="dxa"/>
            <w:vAlign w:val="bottom"/>
            <w:gridSpan w:val="2"/>
          </w:tcPr>
          <w:p>
            <w:pPr>
              <w:jc w:val="center"/>
              <w:ind w:left="494"/>
              <w:spacing w:after="0"/>
              <w:rPr>
                <w:sz w:val="20"/>
                <w:szCs w:val="20"/>
                <w:color w:val="auto"/>
              </w:rPr>
            </w:pPr>
            <w:r>
              <w:rPr>
                <w:rFonts w:ascii="Arial" w:cs="Arial" w:eastAsia="Arial" w:hAnsi="Arial"/>
                <w:sz w:val="17"/>
                <w:szCs w:val="17"/>
                <w:color w:val="auto"/>
                <w:w w:val="92"/>
              </w:rPr>
              <w:t>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4"/>
          </w:tcPr>
          <w:p>
            <w:pPr>
              <w:jc w:val="right"/>
              <w:spacing w:after="0"/>
              <w:rPr>
                <w:sz w:val="20"/>
                <w:szCs w:val="20"/>
                <w:color w:val="auto"/>
              </w:rPr>
            </w:pPr>
            <w:r>
              <w:rPr>
                <w:rFonts w:ascii="Arial" w:cs="Arial" w:eastAsia="Arial" w:hAnsi="Arial"/>
                <w:sz w:val="17"/>
                <w:szCs w:val="17"/>
                <w:color w:val="auto"/>
              </w:rPr>
              <w:t>5,694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7"/>
                <w:szCs w:val="17"/>
                <w:color w:val="auto"/>
              </w:rPr>
              <w:t>(2,976)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2,718</w:t>
            </w:r>
          </w:p>
        </w:tc>
        <w:tc>
          <w:tcPr>
            <w:tcW w:w="0" w:type="dxa"/>
            <w:vAlign w:val="bottom"/>
          </w:tcPr>
          <w:p>
            <w:pPr>
              <w:spacing w:after="0"/>
              <w:rPr>
                <w:sz w:val="1"/>
                <w:szCs w:val="1"/>
                <w:color w:val="auto"/>
              </w:rPr>
            </w:pPr>
          </w:p>
        </w:tc>
      </w:tr>
      <w:tr>
        <w:trPr>
          <w:trHeight w:val="219"/>
        </w:trPr>
        <w:tc>
          <w:tcPr>
            <w:tcW w:w="5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440" w:type="dxa"/>
            <w:vAlign w:val="bottom"/>
            <w:gridSpan w:val="2"/>
            <w:shd w:val="clear" w:color="auto" w:fill="CCEEFF"/>
          </w:tcPr>
          <w:p>
            <w:pPr>
              <w:jc w:val="center"/>
              <w:ind w:left="494"/>
              <w:spacing w:after="0"/>
              <w:rPr>
                <w:sz w:val="20"/>
                <w:szCs w:val="20"/>
                <w:color w:val="auto"/>
              </w:rPr>
            </w:pPr>
            <w:r>
              <w:rPr>
                <w:rFonts w:ascii="Arial" w:cs="Arial" w:eastAsia="Arial" w:hAnsi="Arial"/>
                <w:sz w:val="17"/>
                <w:szCs w:val="17"/>
                <w:color w:val="auto"/>
                <w:w w:val="92"/>
              </w:rPr>
              <w:t>3.4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1,932</w:t>
            </w:r>
          </w:p>
        </w:tc>
        <w:tc>
          <w:tcPr>
            <w:tcW w:w="0" w:type="dxa"/>
            <w:vAlign w:val="bottom"/>
          </w:tcPr>
          <w:p>
            <w:pPr>
              <w:spacing w:after="0"/>
              <w:rPr>
                <w:sz w:val="1"/>
                <w:szCs w:val="1"/>
                <w:color w:val="auto"/>
              </w:rPr>
            </w:pPr>
          </w:p>
        </w:tc>
      </w:tr>
      <w:tr>
        <w:trPr>
          <w:trHeight w:val="213"/>
        </w:trPr>
        <w:tc>
          <w:tcPr>
            <w:tcW w:w="5040" w:type="dxa"/>
            <w:vAlign w:val="bottom"/>
          </w:tcPr>
          <w:p>
            <w:pPr>
              <w:ind w:left="20"/>
              <w:spacing w:after="0"/>
              <w:rPr>
                <w:sz w:val="20"/>
                <w:szCs w:val="20"/>
                <w:color w:val="auto"/>
              </w:rPr>
            </w:pPr>
            <w:r>
              <w:rPr>
                <w:rFonts w:ascii="Arial" w:cs="Arial" w:eastAsia="Arial" w:hAnsi="Arial"/>
                <w:sz w:val="17"/>
                <w:szCs w:val="17"/>
                <w:color w:val="auto"/>
              </w:rPr>
              <w:t>Total intangible assets</w:t>
            </w:r>
          </w:p>
        </w:tc>
        <w:tc>
          <w:tcPr>
            <w:tcW w:w="1440" w:type="dxa"/>
            <w:vAlign w:val="bottom"/>
            <w:gridSpan w:val="2"/>
          </w:tcPr>
          <w:p>
            <w:pPr>
              <w:jc w:val="center"/>
              <w:ind w:left="494"/>
              <w:spacing w:after="0"/>
              <w:rPr>
                <w:sz w:val="20"/>
                <w:szCs w:val="20"/>
                <w:color w:val="auto"/>
              </w:rPr>
            </w:pPr>
            <w:r>
              <w:rPr>
                <w:rFonts w:ascii="Arial" w:cs="Arial" w:eastAsia="Arial" w:hAnsi="Arial"/>
                <w:sz w:val="17"/>
                <w:szCs w:val="17"/>
                <w:color w:val="auto"/>
                <w:w w:val="90"/>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15,339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(6,893)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8,446</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9"/>
        </w:trPr>
        <w:tc>
          <w:tcPr>
            <w:tcW w:w="50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8"/>
          </w:tcPr>
          <w:p>
            <w:pPr>
              <w:ind w:left="580"/>
              <w:spacing w:after="0"/>
              <w:rPr>
                <w:sz w:val="20"/>
                <w:szCs w:val="20"/>
                <w:color w:val="auto"/>
              </w:rPr>
            </w:pPr>
            <w:r>
              <w:rPr>
                <w:rFonts w:ascii="Arial" w:cs="Arial" w:eastAsia="Arial" w:hAnsi="Arial"/>
                <w:sz w:val="17"/>
                <w:szCs w:val="17"/>
                <w:b w:val="1"/>
                <w:bCs w:val="1"/>
                <w:color w:val="auto"/>
              </w:rPr>
              <w:t>December 31, 2020</w:t>
            </w: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2" w:lineRule="exact"/>
              <w:rPr>
                <w:sz w:val="20"/>
                <w:szCs w:val="20"/>
                <w:color w:val="auto"/>
              </w:rPr>
            </w:pPr>
            <w:r>
              <w:rPr>
                <w:rFonts w:ascii="Arial" w:cs="Arial" w:eastAsia="Arial" w:hAnsi="Arial"/>
                <w:sz w:val="17"/>
                <w:szCs w:val="17"/>
                <w:b w:val="1"/>
                <w:bCs w:val="1"/>
                <w:color w:val="auto"/>
                <w:w w:val="88"/>
              </w:rPr>
              <w:t>Weighted Average</w:t>
            </w:r>
          </w:p>
        </w:tc>
        <w:tc>
          <w:tcPr>
            <w:tcW w:w="80" w:type="dxa"/>
            <w:vAlign w:val="bottom"/>
          </w:tcPr>
          <w:p>
            <w:pPr>
              <w:spacing w:after="0"/>
              <w:rPr>
                <w:sz w:val="14"/>
                <w:szCs w:val="14"/>
                <w:color w:val="auto"/>
              </w:rPr>
            </w:pPr>
          </w:p>
        </w:tc>
        <w:tc>
          <w:tcPr>
            <w:tcW w:w="1440" w:type="dxa"/>
            <w:vAlign w:val="bottom"/>
            <w:gridSpan w:val="5"/>
            <w:vMerge w:val="restart"/>
          </w:tcPr>
          <w:p>
            <w:pPr>
              <w:jc w:val="center"/>
              <w:ind w:right="200"/>
              <w:spacing w:after="0"/>
              <w:rPr>
                <w:sz w:val="20"/>
                <w:szCs w:val="20"/>
                <w:color w:val="auto"/>
              </w:rPr>
            </w:pPr>
            <w:r>
              <w:rPr>
                <w:rFonts w:ascii="Arial" w:cs="Arial" w:eastAsia="Arial" w:hAnsi="Arial"/>
                <w:sz w:val="17"/>
                <w:szCs w:val="17"/>
                <w:b w:val="1"/>
                <w:bCs w:val="1"/>
                <w:color w:val="auto"/>
                <w:w w:val="92"/>
              </w:rPr>
              <w:t>Gross Intangible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40" w:type="dxa"/>
            <w:vAlign w:val="bottom"/>
          </w:tcPr>
          <w:p>
            <w:pPr>
              <w:spacing w:after="0"/>
              <w:rPr>
                <w:sz w:val="14"/>
                <w:szCs w:val="14"/>
                <w:color w:val="auto"/>
              </w:rPr>
            </w:pPr>
          </w:p>
        </w:tc>
        <w:tc>
          <w:tcPr>
            <w:tcW w:w="1540" w:type="dxa"/>
            <w:vAlign w:val="bottom"/>
            <w:gridSpan w:val="4"/>
          </w:tcPr>
          <w:p>
            <w:pPr>
              <w:jc w:val="center"/>
              <w:ind w:right="100"/>
              <w:spacing w:after="0" w:line="167" w:lineRule="exact"/>
              <w:rPr>
                <w:sz w:val="20"/>
                <w:szCs w:val="20"/>
                <w:color w:val="auto"/>
              </w:rPr>
            </w:pPr>
            <w:r>
              <w:rPr>
                <w:rFonts w:ascii="Arial" w:cs="Arial" w:eastAsia="Arial" w:hAnsi="Arial"/>
                <w:sz w:val="17"/>
                <w:szCs w:val="17"/>
                <w:b w:val="1"/>
                <w:bCs w:val="1"/>
                <w:color w:val="auto"/>
                <w:w w:val="96"/>
              </w:rPr>
              <w:t>Amortization</w:t>
            </w:r>
          </w:p>
        </w:tc>
        <w:tc>
          <w:tcPr>
            <w:tcW w:w="80" w:type="dxa"/>
            <w:vAlign w:val="bottom"/>
          </w:tcPr>
          <w:p>
            <w:pPr>
              <w:spacing w:after="0"/>
              <w:rPr>
                <w:sz w:val="14"/>
                <w:szCs w:val="14"/>
                <w:color w:val="auto"/>
              </w:rPr>
            </w:pPr>
          </w:p>
        </w:tc>
        <w:tc>
          <w:tcPr>
            <w:tcW w:w="14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3"/>
            <w:vMerge w:val="continue"/>
          </w:tcPr>
          <w:p>
            <w:pPr>
              <w:spacing w:after="0"/>
              <w:rPr>
                <w:sz w:val="14"/>
                <w:szCs w:val="14"/>
                <w:color w:val="auto"/>
              </w:rPr>
            </w:pPr>
          </w:p>
        </w:tc>
        <w:tc>
          <w:tcPr>
            <w:tcW w:w="164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w w:val="91"/>
              </w:rPr>
              <w:t>Net Intangible Assets</w:t>
            </w:r>
          </w:p>
        </w:tc>
        <w:tc>
          <w:tcPr>
            <w:tcW w:w="0" w:type="dxa"/>
            <w:vAlign w:val="bottom"/>
          </w:tcPr>
          <w:p>
            <w:pPr>
              <w:spacing w:after="0"/>
              <w:rPr>
                <w:sz w:val="1"/>
                <w:szCs w:val="1"/>
                <w:color w:val="auto"/>
              </w:rPr>
            </w:pPr>
          </w:p>
        </w:tc>
      </w:tr>
      <w:tr>
        <w:trPr>
          <w:trHeight w:val="219"/>
        </w:trPr>
        <w:tc>
          <w:tcPr>
            <w:tcW w:w="5040" w:type="dxa"/>
            <w:vAlign w:val="bottom"/>
          </w:tcPr>
          <w:p>
            <w:pPr>
              <w:spacing w:after="0"/>
              <w:rPr>
                <w:sz w:val="19"/>
                <w:szCs w:val="19"/>
                <w:color w:val="auto"/>
              </w:rPr>
            </w:pPr>
          </w:p>
        </w:tc>
        <w:tc>
          <w:tcPr>
            <w:tcW w:w="1540" w:type="dxa"/>
            <w:vAlign w:val="bottom"/>
            <w:gridSpan w:val="4"/>
          </w:tcPr>
          <w:p>
            <w:pPr>
              <w:jc w:val="center"/>
              <w:ind w:right="100"/>
              <w:spacing w:after="0"/>
              <w:rPr>
                <w:sz w:val="20"/>
                <w:szCs w:val="20"/>
                <w:color w:val="auto"/>
              </w:rPr>
            </w:pPr>
            <w:r>
              <w:rPr>
                <w:rFonts w:ascii="Arial" w:cs="Arial" w:eastAsia="Arial" w:hAnsi="Arial"/>
                <w:sz w:val="17"/>
                <w:szCs w:val="17"/>
                <w:b w:val="1"/>
                <w:bCs w:val="1"/>
                <w:color w:val="auto"/>
                <w:w w:val="90"/>
              </w:rPr>
              <w:t>Period (Years)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78"/>
              </w:rPr>
              <w:t>Assets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Amortization</w:t>
            </w:r>
          </w:p>
        </w:tc>
        <w:tc>
          <w:tcPr>
            <w:tcW w:w="1640" w:type="dxa"/>
            <w:vAlign w:val="bottom"/>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Trade and domain names</w:t>
            </w:r>
          </w:p>
        </w:tc>
        <w:tc>
          <w:tcPr>
            <w:tcW w:w="144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15.0</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7,255</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3,699</w:t>
            </w:r>
          </w:p>
        </w:tc>
        <w:tc>
          <w:tcPr>
            <w:tcW w:w="0" w:type="dxa"/>
            <w:vAlign w:val="bottom"/>
          </w:tcPr>
          <w:p>
            <w:pPr>
              <w:spacing w:after="0"/>
              <w:rPr>
                <w:sz w:val="1"/>
                <w:szCs w:val="1"/>
                <w:color w:val="auto"/>
              </w:rPr>
            </w:pPr>
          </w:p>
        </w:tc>
      </w:tr>
      <w:tr>
        <w:trPr>
          <w:trHeight w:val="218"/>
        </w:trPr>
        <w:tc>
          <w:tcPr>
            <w:tcW w:w="5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Software technology</w:t>
            </w:r>
          </w:p>
        </w:tc>
        <w:tc>
          <w:tcPr>
            <w:tcW w:w="1440" w:type="dxa"/>
            <w:vAlign w:val="bottom"/>
            <w:tcBorders>
              <w:bottom w:val="single" w:sz="8" w:color="CCEEFF"/>
            </w:tcBorders>
            <w:gridSpan w:val="2"/>
          </w:tcPr>
          <w:p>
            <w:pPr>
              <w:jc w:val="center"/>
              <w:spacing w:after="0"/>
              <w:rPr>
                <w:sz w:val="20"/>
                <w:szCs w:val="20"/>
                <w:color w:val="auto"/>
              </w:rPr>
            </w:pPr>
            <w:r>
              <w:rPr>
                <w:rFonts w:ascii="Arial" w:cs="Arial" w:eastAsia="Arial" w:hAnsi="Arial"/>
                <w:sz w:val="17"/>
                <w:szCs w:val="17"/>
                <w:color w:val="auto"/>
                <w:w w:val="84"/>
              </w:rPr>
              <w:t>9.4</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3,469</w:t>
            </w: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(2,663)</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0" w:type="dxa"/>
            <w:vAlign w:val="bottom"/>
          </w:tcPr>
          <w:p>
            <w:pPr>
              <w:spacing w:after="0"/>
              <w:rPr>
                <w:sz w:val="1"/>
                <w:szCs w:val="1"/>
                <w:color w:val="auto"/>
              </w:rPr>
            </w:pPr>
          </w:p>
        </w:tc>
      </w:tr>
      <w:tr>
        <w:trPr>
          <w:trHeight w:val="238"/>
        </w:trPr>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w:t>
            </w:r>
          </w:p>
        </w:tc>
        <w:tc>
          <w:tcPr>
            <w:tcW w:w="1440" w:type="dxa"/>
            <w:vAlign w:val="bottom"/>
            <w:tcBorders>
              <w:bottom w:val="single" w:sz="8" w:color="CCEEFF"/>
            </w:tcBorders>
            <w:gridSpan w:val="2"/>
            <w:shd w:val="clear" w:color="auto" w:fill="CCEEFF"/>
          </w:tcPr>
          <w:p>
            <w:pPr>
              <w:jc w:val="center"/>
              <w:spacing w:after="0"/>
              <w:rPr>
                <w:sz w:val="20"/>
                <w:szCs w:val="20"/>
                <w:color w:val="auto"/>
              </w:rPr>
            </w:pPr>
            <w:r>
              <w:rPr>
                <w:rFonts w:ascii="Arial" w:cs="Arial" w:eastAsia="Arial" w:hAnsi="Arial"/>
                <w:sz w:val="17"/>
                <w:szCs w:val="17"/>
                <w:color w:val="auto"/>
                <w:w w:val="90"/>
              </w:rPr>
              <w:t>13.2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10,724</w:t>
            </w:r>
          </w:p>
        </w:tc>
        <w:tc>
          <w:tcPr>
            <w:tcW w:w="80" w:type="dxa"/>
            <w:vAlign w:val="bottom"/>
            <w:tcBorders>
              <w:bottom w:val="single" w:sz="8" w:color="auto"/>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(6,219)</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4,505</w:t>
            </w:r>
          </w:p>
        </w:tc>
        <w:tc>
          <w:tcPr>
            <w:tcW w:w="0" w:type="dxa"/>
            <w:vAlign w:val="bottom"/>
          </w:tcPr>
          <w:p>
            <w:pPr>
              <w:spacing w:after="0"/>
              <w:rPr>
                <w:sz w:val="1"/>
                <w:szCs w:val="1"/>
                <w:color w:val="auto"/>
              </w:rPr>
            </w:pP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240"/>
          </w:cols>
          <w:pgMar w:left="320" w:top="127"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WM TECHNOLOGY, INC. AND SUBSIDIARIES</w:t>
      </w:r>
    </w:p>
    <w:p>
      <w:pPr>
        <w:spacing w:after="0" w:line="2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329" w:lineRule="exact"/>
        <w:rPr>
          <w:sz w:val="20"/>
          <w:szCs w:val="20"/>
          <w:color w:val="auto"/>
        </w:rPr>
      </w:pPr>
    </w:p>
    <w:p>
      <w:pPr>
        <w:ind w:right="100" w:firstLine="619"/>
        <w:spacing w:after="0" w:line="248" w:lineRule="auto"/>
        <w:rPr>
          <w:sz w:val="20"/>
          <w:szCs w:val="20"/>
          <w:color w:val="auto"/>
        </w:rPr>
      </w:pPr>
      <w:r>
        <w:rPr>
          <w:rFonts w:ascii="Arial" w:cs="Arial" w:eastAsia="Arial" w:hAnsi="Arial"/>
          <w:sz w:val="17"/>
          <w:szCs w:val="17"/>
          <w:color w:val="auto"/>
        </w:rPr>
        <w:t>Amortization expense for intangible assets was $0.2 million during each of the three months ended September 30, 2021 and 2020, and $0.7 millions during each of the nine months ended September 30, 2021 and 2020.</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estimated future amortization expense of intangible assets as of September 30, 2021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325755</wp:posOffset>
            </wp:positionV>
            <wp:extent cx="6805930" cy="139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ectPr>
          <w:pgSz w:w="11900" w:h="16838" w:orient="portrait"/>
          <w:cols w:equalWidth="0" w:num="1">
            <w:col w:w="11340"/>
          </w:cols>
          <w:pgMar w:left="320" w:top="127" w:right="2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ind w:left="1260"/>
        <w:spacing w:after="0"/>
        <w:rPr>
          <w:sz w:val="20"/>
          <w:szCs w:val="20"/>
          <w:color w:val="auto"/>
        </w:rPr>
      </w:pPr>
      <w:r>
        <w:rPr>
          <w:rFonts w:ascii="Arial" w:cs="Arial" w:eastAsia="Arial" w:hAnsi="Arial"/>
          <w:sz w:val="15"/>
          <w:szCs w:val="15"/>
          <w:color w:val="auto"/>
        </w:rPr>
        <w:t>Remaining period in 2021 (three months)</w:t>
      </w:r>
    </w:p>
    <w:p>
      <w:pPr>
        <w:spacing w:after="0" w:line="47"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2023</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39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05930" cy="13906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Year ended December 31, 2025</w:t>
      </w:r>
    </w:p>
    <w:p>
      <w:pPr>
        <w:spacing w:after="0" w:line="24" w:lineRule="exact"/>
        <w:rPr>
          <w:sz w:val="20"/>
          <w:szCs w:val="20"/>
          <w:color w:val="auto"/>
        </w:rPr>
      </w:pPr>
    </w:p>
    <w:p>
      <w:pPr>
        <w:ind w:left="1260"/>
        <w:spacing w:after="0"/>
        <w:rPr>
          <w:sz w:val="20"/>
          <w:szCs w:val="20"/>
          <w:color w:val="auto"/>
        </w:rPr>
      </w:pPr>
      <w:r>
        <w:rPr>
          <w:rFonts w:ascii="Arial" w:cs="Arial" w:eastAsia="Arial" w:hAnsi="Arial"/>
          <w:sz w:val="17"/>
          <w:szCs w:val="17"/>
          <w:color w:val="auto"/>
        </w:rPr>
        <w:t>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14605</wp:posOffset>
            </wp:positionV>
            <wp:extent cx="6805930" cy="163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0593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60960</wp:posOffset>
            </wp:positionV>
            <wp:extent cx="1345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140" w:space="720"/>
            <w:col w:w="1480"/>
          </w:cols>
          <w:pgMar w:left="320" w:top="127" w:right="239" w:bottom="1440" w:gutter="0" w:footer="0" w:header="0"/>
          <w:type w:val="continuous"/>
        </w:sectPr>
      </w:pPr>
    </w:p>
    <w:p>
      <w:pPr>
        <w:spacing w:after="0" w:line="187" w:lineRule="exact"/>
        <w:rPr>
          <w:sz w:val="20"/>
          <w:szCs w:val="20"/>
          <w:color w:val="auto"/>
        </w:rPr>
      </w:pPr>
    </w:p>
    <w:p>
      <w:pPr>
        <w:ind w:left="340" w:hanging="337"/>
        <w:spacing w:after="0"/>
        <w:tabs>
          <w:tab w:leader="none" w:pos="34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Accounts Payable and Accrued Expenses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Accounts payable and accrued liabilities as of September 30, 2021 and December 31, 2020 consisted of the following (in thousands):</w:t>
      </w:r>
    </w:p>
    <w:p>
      <w:pPr>
        <w:spacing w:after="0" w:line="43" w:lineRule="exact"/>
        <w:rPr>
          <w:sz w:val="20"/>
          <w:szCs w:val="20"/>
          <w:color w:val="auto"/>
        </w:rPr>
      </w:pPr>
    </w:p>
    <w:tbl>
      <w:tblPr>
        <w:tblLayout w:type="fixed"/>
        <w:tblInd w:w="620" w:type="dxa"/>
        <w:tblCellMar>
          <w:top w:w="0" w:type="dxa"/>
          <w:left w:w="0" w:type="dxa"/>
          <w:bottom w:w="0" w:type="dxa"/>
          <w:right w:w="0" w:type="dxa"/>
        </w:tblCellMar>
      </w:tblPr>
      <w:tr>
        <w:trPr>
          <w:trHeight w:val="224"/>
        </w:trPr>
        <w:tc>
          <w:tcPr>
            <w:tcW w:w="6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780" w:type="dxa"/>
            <w:vAlign w:val="bottom"/>
            <w:gridSpan w:val="2"/>
          </w:tcPr>
          <w:p>
            <w:pPr>
              <w:ind w:left="60"/>
              <w:spacing w:after="0"/>
              <w:rPr>
                <w:sz w:val="20"/>
                <w:szCs w:val="20"/>
                <w:color w:val="auto"/>
              </w:rPr>
            </w:pPr>
            <w:r>
              <w:rPr>
                <w:rFonts w:ascii="Arial" w:cs="Arial" w:eastAsia="Arial" w:hAnsi="Arial"/>
                <w:sz w:val="17"/>
                <w:szCs w:val="17"/>
                <w:b w:val="1"/>
                <w:bCs w:val="1"/>
                <w:color w:val="auto"/>
              </w:rPr>
              <w:t>September 30, 2021</w:t>
            </w: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December 31, 2</w:t>
            </w:r>
          </w:p>
        </w:tc>
      </w:tr>
      <w:tr>
        <w:trPr>
          <w:trHeight w:val="213"/>
        </w:trPr>
        <w:tc>
          <w:tcPr>
            <w:tcW w:w="6220" w:type="dxa"/>
            <w:vAlign w:val="bottom"/>
            <w:tcBorders>
              <w:top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Accounts payable</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6,362</w:t>
            </w:r>
          </w:p>
        </w:tc>
        <w:tc>
          <w:tcPr>
            <w:tcW w:w="8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jc w:val="right"/>
              <w:ind w:right="1134"/>
              <w:spacing w:after="0"/>
              <w:rPr>
                <w:sz w:val="20"/>
                <w:szCs w:val="20"/>
                <w:color w:val="auto"/>
              </w:rPr>
            </w:pPr>
            <w:r>
              <w:rPr>
                <w:rFonts w:ascii="Arial" w:cs="Arial" w:eastAsia="Arial" w:hAnsi="Arial"/>
                <w:sz w:val="17"/>
                <w:szCs w:val="17"/>
                <w:color w:val="auto"/>
              </w:rPr>
              <w:t>$</w:t>
            </w:r>
          </w:p>
        </w:tc>
      </w:tr>
      <w:tr>
        <w:trPr>
          <w:trHeight w:val="218"/>
        </w:trPr>
        <w:tc>
          <w:tcPr>
            <w:tcW w:w="6220" w:type="dxa"/>
            <w:vAlign w:val="bottom"/>
          </w:tcPr>
          <w:p>
            <w:pPr>
              <w:ind w:left="640"/>
              <w:spacing w:after="0"/>
              <w:rPr>
                <w:sz w:val="20"/>
                <w:szCs w:val="20"/>
                <w:color w:val="auto"/>
              </w:rPr>
            </w:pPr>
            <w:r>
              <w:rPr>
                <w:rFonts w:ascii="Arial" w:cs="Arial" w:eastAsia="Arial" w:hAnsi="Arial"/>
                <w:sz w:val="17"/>
                <w:szCs w:val="17"/>
                <w:color w:val="auto"/>
              </w:rPr>
              <w:t>Accrued employee expenses</w:t>
            </w:r>
          </w:p>
        </w:tc>
        <w:tc>
          <w:tcPr>
            <w:tcW w:w="7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7"/>
                <w:szCs w:val="17"/>
                <w:color w:val="auto"/>
              </w:rPr>
              <w:t>6,500</w:t>
            </w:r>
          </w:p>
        </w:tc>
        <w:tc>
          <w:tcPr>
            <w:tcW w:w="8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219"/>
        </w:trPr>
        <w:tc>
          <w:tcPr>
            <w:tcW w:w="6220" w:type="dxa"/>
            <w:vAlign w:val="bottom"/>
            <w:shd w:val="clear" w:color="auto" w:fill="CCEEFF"/>
          </w:tcPr>
          <w:p>
            <w:pPr>
              <w:ind w:left="640"/>
              <w:spacing w:after="0"/>
              <w:rPr>
                <w:sz w:val="20"/>
                <w:szCs w:val="20"/>
                <w:color w:val="auto"/>
              </w:rPr>
            </w:pPr>
            <w:r>
              <w:rPr>
                <w:rFonts w:ascii="Arial" w:cs="Arial" w:eastAsia="Arial" w:hAnsi="Arial"/>
                <w:sz w:val="17"/>
                <w:szCs w:val="17"/>
                <w:color w:val="auto"/>
              </w:rPr>
              <w:t>Other accrued liabilities</w:t>
            </w:r>
          </w:p>
        </w:tc>
        <w:tc>
          <w:tcPr>
            <w:tcW w:w="78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11,019</w:t>
            </w:r>
          </w:p>
        </w:tc>
        <w:tc>
          <w:tcPr>
            <w:tcW w:w="80" w:type="dxa"/>
            <w:vAlign w:val="bottom"/>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spacing w:after="0"/>
              <w:rPr>
                <w:sz w:val="19"/>
                <w:szCs w:val="19"/>
                <w:color w:val="auto"/>
              </w:rPr>
            </w:pPr>
          </w:p>
        </w:tc>
      </w:tr>
      <w:tr>
        <w:trPr>
          <w:trHeight w:val="212"/>
        </w:trPr>
        <w:tc>
          <w:tcPr>
            <w:tcW w:w="62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23,881</w:t>
            </w:r>
          </w:p>
        </w:tc>
        <w:tc>
          <w:tcPr>
            <w:tcW w:w="80" w:type="dxa"/>
            <w:vAlign w:val="bottom"/>
          </w:tcPr>
          <w:p>
            <w:pPr>
              <w:spacing w:after="0"/>
              <w:rPr>
                <w:sz w:val="18"/>
                <w:szCs w:val="18"/>
                <w:color w:val="auto"/>
              </w:rPr>
            </w:pPr>
          </w:p>
        </w:tc>
        <w:tc>
          <w:tcPr>
            <w:tcW w:w="1940" w:type="dxa"/>
            <w:vAlign w:val="bottom"/>
            <w:tcBorders>
              <w:bottom w:val="single" w:sz="8" w:color="auto"/>
            </w:tcBorders>
          </w:tcPr>
          <w:p>
            <w:pPr>
              <w:jc w:val="right"/>
              <w:ind w:right="1134"/>
              <w:spacing w:after="0"/>
              <w:rPr>
                <w:sz w:val="20"/>
                <w:szCs w:val="20"/>
                <w:color w:val="auto"/>
              </w:rPr>
            </w:pPr>
            <w:r>
              <w:rPr>
                <w:rFonts w:ascii="Arial" w:cs="Arial" w:eastAsia="Arial" w:hAnsi="Arial"/>
                <w:sz w:val="17"/>
                <w:szCs w:val="17"/>
                <w:color w:val="auto"/>
              </w:rPr>
              <w:t>$</w:t>
            </w:r>
          </w:p>
        </w:tc>
      </w:tr>
      <w:tr>
        <w:trPr>
          <w:trHeight w:val="20"/>
        </w:trPr>
        <w:tc>
          <w:tcPr>
            <w:tcW w:w="6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5912485</wp:posOffset>
            </wp:positionH>
            <wp:positionV relativeFrom="paragraph">
              <wp:posOffset>-605155</wp:posOffset>
            </wp:positionV>
            <wp:extent cx="5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-605155</wp:posOffset>
            </wp:positionV>
            <wp:extent cx="5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0" cy="8255"/>
                    </a:xfrm>
                    <a:prstGeom prst="rect">
                      <a:avLst/>
                    </a:prstGeom>
                    <a:noFill/>
                  </pic:spPr>
                </pic:pic>
              </a:graphicData>
            </a:graphic>
          </wp:anchor>
        </w:drawing>
      </w:r>
    </w:p>
    <w:p>
      <w:pPr>
        <w:spacing w:after="0" w:line="245" w:lineRule="exact"/>
        <w:rPr>
          <w:sz w:val="20"/>
          <w:szCs w:val="20"/>
          <w:color w:val="auto"/>
        </w:rPr>
      </w:pPr>
    </w:p>
    <w:p>
      <w:pPr>
        <w:ind w:left="420" w:hanging="417"/>
        <w:spacing w:after="0"/>
        <w:tabs>
          <w:tab w:leader="none" w:pos="42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Warrant Liability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At September 30, 2021, there were 12,499,933 Public Warrants outstanding and 7,000,000 Private Placement Warrants outstanding.</w:t>
      </w:r>
    </w:p>
    <w:p>
      <w:pPr>
        <w:spacing w:after="0" w:line="114" w:lineRule="exact"/>
        <w:rPr>
          <w:sz w:val="20"/>
          <w:szCs w:val="20"/>
          <w:color w:val="auto"/>
        </w:rPr>
      </w:pPr>
    </w:p>
    <w:p>
      <w:pPr>
        <w:jc w:val="both"/>
        <w:ind w:right="100" w:firstLine="464"/>
        <w:spacing w:after="0" w:line="283" w:lineRule="auto"/>
        <w:rPr>
          <w:sz w:val="20"/>
          <w:szCs w:val="20"/>
          <w:color w:val="auto"/>
        </w:rPr>
      </w:pPr>
      <w:r>
        <w:rPr>
          <w:rFonts w:ascii="Arial" w:cs="Arial" w:eastAsia="Arial" w:hAnsi="Arial"/>
          <w:sz w:val="16"/>
          <w:szCs w:val="16"/>
          <w:color w:val="auto"/>
        </w:rPr>
        <w:t>As part of Silver Spike’s initial public offering, 12,500,000 Public Warrants were sold. The Public Warrants entitle the holder thereof to purchase one share of Class A Common Stock at a price of $11.50 per share, subject to adjustments. The Public Warrants may be exercised only for a whole number of shares of Class A Common Stock. No fractional shares will be issued upon exercise of the warrants. The Public Warrants will expire at 5:00 p.m. New York City time on June 16, 2026, or earlier upon redemption or liquidation. The Public Warrants are listed on the NYSE under the symbol “MAPSW.”</w:t>
      </w:r>
    </w:p>
    <w:p>
      <w:pPr>
        <w:spacing w:after="0" w:line="60" w:lineRule="exact"/>
        <w:rPr>
          <w:sz w:val="20"/>
          <w:szCs w:val="20"/>
          <w:color w:val="auto"/>
        </w:rPr>
      </w:pPr>
    </w:p>
    <w:p>
      <w:pPr>
        <w:jc w:val="both"/>
        <w:ind w:right="100" w:firstLine="464"/>
        <w:spacing w:after="0" w:line="259" w:lineRule="auto"/>
        <w:rPr>
          <w:sz w:val="20"/>
          <w:szCs w:val="20"/>
          <w:color w:val="auto"/>
        </w:rPr>
      </w:pPr>
      <w:r>
        <w:rPr>
          <w:rFonts w:ascii="Arial" w:cs="Arial" w:eastAsia="Arial" w:hAnsi="Arial"/>
          <w:sz w:val="17"/>
          <w:szCs w:val="17"/>
          <w:color w:val="auto"/>
        </w:rPr>
        <w:t>The Company may redeem the Public Warrants starting July 16, 2021, in whole and not in part, at a price of $0.01 per Public Warrant, upon not less than 30 days’ prior written notice of redemption to each holder of Public Warrants, and if, and only if, the reported last sales price of the Company’s Class A Common Stock equals or exceeds $18.00 per share (as adjusted for share splits, share dividends, rights issuances, subdivisions, reorganizations, recapitalization and the like) for any 20 trading days within a 30-trading day period ending on the third trading day prior to the date the Company sends the notice of redemption to the holders of Public Warrants.</w:t>
      </w:r>
    </w:p>
    <w:p>
      <w:pPr>
        <w:spacing w:after="0" w:line="209" w:lineRule="exact"/>
        <w:rPr>
          <w:sz w:val="20"/>
          <w:szCs w:val="20"/>
          <w:color w:val="auto"/>
        </w:rPr>
      </w:pPr>
    </w:p>
    <w:p>
      <w:pPr>
        <w:jc w:val="both"/>
        <w:ind w:right="100" w:firstLine="464"/>
        <w:spacing w:after="0" w:line="274" w:lineRule="auto"/>
        <w:rPr>
          <w:sz w:val="20"/>
          <w:szCs w:val="20"/>
          <w:color w:val="auto"/>
        </w:rPr>
      </w:pPr>
      <w:r>
        <w:rPr>
          <w:rFonts w:ascii="Arial" w:cs="Arial" w:eastAsia="Arial" w:hAnsi="Arial"/>
          <w:sz w:val="16"/>
          <w:szCs w:val="16"/>
          <w:color w:val="auto"/>
        </w:rPr>
        <w:t>Simultaneously with Silver Spike’s initial public offering, Silver Spike consummated a private placement of 7,000,000 Private Placement Warrants with Silver Spike’s sponsor (“Silver Spike Sponsor”). Each Private Placement Warrant is exercisable for one share of Class A Common Stock at a price of $11.50 per share, subject to adjustment. The Private Placement Warrants (including the shares of Class A Common Stock issuable upon exercise of the Private Placement Warrants) are not transferable, assignable or salable until 30 days after the completion of the Business Combination, subject to certain exceptions, and they are nonredeemable as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the Company and exercisable by the holders on the same basis as the Public Warrants.</w:t>
      </w: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ectPr>
          <w:pgSz w:w="11900" w:h="16838" w:orient="portrait"/>
          <w:cols w:equalWidth="0" w:num="1">
            <w:col w:w="11340"/>
          </w:cols>
          <w:pgMar w:left="320" w:top="127" w:right="239" w:bottom="1440" w:gutter="0" w:footer="0" w:header="0"/>
          <w:type w:val="continuous"/>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The Company may exercise its redemption right even if it is unable to register or qualify the underlying securities for sale under all applicable state securities laws.</w:t>
      </w:r>
    </w:p>
    <w:p>
      <w:pPr>
        <w:spacing w:after="0" w:line="19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Class A Common Stock issuable upon exercise of the Public Warrants may be adjusted in certain circumstances including in the event of a share dividend, extraordinary dividend or recapitalization, reorganization, merger or consolidation. However, the Public Warrants will not be adjusted for issuances of shares of Class A Common Stock at a price below its exercise price. Additionally, in no event will the Company be required to net cash settle the Public Warrants.</w:t>
      </w:r>
    </w:p>
    <w:p>
      <w:pPr>
        <w:spacing w:after="0" w:line="209"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initial public offering, except that the Private Placement Warrants and the Class A Common Stock issuable upon the exercise of the Private Placement Warrants were not transferable, assignable or salable until 30 days after the completion of the Business Combination, subject to certain limited exceptions. Additionally, the Private Placement Warrants will be exercisable on a cashless basis and be non-redeemable so long as they are held by the initial purchasers or their permitted transferees. If the Private Placement Warrants are held by someone other than the initial purchasers or their permitted transferees, the Private Placement Warrants will be redeemable by the Company and exercisable by such holders on the same basis as the Public Warrants.</w:t>
      </w:r>
    </w:p>
    <w:p>
      <w:pPr>
        <w:spacing w:after="0" w:line="209"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Company concluded the Public Warrants and Private Placement Warrants, or the Warrants, meet the definition of a derivative under ASC 815-</w:t>
      </w:r>
      <w:r>
        <w:rPr>
          <w:rFonts w:ascii="Arial" w:cs="Arial" w:eastAsia="Arial" w:hAnsi="Arial"/>
          <w:sz w:val="16"/>
          <w:szCs w:val="16"/>
          <w:i w:val="1"/>
          <w:iCs w:val="1"/>
          <w:color w:val="auto"/>
        </w:rPr>
        <w:t xml:space="preserve">Derivatives and Hedging </w:t>
      </w:r>
      <w:r>
        <w:rPr>
          <w:rFonts w:ascii="Arial" w:cs="Arial" w:eastAsia="Arial" w:hAnsi="Arial"/>
          <w:sz w:val="16"/>
          <w:szCs w:val="16"/>
          <w:color w:val="auto"/>
        </w:rPr>
        <w:t>(as described in Note 2) and are recorded as liabilities. Upon the Closing, the fair value of the Warrants was recorded on the balance</w:t>
      </w:r>
      <w:r>
        <w:rPr>
          <w:rFonts w:ascii="Arial" w:cs="Arial" w:eastAsia="Arial" w:hAnsi="Arial"/>
          <w:sz w:val="16"/>
          <w:szCs w:val="16"/>
          <w:i w:val="1"/>
          <w:iCs w:val="1"/>
          <w:color w:val="auto"/>
        </w:rPr>
        <w:t xml:space="preserve"> </w:t>
      </w:r>
      <w:r>
        <w:rPr>
          <w:rFonts w:ascii="Arial" w:cs="Arial" w:eastAsia="Arial" w:hAnsi="Arial"/>
          <w:sz w:val="16"/>
          <w:szCs w:val="16"/>
          <w:color w:val="auto"/>
        </w:rPr>
        <w:t>sheet. The fair value of the Warrants was remeasured as of September 30, 2021, resulting in a non-cash change in fair Warrant liabilities of $45.8 million and $83.6 million in the condensed consolidated statements of income for the three and nine months ended September 30, 2021, respectively.</w:t>
      </w:r>
    </w:p>
    <w:p>
      <w:pPr>
        <w:spacing w:after="0" w:line="158" w:lineRule="exact"/>
        <w:rPr>
          <w:sz w:val="20"/>
          <w:szCs w:val="20"/>
          <w:color w:val="auto"/>
        </w:rPr>
      </w:pPr>
    </w:p>
    <w:p>
      <w:pPr>
        <w:ind w:left="420" w:hanging="417"/>
        <w:spacing w:after="0"/>
        <w:tabs>
          <w:tab w:leader="none" w:pos="420" w:val="left"/>
        </w:tabs>
        <w:numPr>
          <w:ilvl w:val="0"/>
          <w:numId w:val="15"/>
        </w:numPr>
        <w:rPr>
          <w:rFonts w:ascii="Arial" w:cs="Arial" w:eastAsia="Arial" w:hAnsi="Arial"/>
          <w:sz w:val="17"/>
          <w:szCs w:val="17"/>
          <w:b w:val="1"/>
          <w:bCs w:val="1"/>
          <w:color w:val="auto"/>
        </w:rPr>
      </w:pPr>
      <w:r>
        <w:rPr>
          <w:rFonts w:ascii="Arial" w:cs="Arial" w:eastAsia="Arial" w:hAnsi="Arial"/>
          <w:sz w:val="17"/>
          <w:szCs w:val="17"/>
          <w:b w:val="1"/>
          <w:bCs w:val="1"/>
          <w:color w:val="auto"/>
        </w:rPr>
        <w:t>Equity</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Common Stock</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3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Subject to preferences that may be applicable to any outstanding preferred stock, the holders of shares of Class A Common Stock are entitled to receive ratably such dividends, if any, as may be declared from time to time by the Company’s board of directors out of funds legally available therefor.</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the shares of Class A Common Stock are entitled to share ratably in all assets remaining after payment of the Company’s debts and other liabilities, subject to prior distribution rights of preferred stock or any class or series of stock having a preference over the shares of Class A Common Stock, then outstanding, if any.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240"/>
          </w:cols>
          <w:pgMar w:left="320" w:top="127"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1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the Company may issue in the future.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V Common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Voting Rights</w:t>
      </w:r>
    </w:p>
    <w:p>
      <w:pPr>
        <w:spacing w:after="0" w:line="230" w:lineRule="exact"/>
        <w:rPr>
          <w:sz w:val="20"/>
          <w:szCs w:val="20"/>
          <w:color w:val="auto"/>
        </w:rPr>
      </w:pPr>
    </w:p>
    <w:p>
      <w:pPr>
        <w:jc w:val="both"/>
        <w:ind w:firstLine="619"/>
        <w:spacing w:after="0" w:line="242" w:lineRule="auto"/>
        <w:rPr>
          <w:sz w:val="20"/>
          <w:szCs w:val="20"/>
          <w:color w:val="auto"/>
        </w:rPr>
      </w:pPr>
      <w:r>
        <w:rPr>
          <w:rFonts w:ascii="Arial" w:cs="Arial" w:eastAsia="Arial" w:hAnsi="Arial"/>
          <w:sz w:val="16"/>
          <w:szCs w:val="16"/>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V Common Stock are entitled to vote separately upon any amendment to the Company’s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Rights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holders of the Class V Common Stock will not participate in any dividends declared by the Company’s board of directors.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Rights upon Liquidation, Dissolution and Winding-Up</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the event of any voluntary or involuntary liquidation, dissolution or winding up of our affairs, the holders of Class V Common Stock are not entitled to receive any of the Company’s assets.</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Preemptive or Other Rights</w:t>
      </w:r>
    </w:p>
    <w:p>
      <w:pPr>
        <w:spacing w:after="0" w:line="217" w:lineRule="exact"/>
        <w:rPr>
          <w:sz w:val="20"/>
          <w:szCs w:val="20"/>
          <w:color w:val="auto"/>
        </w:rPr>
      </w:pPr>
    </w:p>
    <w:p>
      <w:pPr>
        <w:jc w:val="both"/>
        <w:ind w:firstLine="619"/>
        <w:spacing w:after="0" w:line="248" w:lineRule="auto"/>
        <w:rPr>
          <w:sz w:val="20"/>
          <w:szCs w:val="20"/>
          <w:color w:val="auto"/>
        </w:rPr>
      </w:pPr>
      <w:r>
        <w:rPr>
          <w:rFonts w:ascii="Arial" w:cs="Arial" w:eastAsia="Arial" w:hAnsi="Arial"/>
          <w:sz w:val="17"/>
          <w:szCs w:val="17"/>
          <w:color w:val="auto"/>
        </w:rPr>
        <w:t>The holders of shares of Class V Common Stock do not have preemptive, subscription, redemption or conversion rights. There will be no redemption or sinking fund provisions applicable to the Class V Common Stock.</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Issuance and Retirement of Class V Common Stock</w:t>
      </w:r>
    </w:p>
    <w:p>
      <w:pPr>
        <w:spacing w:after="0" w:line="217" w:lineRule="exact"/>
        <w:rPr>
          <w:sz w:val="20"/>
          <w:szCs w:val="20"/>
          <w:color w:val="auto"/>
        </w:rPr>
      </w:pPr>
    </w:p>
    <w:p>
      <w:pPr>
        <w:jc w:val="both"/>
        <w:ind w:firstLine="619"/>
        <w:spacing w:after="0" w:line="236" w:lineRule="auto"/>
        <w:rPr>
          <w:sz w:val="20"/>
          <w:szCs w:val="20"/>
          <w:color w:val="auto"/>
        </w:rPr>
      </w:pPr>
      <w:r>
        <w:rPr>
          <w:rFonts w:ascii="Arial" w:cs="Arial" w:eastAsia="Arial" w:hAnsi="Arial"/>
          <w:sz w:val="17"/>
          <w:szCs w:val="17"/>
          <w:color w:val="auto"/>
        </w:rPr>
        <w:t>In the event that any outstanding share of Class V Common Stock ceases to be held directly or indirectly by a holder of Class A Units, such share will automatically be transferred to us for no consideration and thereupon will be retired. The Company will not issue additional shares of Class V Common Stock other than in connection with the valid issuance or transfer of Units in accordance with the governing documents of WMH LLC.</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Pursuant to the amended and restated certificate of incorporation in effect as of June 15, 2021, the Company was authorized to issue 75,000,000 shares of preferred stock with such designations, voting and other rights and preferences as may be determined from time to time by the Company’s board of directors. As of September 30, 2021, there were no shares of preferred stock issued or outstanding.</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noncontrolling interest represents the Units held by holders other than the Company. As of September 30, 2021, the noncontrolling interests owned 56.6% of the Units outstanding. The noncontrolling interests’ ownership percentage can fluctuate over time, including as the WMH LLC equity holders elect to exchange Units for Class A Common Stock. The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240"/>
          </w:cols>
          <w:pgMar w:left="320" w:top="127"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307" w:lineRule="exact"/>
        <w:rPr>
          <w:sz w:val="20"/>
          <w:szCs w:val="20"/>
          <w:color w:val="auto"/>
        </w:rPr>
      </w:pPr>
    </w:p>
    <w:p>
      <w:pPr>
        <w:jc w:val="both"/>
        <w:spacing w:after="0" w:line="318" w:lineRule="auto"/>
        <w:rPr>
          <w:sz w:val="20"/>
          <w:szCs w:val="20"/>
          <w:color w:val="auto"/>
        </w:rPr>
      </w:pPr>
      <w:r>
        <w:rPr>
          <w:rFonts w:ascii="Arial" w:cs="Arial" w:eastAsia="Arial" w:hAnsi="Arial"/>
          <w:sz w:val="15"/>
          <w:szCs w:val="15"/>
          <w:color w:val="auto"/>
        </w:rPr>
        <w:t>Company has consolidated the financial position and results of operations of WMH LLC and reflected the proportionate interest held by the WMH LLC Unit equity holders as noncontrolling interests. Net income for the period prior to the Business Combination from January 1, 2021 to June 15, 2021 is allocated to net income attributable to noncontrolling interests on the accompanying condensed consolidated statements of income for the nine months ended September 30, 2021.</w:t>
      </w:r>
    </w:p>
    <w:p>
      <w:pPr>
        <w:spacing w:after="0" w:line="133" w:lineRule="exact"/>
        <w:rPr>
          <w:sz w:val="20"/>
          <w:szCs w:val="20"/>
          <w:color w:val="auto"/>
        </w:rPr>
      </w:pPr>
    </w:p>
    <w:p>
      <w:pPr>
        <w:ind w:left="440" w:hanging="437"/>
        <w:spacing w:after="0"/>
        <w:tabs>
          <w:tab w:leader="none" w:pos="440"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color w:val="auto"/>
        </w:rPr>
        <w:t>Stock-based Compensation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WM Holding Company, LLC Equity Incentive Plan</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 xml:space="preserve">The Company has accounted for the issuance of Class A-3 and Class B Units issued under WM Holding Company, LLC’s Equity Incentive Plan in accordance with ASC 718 - </w:t>
      </w:r>
      <w:r>
        <w:rPr>
          <w:rFonts w:ascii="Arial" w:cs="Arial" w:eastAsia="Arial" w:hAnsi="Arial"/>
          <w:sz w:val="17"/>
          <w:szCs w:val="17"/>
          <w:i w:val="1"/>
          <w:iCs w:val="1"/>
          <w:color w:val="auto"/>
        </w:rPr>
        <w:t>Stock Based Compensation</w:t>
      </w:r>
      <w:r>
        <w:rPr>
          <w:rFonts w:ascii="Arial" w:cs="Arial" w:eastAsia="Arial" w:hAnsi="Arial"/>
          <w:sz w:val="17"/>
          <w:szCs w:val="17"/>
          <w:color w:val="auto"/>
        </w:rPr>
        <w:t>. The Company considers the limitation on the exercisability of the Class A-3 and Class B Units to be a performance condition and records compensation cost when it becomes probable that the performance condition will be met.</w:t>
      </w:r>
    </w:p>
    <w:p>
      <w:pPr>
        <w:spacing w:after="0" w:line="7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connection with the Business Combination, each of the Class A-3 Units outstanding prior to the Business Combination were cancelled, and the holder thereof received a number of Class A units representing limited liability company interests of WMH LLC (the “Class A Units”) and an equivalent number of shares of Class V Common Stock, par value $0.0001 per share (together with the Class A Units, the “Paired Interests”), and each of the Class B Units outstanding prior to the Business Combination were cancelled and holders thereof received a number of Class P units representing limited liability company interests of WMH LLC (the “Class P Units” and together with the Class A Units, the “Units”), each in accordance with the Merger Agreement.</w:t>
      </w:r>
    </w:p>
    <w:p>
      <w:pPr>
        <w:spacing w:after="0" w:line="65"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Concurrently with the closing of the Business Combination, the Unit holders entered into an exchange agreement (the “Exchange Agreement”). The terms of the Exchange Agreement, among other things, provide the Unit holders (or certain permitted transferees thereof) with the right from time to time at and after 180 days following the Business Combination to exchange their vested Paired Interests for shares of Class A Common Stock on a one-for-one basis, subject to customary conversion rate adjustments for stock splits, stock dividends and reclassifications, or Class P Units for shares of Class A Common Stock with a value equal to the value of such Class P Units less their participation threshold, or in each case, at the Company’s election, the cash equivalent of such shares of Class A Common Stock.</w:t>
      </w:r>
    </w:p>
    <w:p>
      <w:pPr>
        <w:spacing w:after="0" w:line="8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Class P Unit activity for the nine months ended September 30, 2021 is as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02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rPr>
              <w:t>Number of Units</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A-3 and Class B Units, December 31, 2020</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274,816</w:t>
            </w:r>
          </w:p>
        </w:tc>
      </w:tr>
      <w:tr>
        <w:trPr>
          <w:trHeight w:val="218"/>
        </w:trPr>
        <w:tc>
          <w:tcPr>
            <w:tcW w:w="9020" w:type="dxa"/>
            <w:vAlign w:val="bottom"/>
          </w:tcPr>
          <w:p>
            <w:pPr>
              <w:ind w:left="20"/>
              <w:spacing w:after="0"/>
              <w:rPr>
                <w:sz w:val="20"/>
                <w:szCs w:val="20"/>
                <w:color w:val="auto"/>
              </w:rPr>
            </w:pPr>
            <w:r>
              <w:rPr>
                <w:rFonts w:ascii="Arial" w:cs="Arial" w:eastAsia="Arial" w:hAnsi="Arial"/>
                <w:sz w:val="17"/>
                <w:szCs w:val="17"/>
                <w:color w:val="auto"/>
              </w:rPr>
              <w:t>Repurchases</w:t>
            </w:r>
          </w:p>
        </w:tc>
        <w:tc>
          <w:tcPr>
            <w:tcW w:w="2220" w:type="dxa"/>
            <w:vAlign w:val="bottom"/>
          </w:tcPr>
          <w:p>
            <w:pPr>
              <w:jc w:val="right"/>
              <w:spacing w:after="0"/>
              <w:rPr>
                <w:sz w:val="20"/>
                <w:szCs w:val="20"/>
                <w:color w:val="auto"/>
              </w:rPr>
            </w:pPr>
            <w:r>
              <w:rPr>
                <w:rFonts w:ascii="Arial" w:cs="Arial" w:eastAsia="Arial" w:hAnsi="Arial"/>
                <w:sz w:val="17"/>
                <w:szCs w:val="17"/>
                <w:color w:val="auto"/>
              </w:rPr>
              <w:t>(8,279)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Cancellations</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(4,288)</w:t>
            </w:r>
          </w:p>
        </w:tc>
      </w:tr>
      <w:tr>
        <w:trPr>
          <w:trHeight w:val="211"/>
        </w:trPr>
        <w:tc>
          <w:tcPr>
            <w:tcW w:w="9020" w:type="dxa"/>
            <w:vAlign w:val="bottom"/>
          </w:tcPr>
          <w:p>
            <w:pPr>
              <w:ind w:left="20"/>
              <w:spacing w:after="0"/>
              <w:rPr>
                <w:sz w:val="20"/>
                <w:szCs w:val="20"/>
                <w:color w:val="auto"/>
              </w:rPr>
            </w:pPr>
            <w:r>
              <w:rPr>
                <w:rFonts w:ascii="Arial" w:cs="Arial" w:eastAsia="Arial" w:hAnsi="Arial"/>
                <w:sz w:val="17"/>
                <w:szCs w:val="17"/>
                <w:color w:val="auto"/>
              </w:rPr>
              <w:t>Outstanding Class A-3 and Class B Units, June 15, 2021 (Pre-Business Combination)</w:t>
            </w:r>
          </w:p>
        </w:tc>
        <w:tc>
          <w:tcPr>
            <w:tcW w:w="2220" w:type="dxa"/>
            <w:vAlign w:val="bottom"/>
          </w:tcPr>
          <w:p>
            <w:pPr>
              <w:jc w:val="right"/>
              <w:spacing w:after="0"/>
              <w:rPr>
                <w:sz w:val="20"/>
                <w:szCs w:val="20"/>
                <w:color w:val="auto"/>
              </w:rPr>
            </w:pPr>
            <w:r>
              <w:rPr>
                <w:rFonts w:ascii="Arial" w:cs="Arial" w:eastAsia="Arial" w:hAnsi="Arial"/>
                <w:sz w:val="17"/>
                <w:szCs w:val="17"/>
                <w:color w:val="auto"/>
              </w:rPr>
              <w:t>262,249</w:t>
            </w:r>
          </w:p>
        </w:tc>
      </w:tr>
      <w:tr>
        <w:trPr>
          <w:trHeight w:val="220"/>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A-3 Units outstanding exchanged for Class A Units in connection with the Business Combination</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(53,333)</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Recapitalization in connection with the Business Combination</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25,687,126</w:t>
            </w:r>
          </w:p>
        </w:tc>
      </w:tr>
      <w:tr>
        <w:trPr>
          <w:trHeight w:val="213"/>
        </w:trPr>
        <w:tc>
          <w:tcPr>
            <w:tcW w:w="9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Class P Units, June 16, 2021</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25,896,042</w:t>
            </w:r>
          </w:p>
        </w:tc>
      </w:tr>
      <w:tr>
        <w:trPr>
          <w:trHeight w:val="218"/>
        </w:trPr>
        <w:tc>
          <w:tcPr>
            <w:tcW w:w="9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Cancellations</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(216,920)</w:t>
            </w:r>
          </w:p>
        </w:tc>
      </w:tr>
      <w:tr>
        <w:trPr>
          <w:trHeight w:val="238"/>
        </w:trPr>
        <w:tc>
          <w:tcPr>
            <w:tcW w:w="9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Class P Units, September 30,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25,679,122</w:t>
            </w:r>
          </w:p>
        </w:tc>
      </w:tr>
      <w:tr>
        <w:trPr>
          <w:trHeight w:val="20"/>
        </w:trPr>
        <w:tc>
          <w:tcPr>
            <w:tcW w:w="90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r>
      <w:tr>
        <w:trPr>
          <w:trHeight w:val="191"/>
        </w:trPr>
        <w:tc>
          <w:tcPr>
            <w:tcW w:w="9020" w:type="dxa"/>
            <w:vAlign w:val="bottom"/>
          </w:tcPr>
          <w:p>
            <w:pPr>
              <w:ind w:left="20"/>
              <w:spacing w:after="0" w:line="191" w:lineRule="exact"/>
              <w:rPr>
                <w:sz w:val="20"/>
                <w:szCs w:val="20"/>
                <w:color w:val="auto"/>
              </w:rPr>
            </w:pPr>
            <w:r>
              <w:rPr>
                <w:rFonts w:ascii="Arial" w:cs="Arial" w:eastAsia="Arial" w:hAnsi="Arial"/>
                <w:sz w:val="17"/>
                <w:szCs w:val="17"/>
                <w:color w:val="auto"/>
              </w:rPr>
              <w:t>Vested, September 30, 2021</w:t>
            </w:r>
          </w:p>
        </w:tc>
        <w:tc>
          <w:tcPr>
            <w:tcW w:w="2220" w:type="dxa"/>
            <w:vAlign w:val="bottom"/>
            <w:tcBorders>
              <w:bottom w:val="single" w:sz="8" w:color="auto"/>
            </w:tcBorders>
          </w:tcPr>
          <w:p>
            <w:pPr>
              <w:jc w:val="right"/>
              <w:spacing w:after="0" w:line="191" w:lineRule="exact"/>
              <w:rPr>
                <w:sz w:val="20"/>
                <w:szCs w:val="20"/>
                <w:color w:val="auto"/>
              </w:rPr>
            </w:pPr>
            <w:r>
              <w:rPr>
                <w:rFonts w:ascii="Arial" w:cs="Arial" w:eastAsia="Arial" w:hAnsi="Arial"/>
                <w:sz w:val="17"/>
                <w:szCs w:val="17"/>
                <w:color w:val="auto"/>
              </w:rPr>
              <w:t>23,197,454</w:t>
            </w:r>
          </w:p>
        </w:tc>
      </w:tr>
      <w:tr>
        <w:trPr>
          <w:trHeight w:val="20"/>
        </w:trPr>
        <w:tc>
          <w:tcPr>
            <w:tcW w:w="9020" w:type="dxa"/>
            <w:vAlign w:val="bottom"/>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As of September 30, 2021, unrecognized stock-based compensation expense for non-vested Class P Units was $5.0 million, which is expected to be recognized over a weighted-average period of 2.2 years. For the three and nine months ended September 30, 2021, the Company recorded stock-based compensation expense for the Class P Units of $0.7 million and $20.1 million, respectively. Due to the Business Combination completed in the second quarter of 2021, certain limitations on exercisability related to the Company’s Class P equity awards issued to employees and consultants were removed and as a result the Company recognized the life-to-date expense on units vested through the Business Combination date on those equity awards. The stock-based compensation expense recognized during the nine months ended September 30, 2021 also included a one-time incremental expense of $4.1 million recognized during the second quarter related to an award modification as a result of an advisory agreement entered into with a former executive.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240"/>
          </w:cols>
          <w:pgMar w:left="320" w:top="127"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WM Technology, Inc. Equity Incentive Plan</w:t>
      </w:r>
    </w:p>
    <w:p>
      <w:pPr>
        <w:spacing w:after="0" w:line="114"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In connection with the Business Combination, the Company adopted the WM Technology, Inc. 2021 Equity Incentive Plan (the “2021 Plan”). The 2021 Plan permits the granting of incentive stock options to employees and for the grant of nonstatutory stock options, stock appreciation rights, restricted stock awards, restricted stock unit awards, performance awards and other forms of stock awards to employees, directors and consultants. As of September 30, 2021, 19,209,986 shares of Class A Common Stock are authorized for issuance pursuant to awards under the 2021 Plan. The number of shares of Class A Common stock reserved for issuance under the 2021 Plan will automatically increase on January 1 of each year for a period of ten years commencing on January 1, 2022 and ending on (and including) January 1, 2031, in an amount equal to five percent (5%) of the total number of shares of the Company’s capital stock outstanding on December 31 of the preceding year; provided, however that the Board may act prior to January 1st of a given year to provide that the increase for such year will be a lesser number of shares of Common Stock. As of September 30, 2021, 15,108,441 shares of Class A Common Stock are available for future issuance.</w:t>
      </w:r>
    </w:p>
    <w:p>
      <w:pPr>
        <w:spacing w:after="0" w:line="5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restricted stock unit (“RSU”) activity for the nine months ended September 30, 2021 is as follows:</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640" w:type="dxa"/>
            <w:vAlign w:val="bottom"/>
          </w:tcPr>
          <w:p>
            <w:pPr>
              <w:spacing w:after="0"/>
              <w:rPr>
                <w:sz w:val="16"/>
                <w:szCs w:val="16"/>
                <w:color w:val="auto"/>
              </w:rPr>
            </w:pPr>
          </w:p>
        </w:tc>
        <w:tc>
          <w:tcPr>
            <w:tcW w:w="2240" w:type="dxa"/>
            <w:vAlign w:val="bottom"/>
            <w:vMerge w:val="restart"/>
          </w:tcPr>
          <w:p>
            <w:pPr>
              <w:ind w:left="500"/>
              <w:spacing w:after="0"/>
              <w:rPr>
                <w:sz w:val="20"/>
                <w:szCs w:val="20"/>
                <w:color w:val="auto"/>
              </w:rPr>
            </w:pPr>
            <w:r>
              <w:rPr>
                <w:rFonts w:ascii="Arial" w:cs="Arial" w:eastAsia="Arial" w:hAnsi="Arial"/>
                <w:sz w:val="17"/>
                <w:szCs w:val="17"/>
                <w:b w:val="1"/>
                <w:bCs w:val="1"/>
                <w:color w:val="auto"/>
              </w:rPr>
              <w:t>Number of RSUs</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jc w:val="right"/>
              <w:ind w:right="114"/>
              <w:spacing w:after="0"/>
              <w:rPr>
                <w:sz w:val="20"/>
                <w:szCs w:val="20"/>
                <w:color w:val="auto"/>
              </w:rPr>
            </w:pPr>
            <w:r>
              <w:rPr>
                <w:rFonts w:ascii="Arial" w:cs="Arial" w:eastAsia="Arial" w:hAnsi="Arial"/>
                <w:sz w:val="17"/>
                <w:szCs w:val="17"/>
                <w:b w:val="1"/>
                <w:bCs w:val="1"/>
                <w:color w:val="auto"/>
                <w:w w:val="94"/>
              </w:rPr>
              <w:t>Weighted-average Grant</w:t>
            </w:r>
          </w:p>
        </w:tc>
        <w:tc>
          <w:tcPr>
            <w:tcW w:w="0" w:type="dxa"/>
            <w:vAlign w:val="bottom"/>
          </w:tcPr>
          <w:p>
            <w:pPr>
              <w:spacing w:after="0"/>
              <w:rPr>
                <w:sz w:val="1"/>
                <w:szCs w:val="1"/>
                <w:color w:val="auto"/>
              </w:rPr>
            </w:pPr>
          </w:p>
        </w:tc>
      </w:tr>
      <w:tr>
        <w:trPr>
          <w:trHeight w:val="219"/>
        </w:trPr>
        <w:tc>
          <w:tcPr>
            <w:tcW w:w="6640" w:type="dxa"/>
            <w:vAlign w:val="bottom"/>
            <w:tcBorders>
              <w:bottom w:val="single" w:sz="8" w:color="CCEEFF"/>
            </w:tcBorders>
          </w:tcPr>
          <w:p>
            <w:pPr>
              <w:spacing w:after="0"/>
              <w:rPr>
                <w:sz w:val="19"/>
                <w:szCs w:val="19"/>
                <w:color w:val="auto"/>
              </w:rPr>
            </w:pPr>
          </w:p>
        </w:tc>
        <w:tc>
          <w:tcPr>
            <w:tcW w:w="224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Date Fair Value</w:t>
            </w:r>
          </w:p>
        </w:tc>
        <w:tc>
          <w:tcPr>
            <w:tcW w:w="0" w:type="dxa"/>
            <w:vAlign w:val="bottom"/>
          </w:tcPr>
          <w:p>
            <w:pPr>
              <w:spacing w:after="0"/>
              <w:rPr>
                <w:sz w:val="1"/>
                <w:szCs w:val="1"/>
                <w:color w:val="auto"/>
              </w:rPr>
            </w:pPr>
          </w:p>
        </w:tc>
      </w:tr>
      <w:tr>
        <w:trPr>
          <w:trHeight w:val="212"/>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at December 31, 2020</w:t>
            </w:r>
          </w:p>
        </w:tc>
        <w:tc>
          <w:tcPr>
            <w:tcW w:w="2240" w:type="dxa"/>
            <w:vAlign w:val="bottom"/>
            <w:shd w:val="clear" w:color="auto" w:fill="CCEEFF"/>
          </w:tcPr>
          <w:p>
            <w:pPr>
              <w:ind w:left="2000"/>
              <w:spacing w:after="0"/>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6640" w:type="dxa"/>
            <w:vAlign w:val="bottom"/>
          </w:tcPr>
          <w:p>
            <w:pPr>
              <w:ind w:left="20"/>
              <w:spacing w:after="0"/>
              <w:rPr>
                <w:sz w:val="20"/>
                <w:szCs w:val="20"/>
                <w:color w:val="auto"/>
              </w:rPr>
            </w:pPr>
            <w:r>
              <w:rPr>
                <w:rFonts w:ascii="Arial" w:cs="Arial" w:eastAsia="Arial" w:hAnsi="Arial"/>
                <w:sz w:val="17"/>
                <w:szCs w:val="17"/>
                <w:color w:val="auto"/>
              </w:rPr>
              <w:t>Granted</w:t>
            </w:r>
          </w:p>
        </w:tc>
        <w:tc>
          <w:tcPr>
            <w:tcW w:w="2240" w:type="dxa"/>
            <w:vAlign w:val="bottom"/>
          </w:tcPr>
          <w:p>
            <w:pPr>
              <w:ind w:left="1540"/>
              <w:spacing w:after="0"/>
              <w:rPr>
                <w:sz w:val="20"/>
                <w:szCs w:val="20"/>
                <w:color w:val="auto"/>
              </w:rPr>
            </w:pPr>
            <w:r>
              <w:rPr>
                <w:rFonts w:ascii="Arial" w:cs="Arial" w:eastAsia="Arial" w:hAnsi="Arial"/>
                <w:sz w:val="17"/>
                <w:szCs w:val="17"/>
                <w:color w:val="auto"/>
                <w:w w:val="89"/>
              </w:rPr>
              <w:t>4,112,855</w:t>
            </w:r>
          </w:p>
        </w:tc>
        <w:tc>
          <w:tcPr>
            <w:tcW w:w="28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20"/>
        </w:trPr>
        <w:tc>
          <w:tcPr>
            <w:tcW w:w="6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Vested</w:t>
            </w:r>
          </w:p>
        </w:tc>
        <w:tc>
          <w:tcPr>
            <w:tcW w:w="2240" w:type="dxa"/>
            <w:vAlign w:val="bottom"/>
            <w:shd w:val="clear" w:color="auto" w:fill="CCEEFF"/>
          </w:tcPr>
          <w:p>
            <w:pPr>
              <w:ind w:left="1540"/>
              <w:spacing w:after="0"/>
              <w:rPr>
                <w:sz w:val="20"/>
                <w:szCs w:val="20"/>
                <w:color w:val="auto"/>
              </w:rPr>
            </w:pPr>
            <w:r>
              <w:rPr>
                <w:rFonts w:ascii="Arial" w:cs="Arial" w:eastAsia="Arial" w:hAnsi="Arial"/>
                <w:sz w:val="17"/>
                <w:szCs w:val="17"/>
                <w:color w:val="auto"/>
                <w:w w:val="93"/>
              </w:rPr>
              <w:t>(242,600)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18"/>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Forfeited</w:t>
            </w:r>
          </w:p>
        </w:tc>
        <w:tc>
          <w:tcPr>
            <w:tcW w:w="2240" w:type="dxa"/>
            <w:vAlign w:val="bottom"/>
            <w:tcBorders>
              <w:bottom w:val="single" w:sz="8" w:color="auto"/>
            </w:tcBorders>
          </w:tcPr>
          <w:p>
            <w:pPr>
              <w:ind w:left="1620"/>
              <w:spacing w:after="0"/>
              <w:rPr>
                <w:sz w:val="20"/>
                <w:szCs w:val="20"/>
                <w:color w:val="auto"/>
              </w:rPr>
            </w:pPr>
            <w:r>
              <w:rPr>
                <w:rFonts w:ascii="Arial" w:cs="Arial" w:eastAsia="Arial" w:hAnsi="Arial"/>
                <w:sz w:val="17"/>
                <w:szCs w:val="17"/>
                <w:color w:val="auto"/>
                <w:w w:val="94"/>
              </w:rPr>
              <w:t>(11,310)</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13.70</w:t>
            </w:r>
          </w:p>
        </w:tc>
        <w:tc>
          <w:tcPr>
            <w:tcW w:w="0" w:type="dxa"/>
            <w:vAlign w:val="bottom"/>
          </w:tcPr>
          <w:p>
            <w:pPr>
              <w:spacing w:after="0"/>
              <w:rPr>
                <w:sz w:val="1"/>
                <w:szCs w:val="1"/>
                <w:color w:val="auto"/>
              </w:rPr>
            </w:pPr>
          </w:p>
        </w:tc>
      </w:tr>
      <w:tr>
        <w:trPr>
          <w:trHeight w:val="23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at September 30, 2021</w:t>
            </w:r>
          </w:p>
        </w:tc>
        <w:tc>
          <w:tcPr>
            <w:tcW w:w="2240" w:type="dxa"/>
            <w:vAlign w:val="bottom"/>
            <w:tcBorders>
              <w:bottom w:val="single" w:sz="8" w:color="auto"/>
            </w:tcBorders>
            <w:shd w:val="clear" w:color="auto" w:fill="CCEEFF"/>
          </w:tcPr>
          <w:p>
            <w:pPr>
              <w:ind w:left="1520"/>
              <w:spacing w:after="0"/>
              <w:rPr>
                <w:sz w:val="20"/>
                <w:szCs w:val="20"/>
                <w:color w:val="auto"/>
              </w:rPr>
            </w:pPr>
            <w:r>
              <w:rPr>
                <w:rFonts w:ascii="Arial" w:cs="Arial" w:eastAsia="Arial" w:hAnsi="Arial"/>
                <w:sz w:val="17"/>
                <w:szCs w:val="17"/>
                <w:color w:val="auto"/>
                <w:w w:val="92"/>
              </w:rPr>
              <w:t>3,858,945</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13.66</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As of September 30, 2021, unrecognized stock-based compensation expense for non-vested RSUs was $51.9 million, which is expected to be recognized over a weighted-average period of 3.8 years. For the three and nine months ended September 30, 2021, the Company recorded stock-based compensation expense for the RSUs of $3.5 million.</w:t>
      </w:r>
    </w:p>
    <w:p>
      <w:pPr>
        <w:spacing w:after="0" w:line="7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recorded stock-based compensation cost related to the Class P Units and RSUs in the following expense categories on the accompanying condensed consolidated statements of income (in thousands):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400" w:type="dxa"/>
            <w:vAlign w:val="bottom"/>
          </w:tcPr>
          <w:p>
            <w:pPr>
              <w:spacing w:after="0"/>
              <w:rPr>
                <w:sz w:val="16"/>
                <w:szCs w:val="16"/>
                <w:color w:val="auto"/>
              </w:rPr>
            </w:pPr>
          </w:p>
        </w:tc>
        <w:tc>
          <w:tcPr>
            <w:tcW w:w="2320" w:type="dxa"/>
            <w:vAlign w:val="bottom"/>
          </w:tcPr>
          <w:p>
            <w:pPr>
              <w:jc w:val="right"/>
              <w:ind w:right="14"/>
              <w:spacing w:after="0"/>
              <w:rPr>
                <w:sz w:val="20"/>
                <w:szCs w:val="20"/>
                <w:color w:val="auto"/>
              </w:rPr>
            </w:pPr>
            <w:r>
              <w:rPr>
                <w:rFonts w:ascii="Arial" w:cs="Arial" w:eastAsia="Arial" w:hAnsi="Arial"/>
                <w:sz w:val="17"/>
                <w:szCs w:val="17"/>
                <w:b w:val="1"/>
                <w:bCs w:val="1"/>
                <w:color w:val="auto"/>
              </w:rPr>
              <w:t>Three Months Ended</w:t>
            </w: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tcPr>
          <w:p>
            <w:pPr>
              <w:jc w:val="right"/>
              <w:ind w:right="614"/>
              <w:spacing w:after="0"/>
              <w:rPr>
                <w:sz w:val="20"/>
                <w:szCs w:val="20"/>
                <w:color w:val="auto"/>
              </w:rPr>
            </w:pPr>
            <w:r>
              <w:rPr>
                <w:rFonts w:ascii="Arial" w:cs="Arial" w:eastAsia="Arial" w:hAnsi="Arial"/>
                <w:sz w:val="17"/>
                <w:szCs w:val="17"/>
                <w:b w:val="1"/>
                <w:bCs w:val="1"/>
                <w:color w:val="auto"/>
              </w:rPr>
              <w:t>Nine Months Ended</w:t>
            </w:r>
          </w:p>
        </w:tc>
      </w:tr>
      <w:tr>
        <w:trPr>
          <w:trHeight w:val="219"/>
        </w:trPr>
        <w:tc>
          <w:tcPr>
            <w:tcW w:w="5400" w:type="dxa"/>
            <w:vAlign w:val="bottom"/>
            <w:tcBorders>
              <w:bottom w:val="single" w:sz="8" w:color="CCEEFF"/>
            </w:tcBorders>
          </w:tcPr>
          <w:p>
            <w:pPr>
              <w:spacing w:after="0"/>
              <w:rPr>
                <w:sz w:val="19"/>
                <w:szCs w:val="19"/>
                <w:color w:val="auto"/>
              </w:rPr>
            </w:pPr>
          </w:p>
        </w:tc>
        <w:tc>
          <w:tcPr>
            <w:tcW w:w="23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September 30, 2021</w:t>
            </w:r>
          </w:p>
        </w:tc>
        <w:tc>
          <w:tcPr>
            <w:tcW w:w="5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September 30, 2021</w:t>
            </w:r>
          </w:p>
        </w:tc>
      </w:tr>
      <w:tr>
        <w:trPr>
          <w:trHeight w:val="212"/>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320" w:type="dxa"/>
            <w:vAlign w:val="bottom"/>
            <w:shd w:val="clear" w:color="auto" w:fill="CCEEFF"/>
          </w:tcPr>
          <w:p>
            <w:pPr>
              <w:jc w:val="right"/>
              <w:ind w:right="213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2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4,515</w:t>
            </w:r>
          </w:p>
        </w:tc>
      </w:tr>
      <w:tr>
        <w:trPr>
          <w:trHeight w:val="218"/>
        </w:trPr>
        <w:tc>
          <w:tcPr>
            <w:tcW w:w="5400" w:type="dxa"/>
            <w:vAlign w:val="bottom"/>
          </w:tcPr>
          <w:p>
            <w:pPr>
              <w:ind w:left="20"/>
              <w:spacing w:after="0"/>
              <w:rPr>
                <w:sz w:val="20"/>
                <w:szCs w:val="20"/>
                <w:color w:val="auto"/>
              </w:rPr>
            </w:pPr>
            <w:r>
              <w:rPr>
                <w:rFonts w:ascii="Arial" w:cs="Arial" w:eastAsia="Arial" w:hAnsi="Arial"/>
                <w:sz w:val="17"/>
                <w:szCs w:val="17"/>
                <w:color w:val="auto"/>
              </w:rPr>
              <w:t>Product development</w:t>
            </w:r>
          </w:p>
        </w:tc>
        <w:tc>
          <w:tcPr>
            <w:tcW w:w="2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1,865</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7"/>
                <w:szCs w:val="17"/>
                <w:color w:val="auto"/>
              </w:rPr>
              <w:t>3,859</w:t>
            </w:r>
          </w:p>
        </w:tc>
      </w:tr>
      <w:tr>
        <w:trPr>
          <w:trHeight w:val="22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w:t>
            </w:r>
          </w:p>
        </w:tc>
        <w:tc>
          <w:tcPr>
            <w:tcW w:w="2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1,638</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15,251</w:t>
            </w:r>
          </w:p>
        </w:tc>
      </w:tr>
      <w:tr>
        <w:trPr>
          <w:trHeight w:val="211"/>
        </w:trPr>
        <w:tc>
          <w:tcPr>
            <w:tcW w:w="5400" w:type="dxa"/>
            <w:vAlign w:val="bottom"/>
          </w:tcPr>
          <w:p>
            <w:pPr>
              <w:ind w:left="120"/>
              <w:spacing w:after="0"/>
              <w:rPr>
                <w:sz w:val="20"/>
                <w:szCs w:val="20"/>
                <w:color w:val="auto"/>
              </w:rPr>
            </w:pPr>
            <w:r>
              <w:rPr>
                <w:rFonts w:ascii="Arial" w:cs="Arial" w:eastAsia="Arial" w:hAnsi="Arial"/>
                <w:sz w:val="17"/>
                <w:szCs w:val="17"/>
                <w:color w:val="auto"/>
              </w:rPr>
              <w:t>Total stock-based compensation expense</w:t>
            </w:r>
          </w:p>
        </w:tc>
        <w:tc>
          <w:tcPr>
            <w:tcW w:w="2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4,192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60" w:type="dxa"/>
            <w:vAlign w:val="bottom"/>
          </w:tcPr>
          <w:p>
            <w:pPr>
              <w:jc w:val="right"/>
              <w:spacing w:after="0"/>
              <w:rPr>
                <w:sz w:val="20"/>
                <w:szCs w:val="20"/>
                <w:color w:val="auto"/>
              </w:rPr>
            </w:pPr>
            <w:r>
              <w:rPr>
                <w:rFonts w:ascii="Arial" w:cs="Arial" w:eastAsia="Arial" w:hAnsi="Arial"/>
                <w:sz w:val="17"/>
                <w:szCs w:val="17"/>
                <w:color w:val="auto"/>
              </w:rPr>
              <w:t>23,625</w:t>
            </w:r>
          </w:p>
        </w:tc>
      </w:tr>
      <w:tr>
        <w:trPr>
          <w:trHeight w:val="21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Amount capitalized to software development</w:t>
            </w:r>
          </w:p>
        </w:tc>
        <w:tc>
          <w:tcPr>
            <w:tcW w:w="23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2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695</w:t>
            </w:r>
          </w:p>
        </w:tc>
      </w:tr>
      <w:tr>
        <w:trPr>
          <w:trHeight w:val="213"/>
        </w:trPr>
        <w:tc>
          <w:tcPr>
            <w:tcW w:w="5400" w:type="dxa"/>
            <w:vAlign w:val="bottom"/>
          </w:tcPr>
          <w:p>
            <w:pPr>
              <w:ind w:left="220"/>
              <w:spacing w:after="0"/>
              <w:rPr>
                <w:sz w:val="20"/>
                <w:szCs w:val="20"/>
                <w:color w:val="auto"/>
              </w:rPr>
            </w:pPr>
            <w:r>
              <w:rPr>
                <w:rFonts w:ascii="Arial" w:cs="Arial" w:eastAsia="Arial" w:hAnsi="Arial"/>
                <w:sz w:val="17"/>
                <w:szCs w:val="17"/>
                <w:color w:val="auto"/>
              </w:rPr>
              <w:t>Total stock-based compensation cost</w:t>
            </w:r>
          </w:p>
        </w:tc>
        <w:tc>
          <w:tcPr>
            <w:tcW w:w="2320" w:type="dxa"/>
            <w:vAlign w:val="bottom"/>
            <w:tcBorders>
              <w:bottom w:val="single" w:sz="8" w:color="auto"/>
            </w:tcBorders>
          </w:tcPr>
          <w:p>
            <w:pPr>
              <w:jc w:val="right"/>
              <w:ind w:right="2134"/>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4,887</w:t>
            </w:r>
          </w:p>
        </w:tc>
        <w:tc>
          <w:tcPr>
            <w:tcW w:w="80" w:type="dxa"/>
            <w:vAlign w:val="bottom"/>
          </w:tcPr>
          <w:p>
            <w:pPr>
              <w:spacing w:after="0"/>
              <w:rPr>
                <w:sz w:val="18"/>
                <w:szCs w:val="18"/>
                <w:color w:val="auto"/>
              </w:rPr>
            </w:pP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24,320</w:t>
            </w:r>
          </w:p>
        </w:tc>
      </w:tr>
      <w:tr>
        <w:trPr>
          <w:trHeight w:val="20"/>
        </w:trPr>
        <w:tc>
          <w:tcPr>
            <w:tcW w:w="540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ind w:left="440" w:hanging="437"/>
        <w:spacing w:after="0"/>
        <w:tabs>
          <w:tab w:leader="none" w:pos="44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Earnings Per Share</w:t>
      </w:r>
    </w:p>
    <w:p>
      <w:pPr>
        <w:spacing w:after="0" w:line="12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Basic income (loss) per share of Class A Common Stock is computed by dividing net earnings (loss) attributable to the Company by the weighted-average number of shares of Class A Common Stock outstanding during the period. Diluted income (loss) per share of Class A Common Stock is computed by dividing net income (loss) attributable to the Company, adjusted for the assumed exchange of all potentially dilutive securities, by the weighted-average number of shares of Class A Common Stock outstanding adjusted to give effect to potentially dilutive shares.</w:t>
      </w:r>
    </w:p>
    <w:p>
      <w:pPr>
        <w:spacing w:after="0" w:line="7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Prior to the Business Combination, the membership structure of WMH included units which had profit interests. The Company analyzed the calculation of net earnings (loss) per unit for periods prior to the Business Combination and determined that it resulted in values that would not be meaningful to the users of these condensed consolidated financial statements. Therefore, net earnings per share information has not been presented for periods prior to the Business Combination on June 16,</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240"/>
          </w:cols>
          <w:pgMar w:left="320" w:top="127" w:right="339" w:bottom="1440" w:gutter="0" w:footer="0" w:header="0"/>
        </w:sectPr>
      </w:pPr>
    </w:p>
    <w:bookmarkStart w:id="30" w:name="page31"/>
    <w:bookmarkEnd w:id="3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08" w:lineRule="exact"/>
        <w:rPr>
          <w:sz w:val="20"/>
          <w:szCs w:val="20"/>
          <w:color w:val="auto"/>
        </w:rPr>
      </w:pPr>
    </w:p>
    <w:p>
      <w:pPr>
        <w:jc w:val="center"/>
        <w:ind w:left="340" w:right="2800"/>
        <w:spacing w:after="0" w:line="270" w:lineRule="auto"/>
        <w:rPr>
          <w:sz w:val="20"/>
          <w:szCs w:val="20"/>
          <w:color w:val="auto"/>
        </w:rPr>
      </w:pPr>
      <w:r>
        <w:rPr>
          <w:rFonts w:ascii="Arial" w:cs="Arial" w:eastAsia="Arial" w:hAnsi="Arial"/>
          <w:sz w:val="17"/>
          <w:szCs w:val="17"/>
          <w:b w:val="1"/>
          <w:bCs w:val="1"/>
          <w:color w:val="auto"/>
        </w:rPr>
        <w:t>WM TECHNOLOGY, INC. AND SUBSIDIARIES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2021. The basic and diluted income (loss) per share for the nine months ended September 30, 2021 represent the period from June 16, 2021 (Closing Date) to September 30, 2021.</w:t>
      </w:r>
    </w:p>
    <w:p>
      <w:pPr>
        <w:spacing w:after="0" w:line="61" w:lineRule="exact"/>
        <w:rPr>
          <w:sz w:val="20"/>
          <w:szCs w:val="20"/>
          <w:color w:val="auto"/>
        </w:rPr>
      </w:pPr>
    </w:p>
    <w:p>
      <w:pPr>
        <w:ind w:firstLine="619"/>
        <w:spacing w:after="0" w:line="294" w:lineRule="auto"/>
        <w:rPr>
          <w:sz w:val="20"/>
          <w:szCs w:val="20"/>
          <w:color w:val="auto"/>
        </w:rPr>
      </w:pPr>
      <w:r>
        <w:rPr>
          <w:rFonts w:ascii="Arial" w:cs="Arial" w:eastAsia="Arial" w:hAnsi="Arial"/>
          <w:sz w:val="15"/>
          <w:szCs w:val="15"/>
          <w:color w:val="auto"/>
        </w:rPr>
        <w:t>The computation of income (loss) per share attributable to WM Technology, Inc. and weighted-average shares of the Company’s Class A Common Stock outstanding are as follows for the three months ended September 30, 2021 and for period from June 16, 2021 (Closing Date) to September 30, 2021 (amounts in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00" w:type="dxa"/>
            <w:vAlign w:val="bottom"/>
          </w:tcPr>
          <w:p>
            <w:pPr>
              <w:spacing w:after="0"/>
              <w:rPr>
                <w:sz w:val="20"/>
                <w:szCs w:val="20"/>
                <w:color w:val="auto"/>
              </w:rPr>
            </w:pPr>
            <w:r>
              <w:rPr>
                <w:rFonts w:ascii="Arial" w:cs="Arial" w:eastAsia="Arial" w:hAnsi="Arial"/>
                <w:sz w:val="17"/>
                <w:szCs w:val="17"/>
                <w:color w:val="auto"/>
              </w:rPr>
              <w:t>thousands, except for share and per share amounts):</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6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Three Months Ended</w:t>
            </w:r>
          </w:p>
        </w:tc>
        <w:tc>
          <w:tcPr>
            <w:tcW w:w="240" w:type="dxa"/>
            <w:vAlign w:val="bottom"/>
          </w:tcPr>
          <w:p>
            <w:pPr>
              <w:spacing w:after="0"/>
              <w:rPr>
                <w:sz w:val="24"/>
                <w:szCs w:val="24"/>
                <w:color w:val="auto"/>
              </w:rPr>
            </w:pPr>
          </w:p>
        </w:tc>
        <w:tc>
          <w:tcPr>
            <w:tcW w:w="2000" w:type="dxa"/>
            <w:vAlign w:val="bottom"/>
          </w:tcPr>
          <w:p>
            <w:pPr>
              <w:jc w:val="right"/>
              <w:ind w:right="294"/>
              <w:spacing w:after="0"/>
              <w:rPr>
                <w:sz w:val="20"/>
                <w:szCs w:val="20"/>
                <w:color w:val="auto"/>
              </w:rPr>
            </w:pPr>
            <w:r>
              <w:rPr>
                <w:rFonts w:ascii="Arial" w:cs="Arial" w:eastAsia="Arial" w:hAnsi="Arial"/>
                <w:sz w:val="17"/>
                <w:szCs w:val="17"/>
                <w:b w:val="1"/>
                <w:bCs w:val="1"/>
                <w:color w:val="auto"/>
              </w:rPr>
              <w:t>Nine Months Ended</w:t>
            </w:r>
          </w:p>
        </w:tc>
        <w:tc>
          <w:tcPr>
            <w:tcW w:w="0" w:type="dxa"/>
            <w:vAlign w:val="bottom"/>
          </w:tcPr>
          <w:p>
            <w:pPr>
              <w:spacing w:after="0"/>
              <w:rPr>
                <w:sz w:val="1"/>
                <w:szCs w:val="1"/>
                <w:color w:val="auto"/>
              </w:rPr>
            </w:pPr>
          </w:p>
        </w:tc>
      </w:tr>
      <w:tr>
        <w:trPr>
          <w:trHeight w:val="219"/>
        </w:trPr>
        <w:tc>
          <w:tcPr>
            <w:tcW w:w="6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September 30, 2021</w:t>
            </w:r>
          </w:p>
        </w:tc>
        <w:tc>
          <w:tcPr>
            <w:tcW w:w="240" w:type="dxa"/>
            <w:vAlign w:val="bottom"/>
          </w:tcPr>
          <w:p>
            <w:pPr>
              <w:spacing w:after="0"/>
              <w:rPr>
                <w:sz w:val="19"/>
                <w:szCs w:val="19"/>
                <w:color w:val="auto"/>
              </w:rPr>
            </w:pPr>
          </w:p>
        </w:tc>
        <w:tc>
          <w:tcPr>
            <w:tcW w:w="2000" w:type="dxa"/>
            <w:vAlign w:val="bottom"/>
          </w:tcPr>
          <w:p>
            <w:pPr>
              <w:jc w:val="right"/>
              <w:ind w:right="314"/>
              <w:spacing w:after="0"/>
              <w:rPr>
                <w:sz w:val="20"/>
                <w:szCs w:val="20"/>
                <w:color w:val="auto"/>
              </w:rPr>
            </w:pPr>
            <w:r>
              <w:rPr>
                <w:rFonts w:ascii="Arial" w:cs="Arial" w:eastAsia="Arial" w:hAnsi="Arial"/>
                <w:sz w:val="17"/>
                <w:szCs w:val="17"/>
                <w:b w:val="1"/>
                <w:bCs w:val="1"/>
                <w:color w:val="auto"/>
                <w:w w:val="99"/>
              </w:rPr>
              <w:t>September 30, 2021</w:t>
            </w:r>
          </w:p>
        </w:tc>
        <w:tc>
          <w:tcPr>
            <w:tcW w:w="0" w:type="dxa"/>
            <w:vAlign w:val="bottom"/>
          </w:tcPr>
          <w:p>
            <w:pPr>
              <w:spacing w:after="0"/>
              <w:rPr>
                <w:sz w:val="1"/>
                <w:szCs w:val="1"/>
                <w:color w:val="auto"/>
              </w:rPr>
            </w:pP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Numerator:</w:t>
            </w:r>
          </w:p>
        </w:tc>
        <w:tc>
          <w:tcPr>
            <w:tcW w:w="2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2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Pr>
          <w:p>
            <w:pPr>
              <w:jc w:val="right"/>
              <w:spacing w:after="0"/>
              <w:rPr>
                <w:sz w:val="20"/>
                <w:szCs w:val="20"/>
                <w:color w:val="auto"/>
              </w:rPr>
            </w:pPr>
            <w:r>
              <w:rPr>
                <w:rFonts w:ascii="Arial" w:cs="Arial" w:eastAsia="Arial" w:hAnsi="Arial"/>
                <w:sz w:val="17"/>
                <w:szCs w:val="17"/>
                <w:color w:val="auto"/>
              </w:rPr>
              <w:t>49,205</w:t>
            </w:r>
          </w:p>
        </w:tc>
        <w:tc>
          <w:tcPr>
            <w:tcW w:w="140" w:type="dxa"/>
            <w:vAlign w:val="bottom"/>
          </w:tcPr>
          <w:p>
            <w:pPr>
              <w:spacing w:after="0"/>
              <w:rPr>
                <w:sz w:val="18"/>
                <w:szCs w:val="18"/>
                <w:color w:val="auto"/>
              </w:rPr>
            </w:pP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Pr>
          <w:p>
            <w:pPr>
              <w:jc w:val="right"/>
              <w:spacing w:after="0"/>
              <w:rPr>
                <w:sz w:val="20"/>
                <w:szCs w:val="20"/>
                <w:color w:val="auto"/>
              </w:rPr>
            </w:pPr>
            <w:r>
              <w:rPr>
                <w:rFonts w:ascii="Arial" w:cs="Arial" w:eastAsia="Arial" w:hAnsi="Arial"/>
                <w:sz w:val="17"/>
                <w:szCs w:val="17"/>
                <w:color w:val="auto"/>
              </w:rPr>
              <w:t>73,773</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net income attributable to WMH LLC prior to the Business Combination</w:t>
            </w:r>
          </w:p>
        </w:tc>
        <w:tc>
          <w:tcPr>
            <w:tcW w:w="200" w:type="dxa"/>
            <w:vAlign w:val="bottom"/>
            <w:shd w:val="clear" w:color="auto" w:fill="CCEEFF"/>
          </w:tcPr>
          <w:p>
            <w:pPr>
              <w:spacing w:after="0"/>
              <w:rPr>
                <w:sz w:val="19"/>
                <w:szCs w:val="19"/>
                <w:color w:val="auto"/>
              </w:rPr>
            </w:pPr>
          </w:p>
        </w:tc>
        <w:tc>
          <w:tcPr>
            <w:tcW w:w="21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15,078</w:t>
            </w:r>
          </w:p>
        </w:tc>
        <w:tc>
          <w:tcPr>
            <w:tcW w:w="0" w:type="dxa"/>
            <w:vAlign w:val="bottom"/>
          </w:tcPr>
          <w:p>
            <w:pPr>
              <w:spacing w:after="0"/>
              <w:rPr>
                <w:sz w:val="1"/>
                <w:szCs w:val="1"/>
                <w:color w:val="auto"/>
              </w:rPr>
            </w:pPr>
          </w:p>
        </w:tc>
      </w:tr>
      <w:tr>
        <w:trPr>
          <w:trHeight w:val="218"/>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9"/>
              </w:rPr>
              <w:t>Less: net income attributable to noncontrolling interests after the Business Combination</w:t>
            </w:r>
          </w:p>
        </w:tc>
        <w:tc>
          <w:tcPr>
            <w:tcW w:w="2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28,370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33,597</w:t>
            </w:r>
          </w:p>
        </w:tc>
        <w:tc>
          <w:tcPr>
            <w:tcW w:w="0" w:type="dxa"/>
            <w:vAlign w:val="bottom"/>
          </w:tcPr>
          <w:p>
            <w:pPr>
              <w:spacing w:after="0"/>
              <w:rPr>
                <w:sz w:val="1"/>
                <w:szCs w:val="1"/>
                <w:color w:val="auto"/>
              </w:rPr>
            </w:pPr>
          </w:p>
        </w:tc>
      </w:tr>
      <w:tr>
        <w:trPr>
          <w:trHeight w:val="213"/>
        </w:trPr>
        <w:tc>
          <w:tcPr>
            <w:tcW w:w="6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WM Technology, Inc. - Basic</w:t>
            </w:r>
          </w:p>
        </w:tc>
        <w:tc>
          <w:tcPr>
            <w:tcW w:w="2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20,835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25,098</w:t>
            </w: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Effect of dilutive securities:</w:t>
            </w:r>
          </w:p>
        </w:tc>
        <w:tc>
          <w:tcPr>
            <w:tcW w:w="2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660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3"/>
              </w:rPr>
              <w:t>Less: fair value change of Public and Private Placement Warrants, net of amounts attributable</w:t>
            </w:r>
          </w:p>
        </w:tc>
        <w:tc>
          <w:tcPr>
            <w:tcW w:w="200" w:type="dxa"/>
            <w:vAlign w:val="bottom"/>
            <w:shd w:val="clear" w:color="auto" w:fill="CCEEFF"/>
          </w:tcPr>
          <w:p>
            <w:pPr>
              <w:spacing w:after="0"/>
              <w:rPr>
                <w:sz w:val="14"/>
                <w:szCs w:val="14"/>
                <w:color w:val="auto"/>
              </w:rPr>
            </w:pP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19,618</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0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35,679</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 noncontrolling interests</w:t>
            </w:r>
          </w:p>
        </w:tc>
        <w:tc>
          <w:tcPr>
            <w:tcW w:w="2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2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120"/>
              <w:spacing w:after="0"/>
              <w:rPr>
                <w:sz w:val="20"/>
                <w:szCs w:val="20"/>
                <w:color w:val="auto"/>
              </w:rPr>
            </w:pPr>
            <w:r>
              <w:rPr>
                <w:rFonts w:ascii="Arial" w:cs="Arial" w:eastAsia="Arial" w:hAnsi="Arial"/>
                <w:sz w:val="17"/>
                <w:szCs w:val="17"/>
                <w:color w:val="auto"/>
              </w:rPr>
              <w:t>Net income (loss) attributable to WM Technology, Inc. - Diluted</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1,217</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(10,581)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600" w:type="dxa"/>
            <w:vAlign w:val="bottom"/>
            <w:shd w:val="clear" w:color="auto" w:fill="CCEEFF"/>
          </w:tcPr>
          <w:p>
            <w:pPr>
              <w:ind w:left="20"/>
              <w:spacing w:after="0" w:line="185" w:lineRule="exact"/>
              <w:rPr>
                <w:sz w:val="20"/>
                <w:szCs w:val="20"/>
                <w:color w:val="auto"/>
              </w:rPr>
            </w:pPr>
            <w:r>
              <w:rPr>
                <w:rFonts w:ascii="Arial" w:cs="Arial" w:eastAsia="Arial" w:hAnsi="Arial"/>
                <w:sz w:val="17"/>
                <w:szCs w:val="17"/>
                <w:b w:val="1"/>
                <w:bCs w:val="1"/>
                <w:color w:val="auto"/>
              </w:rPr>
              <w:t>Denominator:</w:t>
            </w:r>
          </w:p>
        </w:tc>
        <w:tc>
          <w:tcPr>
            <w:tcW w:w="20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Weighted average Class A Common Stock outstanding - Basic</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64,216,732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64,149,699</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effect of dilutive securities:</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600" w:type="dxa"/>
            <w:vAlign w:val="bottom"/>
          </w:tcPr>
          <w:p>
            <w:pPr>
              <w:ind w:left="20"/>
              <w:spacing w:after="0"/>
              <w:rPr>
                <w:sz w:val="20"/>
                <w:szCs w:val="20"/>
                <w:color w:val="auto"/>
              </w:rPr>
            </w:pPr>
            <w:r>
              <w:rPr>
                <w:rFonts w:ascii="Arial" w:cs="Arial" w:eastAsia="Arial" w:hAnsi="Arial"/>
                <w:sz w:val="17"/>
                <w:szCs w:val="17"/>
                <w:color w:val="auto"/>
              </w:rPr>
              <w:t>Public Warrants¹</w:t>
            </w:r>
          </w:p>
        </w:tc>
        <w:tc>
          <w:tcPr>
            <w:tcW w:w="2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2,558,783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tcPr>
          <w:p>
            <w:pPr>
              <w:jc w:val="right"/>
              <w:spacing w:after="0"/>
              <w:rPr>
                <w:sz w:val="20"/>
                <w:szCs w:val="20"/>
                <w:color w:val="auto"/>
              </w:rPr>
            </w:pPr>
            <w:r>
              <w:rPr>
                <w:rFonts w:ascii="Arial" w:cs="Arial" w:eastAsia="Arial" w:hAnsi="Arial"/>
                <w:sz w:val="17"/>
                <w:szCs w:val="17"/>
                <w:color w:val="auto"/>
              </w:rPr>
              <w:t>3,718,232</w:t>
            </w:r>
          </w:p>
        </w:tc>
        <w:tc>
          <w:tcPr>
            <w:tcW w:w="0" w:type="dxa"/>
            <w:vAlign w:val="bottom"/>
          </w:tcPr>
          <w:p>
            <w:pPr>
              <w:spacing w:after="0"/>
              <w:rPr>
                <w:sz w:val="1"/>
                <w:szCs w:val="1"/>
                <w:color w:val="auto"/>
              </w:rPr>
            </w:pPr>
          </w:p>
        </w:tc>
      </w:tr>
      <w:tr>
        <w:trPr>
          <w:trHeight w:val="220"/>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Private Placement Warrants¹</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1,432,918</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2,082,210</w:t>
            </w:r>
          </w:p>
        </w:tc>
        <w:tc>
          <w:tcPr>
            <w:tcW w:w="0" w:type="dxa"/>
            <w:vAlign w:val="bottom"/>
          </w:tcPr>
          <w:p>
            <w:pPr>
              <w:spacing w:after="0"/>
              <w:rPr>
                <w:sz w:val="1"/>
                <w:szCs w:val="1"/>
                <w:color w:val="auto"/>
              </w:rPr>
            </w:pPr>
          </w:p>
        </w:tc>
      </w:tr>
      <w:tr>
        <w:trPr>
          <w:trHeight w:val="219"/>
        </w:trPr>
        <w:tc>
          <w:tcPr>
            <w:tcW w:w="6600" w:type="dxa"/>
            <w:vAlign w:val="bottom"/>
            <w:tcBorders>
              <w:bottom w:val="single" w:sz="8" w:color="CCEEFF"/>
            </w:tcBorders>
          </w:tcPr>
          <w:p>
            <w:pPr>
              <w:ind w:left="20"/>
              <w:spacing w:after="0" w:line="219" w:lineRule="exact"/>
              <w:rPr>
                <w:sz w:val="20"/>
                <w:szCs w:val="20"/>
                <w:color w:val="auto"/>
              </w:rPr>
            </w:pPr>
            <w:r>
              <w:rPr>
                <w:rFonts w:ascii="Arial" w:cs="Arial" w:eastAsia="Arial" w:hAnsi="Arial"/>
                <w:sz w:val="17"/>
                <w:szCs w:val="17"/>
                <w:color w:val="auto"/>
              </w:rPr>
              <w:t>Restricted stock units</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95,939</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Weighted average Class A Common Stock outstanding - Diluted</w:t>
            </w:r>
          </w:p>
        </w:tc>
        <w:tc>
          <w:tcPr>
            <w:tcW w:w="200" w:type="dxa"/>
            <w:vAlign w:val="bottom"/>
            <w:tcBorders>
              <w:bottom w:val="single" w:sz="8" w:color="auto"/>
            </w:tcBorders>
            <w:shd w:val="clear" w:color="auto" w:fill="CCEEFF"/>
          </w:tcPr>
          <w:p>
            <w:pPr>
              <w:spacing w:after="0"/>
              <w:rPr>
                <w:sz w:val="20"/>
                <w:szCs w:val="20"/>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68,304,372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69,950,141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(loss) per share of Class A Common Stock:</w:t>
            </w:r>
          </w:p>
        </w:tc>
        <w:tc>
          <w:tcPr>
            <w:tcW w:w="200" w:type="dxa"/>
            <w:vAlign w:val="bottom"/>
            <w:shd w:val="clear" w:color="auto" w:fill="CCEEFF"/>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6600" w:type="dxa"/>
            <w:vAlign w:val="bottom"/>
          </w:tcPr>
          <w:p>
            <w:pPr>
              <w:ind w:left="20"/>
              <w:spacing w:after="0"/>
              <w:rPr>
                <w:sz w:val="20"/>
                <w:szCs w:val="20"/>
                <w:color w:val="auto"/>
              </w:rPr>
            </w:pPr>
            <w:r>
              <w:rPr>
                <w:rFonts w:ascii="Arial" w:cs="Arial" w:eastAsia="Arial" w:hAnsi="Arial"/>
                <w:sz w:val="17"/>
                <w:szCs w:val="17"/>
                <w:color w:val="auto"/>
              </w:rPr>
              <w:t>Net income per share of Class A Common Stock - Basic</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0.39</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 per share of Class A Common Stock - Diluted</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0.02</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(0.15)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¹Calculated using the treasury stock method.</w:t>
      </w:r>
    </w:p>
    <w:p>
      <w:pPr>
        <w:spacing w:after="0" w:line="114" w:lineRule="exact"/>
        <w:rPr>
          <w:sz w:val="20"/>
          <w:szCs w:val="20"/>
          <w:color w:val="auto"/>
        </w:rPr>
      </w:pPr>
    </w:p>
    <w:p>
      <w:pPr>
        <w:ind w:firstLine="619"/>
        <w:spacing w:after="0" w:line="312" w:lineRule="auto"/>
        <w:rPr>
          <w:sz w:val="20"/>
          <w:szCs w:val="20"/>
          <w:color w:val="auto"/>
        </w:rPr>
      </w:pPr>
      <w:r>
        <w:rPr>
          <w:rFonts w:ascii="Arial" w:cs="Arial" w:eastAsia="Arial" w:hAnsi="Arial"/>
          <w:sz w:val="16"/>
          <w:szCs w:val="16"/>
          <w:color w:val="auto"/>
        </w:rPr>
        <w:t>Shares of the Class V Common Stock do not participate in the earnings or losses of the Company and are therefore not participating securities. As such, separate presentation of basic and diluted earnings per share of Class V Common Stock under the two-class method has not been presented.</w:t>
      </w:r>
    </w:p>
    <w:p>
      <w:pPr>
        <w:spacing w:after="0" w:line="37"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The Company excluded the following securities from its computation of diluted shares outstanding, as their effect would have been anti-dilutive:</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680" w:type="dxa"/>
            <w:vAlign w:val="bottom"/>
            <w:gridSpan w:val="2"/>
          </w:tcPr>
          <w:p>
            <w:pPr>
              <w:ind w:left="80"/>
              <w:spacing w:after="0"/>
              <w:rPr>
                <w:sz w:val="20"/>
                <w:szCs w:val="20"/>
                <w:color w:val="auto"/>
              </w:rPr>
            </w:pPr>
            <w:r>
              <w:rPr>
                <w:rFonts w:ascii="Arial" w:cs="Arial" w:eastAsia="Arial" w:hAnsi="Arial"/>
                <w:sz w:val="17"/>
                <w:szCs w:val="17"/>
                <w:b w:val="1"/>
                <w:bCs w:val="1"/>
                <w:color w:val="auto"/>
                <w:w w:val="98"/>
              </w:rPr>
              <w:t>Three Months Ended September</w:t>
            </w:r>
          </w:p>
        </w:tc>
        <w:tc>
          <w:tcPr>
            <w:tcW w:w="2580" w:type="dxa"/>
            <w:vAlign w:val="bottom"/>
          </w:tcPr>
          <w:p>
            <w:pPr>
              <w:jc w:val="right"/>
              <w:ind w:right="54"/>
              <w:spacing w:after="0"/>
              <w:rPr>
                <w:sz w:val="20"/>
                <w:szCs w:val="20"/>
                <w:color w:val="auto"/>
              </w:rPr>
            </w:pPr>
            <w:r>
              <w:rPr>
                <w:rFonts w:ascii="Arial" w:cs="Arial" w:eastAsia="Arial" w:hAnsi="Arial"/>
                <w:sz w:val="17"/>
                <w:szCs w:val="17"/>
                <w:b w:val="1"/>
                <w:bCs w:val="1"/>
                <w:color w:val="auto"/>
                <w:w w:val="96"/>
              </w:rPr>
              <w:t>Nine Months Ended September</w:t>
            </w:r>
          </w:p>
        </w:tc>
      </w:tr>
      <w:tr>
        <w:trPr>
          <w:trHeight w:val="219"/>
        </w:trPr>
        <w:tc>
          <w:tcPr>
            <w:tcW w:w="3520" w:type="dxa"/>
            <w:vAlign w:val="bottom"/>
            <w:tcBorders>
              <w:bottom w:val="single" w:sz="8" w:color="CCEEFF"/>
            </w:tcBorders>
          </w:tcPr>
          <w:p>
            <w:pPr>
              <w:spacing w:after="0"/>
              <w:rPr>
                <w:sz w:val="19"/>
                <w:szCs w:val="19"/>
                <w:color w:val="auto"/>
              </w:rPr>
            </w:pPr>
          </w:p>
        </w:tc>
        <w:tc>
          <w:tcPr>
            <w:tcW w:w="2460" w:type="dxa"/>
            <w:vAlign w:val="bottom"/>
            <w:tcBorders>
              <w:bottom w:val="single" w:sz="8" w:color="CCEEFF"/>
            </w:tcBorders>
          </w:tcPr>
          <w:p>
            <w:pPr>
              <w:spacing w:after="0"/>
              <w:rPr>
                <w:sz w:val="19"/>
                <w:szCs w:val="19"/>
                <w:color w:val="auto"/>
              </w:rPr>
            </w:pPr>
          </w:p>
        </w:tc>
        <w:tc>
          <w:tcPr>
            <w:tcW w:w="258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30, 2021</w:t>
            </w:r>
          </w:p>
        </w:tc>
        <w:tc>
          <w:tcPr>
            <w:tcW w:w="100" w:type="dxa"/>
            <w:vAlign w:val="bottom"/>
            <w:tcBorders>
              <w:bottom w:val="single" w:sz="8" w:color="CCEEFF"/>
            </w:tcBorders>
          </w:tcPr>
          <w:p>
            <w:pPr>
              <w:spacing w:after="0"/>
              <w:rPr>
                <w:sz w:val="19"/>
                <w:szCs w:val="19"/>
                <w:color w:val="auto"/>
              </w:rPr>
            </w:pPr>
          </w:p>
        </w:tc>
        <w:tc>
          <w:tcPr>
            <w:tcW w:w="258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b w:val="1"/>
                <w:bCs w:val="1"/>
                <w:color w:val="auto"/>
              </w:rPr>
              <w:t>30, 2021</w:t>
            </w:r>
          </w:p>
        </w:tc>
      </w:tr>
      <w:tr>
        <w:trPr>
          <w:trHeight w:val="212"/>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 Units</w:t>
            </w:r>
          </w:p>
        </w:tc>
        <w:tc>
          <w:tcPr>
            <w:tcW w:w="5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65,502,347</w:t>
            </w:r>
          </w:p>
        </w:tc>
        <w:tc>
          <w:tcPr>
            <w:tcW w:w="10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65,502,347</w:t>
            </w:r>
          </w:p>
        </w:tc>
      </w:tr>
      <w:tr>
        <w:trPr>
          <w:trHeight w:val="218"/>
        </w:trPr>
        <w:tc>
          <w:tcPr>
            <w:tcW w:w="3520" w:type="dxa"/>
            <w:vAlign w:val="bottom"/>
          </w:tcPr>
          <w:p>
            <w:pPr>
              <w:ind w:left="20"/>
              <w:spacing w:after="0"/>
              <w:rPr>
                <w:sz w:val="20"/>
                <w:szCs w:val="20"/>
                <w:color w:val="auto"/>
              </w:rPr>
            </w:pPr>
            <w:r>
              <w:rPr>
                <w:rFonts w:ascii="Arial" w:cs="Arial" w:eastAsia="Arial" w:hAnsi="Arial"/>
                <w:sz w:val="17"/>
                <w:szCs w:val="17"/>
                <w:color w:val="auto"/>
              </w:rPr>
              <w:t>Class P Units</w:t>
            </w:r>
          </w:p>
        </w:tc>
        <w:tc>
          <w:tcPr>
            <w:tcW w:w="5040" w:type="dxa"/>
            <w:vAlign w:val="bottom"/>
            <w:gridSpan w:val="2"/>
          </w:tcPr>
          <w:p>
            <w:pPr>
              <w:jc w:val="right"/>
              <w:spacing w:after="0"/>
              <w:rPr>
                <w:sz w:val="20"/>
                <w:szCs w:val="20"/>
                <w:color w:val="auto"/>
              </w:rPr>
            </w:pPr>
            <w:r>
              <w:rPr>
                <w:rFonts w:ascii="Arial" w:cs="Arial" w:eastAsia="Arial" w:hAnsi="Arial"/>
                <w:sz w:val="17"/>
                <w:szCs w:val="17"/>
                <w:color w:val="auto"/>
              </w:rPr>
              <w:t>25,679,122</w:t>
            </w:r>
          </w:p>
        </w:tc>
        <w:tc>
          <w:tcPr>
            <w:tcW w:w="100" w:type="dxa"/>
            <w:vAlign w:val="bottom"/>
          </w:tcPr>
          <w:p>
            <w:pPr>
              <w:spacing w:after="0"/>
              <w:rPr>
                <w:sz w:val="18"/>
                <w:szCs w:val="18"/>
                <w:color w:val="auto"/>
              </w:rPr>
            </w:pPr>
          </w:p>
        </w:tc>
        <w:tc>
          <w:tcPr>
            <w:tcW w:w="2580" w:type="dxa"/>
            <w:vAlign w:val="bottom"/>
          </w:tcPr>
          <w:p>
            <w:pPr>
              <w:jc w:val="right"/>
              <w:spacing w:after="0"/>
              <w:rPr>
                <w:sz w:val="20"/>
                <w:szCs w:val="20"/>
                <w:color w:val="auto"/>
              </w:rPr>
            </w:pPr>
            <w:r>
              <w:rPr>
                <w:rFonts w:ascii="Arial" w:cs="Arial" w:eastAsia="Arial" w:hAnsi="Arial"/>
                <w:sz w:val="17"/>
                <w:szCs w:val="17"/>
                <w:color w:val="auto"/>
              </w:rPr>
              <w:t>25,679,122</w:t>
            </w:r>
          </w:p>
        </w:tc>
      </w:tr>
      <w:tr>
        <w:trPr>
          <w:trHeight w:val="220"/>
        </w:trPr>
        <w:tc>
          <w:tcPr>
            <w:tcW w:w="3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w:t>
            </w:r>
          </w:p>
        </w:tc>
        <w:tc>
          <w:tcPr>
            <w:tcW w:w="2460" w:type="dxa"/>
            <w:vAlign w:val="bottom"/>
            <w:shd w:val="clear" w:color="auto" w:fill="CCEEFF"/>
          </w:tcPr>
          <w:p>
            <w:pPr>
              <w:spacing w:after="0"/>
              <w:rPr>
                <w:sz w:val="19"/>
                <w:szCs w:val="19"/>
                <w:color w:val="auto"/>
              </w:rPr>
            </w:pPr>
          </w:p>
        </w:tc>
        <w:tc>
          <w:tcPr>
            <w:tcW w:w="2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3,858,945</w:t>
            </w:r>
          </w:p>
        </w:tc>
      </w:tr>
      <w:tr>
        <w:trPr>
          <w:trHeight w:val="849"/>
        </w:trPr>
        <w:tc>
          <w:tcPr>
            <w:tcW w:w="3520" w:type="dxa"/>
            <w:vAlign w:val="bottom"/>
          </w:tcPr>
          <w:p>
            <w:pPr>
              <w:spacing w:after="0"/>
              <w:rPr>
                <w:sz w:val="24"/>
                <w:szCs w:val="24"/>
                <w:color w:val="auto"/>
              </w:rPr>
            </w:pPr>
          </w:p>
        </w:tc>
        <w:tc>
          <w:tcPr>
            <w:tcW w:w="2460" w:type="dxa"/>
            <w:vAlign w:val="bottom"/>
          </w:tcPr>
          <w:p>
            <w:pPr>
              <w:jc w:val="right"/>
              <w:ind w:right="194"/>
              <w:spacing w:after="0"/>
              <w:rPr>
                <w:sz w:val="20"/>
                <w:szCs w:val="20"/>
                <w:color w:val="auto"/>
              </w:rPr>
            </w:pPr>
            <w:r>
              <w:rPr>
                <w:rFonts w:ascii="Arial" w:cs="Arial" w:eastAsia="Arial" w:hAnsi="Arial"/>
                <w:sz w:val="17"/>
                <w:szCs w:val="17"/>
                <w:color w:val="auto"/>
              </w:rPr>
              <w:t>28</w:t>
            </w:r>
          </w:p>
        </w:tc>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80" w:type="dxa"/>
            <w:vAlign w:val="bottom"/>
          </w:tcPr>
          <w:p>
            <w:pPr>
              <w:spacing w:after="0"/>
              <w:rPr>
                <w:sz w:val="24"/>
                <w:szCs w:val="24"/>
                <w:color w:val="auto"/>
              </w:rPr>
            </w:pPr>
          </w:p>
        </w:tc>
      </w:tr>
    </w:tbl>
    <w:p>
      <w:pPr>
        <w:sectPr>
          <w:pgSz w:w="11900" w:h="16838" w:orient="portrait"/>
          <w:cols w:equalWidth="0" w:num="1">
            <w:col w:w="11240"/>
          </w:cols>
          <w:pgMar w:left="320" w:top="127"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i w:val="1"/>
          <w:iCs w:val="1"/>
          <w:color w:val="auto"/>
        </w:rPr>
        <w:t>The following discussion and analysis of financial condition and results of operations should be read in conjunction with the condensed consolidated financial statements and related notes thereto included in Item 1 “Financial Statements” in this Quarterly Report on Form 10-Q. In addition to historical financial information, the following discussion and analysis contains forward-looking statements that involve risks, uncertainties, and assumptions. Our actual results and timing of selected events may differ materially from those anticipated in these forward-looking statements as a result of many factors, including, but not limited to, those discussed in the section titled “Risk Factors” included elsewhere in this Quarterly Report on Form 10-Q.</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On June 16, 2021, WM Holding Company, LLC (when referred to in its pre-Business Combination capacity, “Legacy WMH” and following the Business Combination, “WMH LLC”) completed its previously announced business combination with Silver Spike Acquisition Corp (“Silver Spike”). Legacy WMH was deemed to be the accounting acquirer under accounting principles generally accepted in the United States of America (“GAAP”). In connection with the closing, Silver Spike changed its name to WM Technology, Inc. As used in this Quarterly Report on Form 10-Q, unless the context requires otherwise, references to the “Company,” “we,” “us,” and “our,” and similar references refer to WM Technology, Inc, and its subsidiaries following the Business Combination and to Legacy WMH prior to the Business Combination.</w:t>
      </w:r>
    </w:p>
    <w:p>
      <w:pPr>
        <w:spacing w:after="0" w:line="80"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5"/>
          <w:szCs w:val="15"/>
          <w:color w:val="auto"/>
        </w:rPr>
        <w:t>WM Technology, Inc. is a technology and software infrastructure provider to retailers and brands in the U.S. state-legal and Canadian cannabis markets. We also provide information on the cannabis plant and the industry and advocate for legalization. The Weedmaps listings marketplace provides consumers with information regarding cannabis retailers and brands, as well as the strain, pricing, and other information regarding locally available cannabis products, through our website and mobile apps, permitting product discovery and reservation of products for pickup by consumers or delivery to consumers by participating retailers. We sell our offerings in the United States, and have a limited number of non-monetized listings in several international countries including Austria, Canada, Germany, the Netherlands, Spain, and Switzerland. Through December 31, 2020, we offered standard listing subscription clients access to a listing page on weedmaps.com in addition to free access to our SaaS solutions, including WM Orders, WM Dispatch, WM Exchange, WM Retail and WM Store, along with its API integrations with third-party point-of-sale (“POS”) systems. For access to the orders functionality, beginning in September 2019, standard listing clients were also then required to pay a fixed services fee per delivery order submitted which we imposed regardless of whether the proposed order was canceled or completed. As of January 1, 2021, we migrated all standard listing subscription clients to our new WM Business subscription package. Under this new subscription package, all retailers continue to receive access to a standard listing page and SaaS solutions. In addition, we began including access to WM Dashboard and eliminated the technology services fee on delivery orders as part of the transition to the new WM Business subscription package. We operate in the United States, Canada, and other foreign jurisdictions where medical and/or adult use cannabis is legal under state or applicable national law. We are headquartered in Irvine, California.</w:t>
      </w:r>
    </w:p>
    <w:p>
      <w:pPr>
        <w:spacing w:after="0" w:line="57" w:lineRule="exact"/>
        <w:rPr>
          <w:sz w:val="20"/>
          <w:szCs w:val="20"/>
          <w:color w:val="auto"/>
        </w:rPr>
      </w:pPr>
    </w:p>
    <w:p>
      <w:pPr>
        <w:jc w:val="both"/>
        <w:ind w:firstLine="464"/>
        <w:spacing w:after="0" w:line="291" w:lineRule="auto"/>
        <w:rPr>
          <w:sz w:val="20"/>
          <w:szCs w:val="20"/>
          <w:color w:val="auto"/>
        </w:rPr>
      </w:pPr>
      <w:r>
        <w:rPr>
          <w:rFonts w:ascii="Arial" w:cs="Arial" w:eastAsia="Arial" w:hAnsi="Arial"/>
          <w:sz w:val="15"/>
          <w:szCs w:val="15"/>
          <w:color w:val="auto"/>
        </w:rPr>
        <w:t>Founded in 2008, we operate a leading listings marketplace with one of the most comprehensive SaaS subscription offerings sold to retailers and brands in the U.S. state-legal and Canadian cannabis markets. We address the challenges facing both consumers seeking to understand cannabis products and businesses who serve cannabis users in a legally compliant fashion with our Weedmaps platform and WM Business SaaS solution. Over the past 13 years, we have grown the Weedmaps listings marketplace to become the premier destination for cannabis consumers to discover and browse information regarding cannabis and cannabis products, with 14 million monthly active users (“MAUs”) as of September 30, 2021 on the demand-side and 4,194 average monthly paying business clients during the nine months ended September 30, 2021 on the supply-side of our marketplace. These paying clients include retailers, brands and other client types (such as doctors). Further, these clients, who can choose to purchase multiple listings solutions for each business, had purchased approximately 9,100 listing pages as of September 30, 2021 (of the over 18,300 listing pages listing pages on the marketplace). The Weedmaps listings marketplace provides consumers with information regarding cannabis retailers and brands, as well as the strain, pricing, and other information regarding locally available cannabis products, through our website and mobile apps, permitting product discovery and order-ahead for pickup or delivery by participating retailers. We provide consumers with discovery channels to improve their knowledge of the local market for cannabis products, whether they are looking by strain, price, effects or form factors. Our weedmaps.com site also has educational content including news articles, information about cannabis strains, a number of “how-to” guides, policy white-papers and research to allow consumers to educate themselves on cannabis and its history, uses and legal status. While consumers can discover cannabis products, brands, and retailers on our site, we neither sell (or fulfill purchases of) cannabis products, nor do we process payments for cannabis transactions across our marketplace or SaaS solutions.</w:t>
      </w:r>
    </w:p>
    <w:p>
      <w:pPr>
        <w:spacing w:after="0" w:line="63"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Over the last three years, we have developed and launched several SaaS solutions for our retailer clients. These solutions now comprise an integrated platform for retailers, which we call “WM Business”. WM Business provides a comprehensive set of tools to enable cannabis businesses to provide their goods and services compliantly, with what we refer to as “business-in-a-</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240"/>
          </w:cols>
          <w:pgMar w:left="320" w:top="230"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box” functionality. Our “business-in-a-box” solution helps cannabis retailers to improve their workflows and regulatory compliance in the course of serving cannabis consumers. We offer this functionality through a packaged software solution that includes (based on availability within any given market and state-level regulations) (i) a listing page with product menu on weedmaps.com, our iOS Weedmaps mobile application and our Android Weedmaps mobile application, which allows clients to disclose their license information, hours of operation, contact information, discount policies, and other information that may be required under applicable state law, (ii) the ability to receive reservations of products for pickup by consumers or delivery to consumers (either on weedmaps.com, on a white labeled WM Store site or third-party sites through our orders and menu embed product), thereby allowing inventory forecasting and helping retailers ensure sufficient staff are present to confirm product availability (and complete orders and process payments – both of which only occur outside the Weedmaps listings marketplace), (iii) logistics software such as driver apps and fleet-tracking tools to permit legal compliance with state delivery regulations, (iv) retail point-of-sale, or POS, solutions to manage inventory and track-and-trace compliance reporting, (v) analytics dashboards, (vi) access to our online wholesale exchange marketplace to browse brand catalogs and efficiently identify brands to obtain inventory from (and review license information and certificates of analysis, among other compliance features), and (vii) application program interface, or API, integrations to streamline workflows, thereby helping eliminate human error in recordkeeping and promoting compliance through accuracy. We also offer a growing set of offerings for brands to reach consumers and retailers as well as manage their brand catalog information.</w:t>
      </w:r>
    </w:p>
    <w:p>
      <w:pPr>
        <w:spacing w:after="0" w:line="7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Our WM Business solution is sold as a value-priced monthly subscription package. We also offer several upsell and add-on products that allow businesses to have more prominent placement on the Weedmaps listings marketplace either through featured listings, display ads or promoted deal offerings. We sell our offerings in the United States, and we have a limited number of non-monetized listings in several international countries including Austria, Canada, Germany, the Netherlands, Spain, and Switzerland. As of September 30, 2021, we actively operated in over 20 U.S. states and territories that have adult-use and/or medical-use regulations in place. We define actively operated markets as those with greater than $1,000 monthly recurring revenue.</w:t>
      </w:r>
    </w:p>
    <w:p>
      <w:pPr>
        <w:spacing w:after="0" w:line="65"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As we continue to expand the presence and increase the number of consumers on the Weedmaps listings marketplace and broaden our SaaS offerings, we generate more value for our business clients. As we continue to expand the presence and increase the number of cannabis businesses listed on weedmaps.com, we become a more compelling marketplace for consumers. To capitalize on the growth opportunities of our two-sided marketplace and SaaS solutions, we plan to continue making investments in raising brand awareness, increasing penetration within existing markets and expanding to new markets, as well as continuing to develop and monetize new software solutions to extend the functionality of our platform, deepening the consumer experience with our platform, and providing a high level of support to our business clients.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and Public Company Costs</w:t>
      </w:r>
    </w:p>
    <w:p>
      <w:pPr>
        <w:spacing w:after="0" w:line="249" w:lineRule="exact"/>
        <w:rPr>
          <w:sz w:val="20"/>
          <w:szCs w:val="20"/>
          <w:color w:val="auto"/>
        </w:rPr>
      </w:pPr>
    </w:p>
    <w:p>
      <w:pPr>
        <w:jc w:val="both"/>
        <w:ind w:firstLine="464"/>
        <w:spacing w:after="0" w:line="294" w:lineRule="auto"/>
        <w:rPr>
          <w:sz w:val="20"/>
          <w:szCs w:val="20"/>
          <w:color w:val="auto"/>
        </w:rPr>
      </w:pPr>
      <w:r>
        <w:rPr>
          <w:rFonts w:ascii="Arial" w:cs="Arial" w:eastAsia="Arial" w:hAnsi="Arial"/>
          <w:sz w:val="15"/>
          <w:szCs w:val="15"/>
          <w:color w:val="auto"/>
        </w:rPr>
        <w:t>On June 16, 2021, Silver Spike consummated the business combination (the “Business Combination”) pursuant to the certain Agreement and Plan of Merger, dated December 10, 2020 (the “Merger Agreement”), by and among Silver Spike, Silver Spike Merger Sub LLC, a Delaware limited liability company and a wholly owned direct subsidiary of Silver Spike Acquisition Corp. (“Merger Sub”), Legacy WMH, and Ghost Media Group, LLC, a Nevada limited liability company, solely in its capacity as the initial holder representative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 Legacy WMH was deemed to be the accounting acquirer in the Business Combination based on an analysis of the criteria outlined in Accounting Standards Codification 805. While Silver Spike was the legal acquirer in the Business Combination, because Legacy WMH was deemed the accounting acquirer, the historical financial statements of Legacy WMH became the historical financial statements of the combined company, upon the Closing.</w:t>
      </w:r>
    </w:p>
    <w:p>
      <w:pPr>
        <w:spacing w:after="0" w:line="187"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While the legal acquirer in the Merger Agreement is Silver Spike, for financial accounting and reporting purposes under GAAP, Legacy WMH was the accounting acquirer and the Business Combination was accounted for as a “reverse recapitalization.” A reverse recapitalization does not result in a new basis of accounting, and the financial statements of the combined entity represent the continuation of the financial statements of Legacy WMH in many respects. Under this method of accounting, Silver Spike was treated as the “acquired” company for financial reporting purposes. For accounting purposes, Legacy WMH was deemed to be the accounting acquirer in the transaction and, consequently, the transaction was treated as a recapitalization of Legacy WMH (i.e., a capital transaction involving the issuance of stock by Silver Spike for the stock of Legacy WMH). Accordingly, the consolidated assets, liabilities and results of operations of Legacy WMH became the historical financial statements of the combined company, and Silver Spike’s assets, liabilities and results of operations were consolidated with Legacy WMH beginning on the acquisition date. Operations prior to the Business Combination are presented as those of</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240"/>
          </w:cols>
          <w:pgMar w:left="320" w:top="230"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Legacy WMH. The net assets of Silver Spike were recognized at historical cost (which are consistent with carrying value), with no goodwill or other intangible assets recorded.</w:t>
      </w:r>
    </w:p>
    <w:p>
      <w:pPr>
        <w:spacing w:after="0" w:line="190"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As a consequence of the Business Combination, Legacy WMH became the successor to an SEC-registered and Nasdaq-listed company which requires us to hire additional personnel and implement procedures and processes to address public company regulatory requirements and customary practices. We have and expect to continue to incur additional annual expenses as a public company for, among other things, directors’ and officers’ liability insurance, director fees and additional internal and external accounting, legal and administrative resources, including increased audit and legal fees.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Key Operating and Financial Metrics</w:t>
      </w:r>
    </w:p>
    <w:p>
      <w:pPr>
        <w:spacing w:after="0" w:line="352" w:lineRule="exact"/>
        <w:rPr>
          <w:sz w:val="20"/>
          <w:szCs w:val="20"/>
          <w:color w:val="auto"/>
        </w:rPr>
      </w:pPr>
    </w:p>
    <w:p>
      <w:pPr>
        <w:jc w:val="both"/>
        <w:ind w:firstLine="464"/>
        <w:spacing w:after="0" w:line="293" w:lineRule="auto"/>
        <w:rPr>
          <w:sz w:val="20"/>
          <w:szCs w:val="20"/>
          <w:color w:val="auto"/>
        </w:rPr>
      </w:pPr>
      <w:r>
        <w:rPr>
          <w:rFonts w:ascii="Arial" w:cs="Arial" w:eastAsia="Arial" w:hAnsi="Arial"/>
          <w:sz w:val="15"/>
          <w:szCs w:val="15"/>
          <w:color w:val="auto"/>
        </w:rPr>
        <w:t>We monitor the following key financial and operational metrics to evaluate our business, measure our performance, identify trends affecting our business, formulate business plans, and make strategic decisions. Subsequent to the Business Combination, we modified our definition and calculation of three of our Key Operating and Financial Metrics: (a) average monthly revenue per paying client, (b) average monthly paying clients, and (c) MAUs. We made these modifications in order to better reflect our performance during a reporting period and to make these key metrics more easily comparable on a period-to-period basis. The changes to these metrics and a comparison to previous calculations are described below. We are providing our prior definitions of these key metrics, as well as a calculation of what our results would have been pursuant to such prior definitions, for the applicable periods so that investors and potential investors that have analyzed these key metrics historically using our prior definitions can compare our historical results to our current results with respect to these key metrics using the prior definitions. To see what our historical average monthly revenue per paying client, average monthly paying clients and monthly active users would have been for the years ended December 31, 2020, 2019, 2018 and 2017 using our modified definitions, as well as a comparison to what the results were using our prior definitions, please refer to our earnings release included as Exhibit 99.1 in our Current Report on Form 8-K, filed August 12, 2021.</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3040" w:type="dxa"/>
            <w:vAlign w:val="bottom"/>
            <w:gridSpan w:val="5"/>
          </w:tcPr>
          <w:p>
            <w:pPr>
              <w:ind w:left="40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680" w:type="dxa"/>
            <w:vAlign w:val="bottom"/>
            <w:gridSpan w:val="3"/>
          </w:tcPr>
          <w:p>
            <w:pPr>
              <w:jc w:val="right"/>
              <w:ind w:right="356"/>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78"/>
        </w:trPr>
        <w:tc>
          <w:tcPr>
            <w:tcW w:w="526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73"/>
        </w:trPr>
        <w:tc>
          <w:tcPr>
            <w:tcW w:w="5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60" w:type="dxa"/>
            <w:vAlign w:val="bottom"/>
            <w:gridSpan w:val="7"/>
          </w:tcPr>
          <w:p>
            <w:pPr>
              <w:jc w:val="right"/>
              <w:ind w:right="134"/>
              <w:spacing w:after="0"/>
              <w:rPr>
                <w:sz w:val="20"/>
                <w:szCs w:val="20"/>
                <w:color w:val="auto"/>
              </w:rPr>
            </w:pPr>
            <w:r>
              <w:rPr>
                <w:rFonts w:ascii="Arial" w:cs="Arial" w:eastAsia="Arial" w:hAnsi="Arial"/>
                <w:sz w:val="14"/>
                <w:szCs w:val="14"/>
                <w:b w:val="1"/>
                <w:bCs w:val="1"/>
                <w:color w:val="auto"/>
                <w:w w:val="97"/>
              </w:rPr>
              <w:t>(dollars in thousands, except for revenue per paying client)</w:t>
            </w:r>
          </w:p>
        </w:tc>
        <w:tc>
          <w:tcPr>
            <w:tcW w:w="1060" w:type="dxa"/>
            <w:vAlign w:val="bottom"/>
          </w:tcPr>
          <w:p>
            <w:pPr>
              <w:spacing w:after="0"/>
              <w:rPr>
                <w:sz w:val="15"/>
                <w:szCs w:val="15"/>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50,884</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18"/>
        </w:trPr>
        <w:tc>
          <w:tcPr>
            <w:tcW w:w="52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860" w:type="dxa"/>
            <w:vAlign w:val="bottom"/>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49,205</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15,530</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73,773</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323"/>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EBITDA</w:t>
            </w:r>
            <w:r>
              <w:rPr>
                <w:rFonts w:ascii="Arial" w:cs="Arial" w:eastAsia="Arial" w:hAnsi="Arial"/>
                <w:sz w:val="22"/>
                <w:szCs w:val="22"/>
                <w:color w:val="auto"/>
                <w:vertAlign w:val="superscript"/>
              </w:rPr>
              <w:t>(1)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50,578</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76,985</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31,712</w:t>
            </w:r>
          </w:p>
        </w:tc>
      </w:tr>
      <w:tr>
        <w:trPr>
          <w:trHeight w:val="322"/>
        </w:trPr>
        <w:tc>
          <w:tcPr>
            <w:tcW w:w="5260" w:type="dxa"/>
            <w:vAlign w:val="bottom"/>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860" w:type="dxa"/>
            <w:vAlign w:val="bottom"/>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2"/>
              </w:rPr>
              <w:t>10,424</w:t>
            </w:r>
          </w:p>
        </w:tc>
        <w:tc>
          <w:tcPr>
            <w:tcW w:w="420" w:type="dxa"/>
            <w:vAlign w:val="bottom"/>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tcPr>
          <w:p>
            <w:pPr>
              <w:spacing w:after="0"/>
              <w:rPr>
                <w:sz w:val="24"/>
                <w:szCs w:val="24"/>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27,901</w:t>
            </w:r>
          </w:p>
        </w:tc>
        <w:tc>
          <w:tcPr>
            <w:tcW w:w="44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31,712</w:t>
            </w:r>
          </w:p>
        </w:tc>
      </w:tr>
      <w:tr>
        <w:trPr>
          <w:trHeight w:val="32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r>
              <w:rPr>
                <w:rFonts w:ascii="Arial" w:cs="Arial" w:eastAsia="Arial" w:hAnsi="Arial"/>
                <w:sz w:val="22"/>
                <w:szCs w:val="22"/>
                <w:color w:val="auto"/>
                <w:vertAlign w:val="superscript"/>
              </w:rPr>
              <w:t>(2)</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3,817</w:t>
            </w:r>
          </w:p>
        </w:tc>
        <w:tc>
          <w:tcPr>
            <w:tcW w:w="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3,682</w:t>
            </w:r>
          </w:p>
        </w:tc>
        <w:tc>
          <w:tcPr>
            <w:tcW w:w="44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r>
      <w:tr>
        <w:trPr>
          <w:trHeight w:val="322"/>
        </w:trPr>
        <w:tc>
          <w:tcPr>
            <w:tcW w:w="5260" w:type="dxa"/>
            <w:vAlign w:val="bottom"/>
          </w:tcPr>
          <w:p>
            <w:pPr>
              <w:ind w:left="20"/>
              <w:spacing w:after="0"/>
              <w:rPr>
                <w:sz w:val="20"/>
                <w:szCs w:val="20"/>
                <w:color w:val="auto"/>
              </w:rPr>
            </w:pPr>
            <w:r>
              <w:rPr>
                <w:rFonts w:ascii="Arial" w:cs="Arial" w:eastAsia="Arial" w:hAnsi="Arial"/>
                <w:sz w:val="17"/>
                <w:szCs w:val="17"/>
                <w:color w:val="auto"/>
              </w:rPr>
              <w:t>Average monthly paying clients</w:t>
            </w:r>
            <w:r>
              <w:rPr>
                <w:rFonts w:ascii="Arial" w:cs="Arial" w:eastAsia="Arial" w:hAnsi="Arial"/>
                <w:sz w:val="22"/>
                <w:szCs w:val="22"/>
                <w:color w:val="auto"/>
                <w:vertAlign w:val="superscript"/>
              </w:rPr>
              <w:t>(3)</w:t>
            </w:r>
          </w:p>
        </w:tc>
        <w:tc>
          <w:tcPr>
            <w:tcW w:w="8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4,444</w:t>
            </w:r>
          </w:p>
        </w:tc>
        <w:tc>
          <w:tcPr>
            <w:tcW w:w="4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4,363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4,194</w:t>
            </w:r>
          </w:p>
        </w:tc>
        <w:tc>
          <w:tcPr>
            <w:tcW w:w="4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4,233</w:t>
            </w:r>
          </w:p>
        </w:tc>
      </w:tr>
      <w:tr>
        <w:trPr>
          <w:trHeight w:val="322"/>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r>
              <w:rPr>
                <w:rFonts w:ascii="Arial" w:cs="Arial" w:eastAsia="Arial" w:hAnsi="Arial"/>
                <w:sz w:val="22"/>
                <w:szCs w:val="22"/>
                <w:color w:val="auto"/>
                <w:vertAlign w:val="superscript"/>
              </w:rPr>
              <w:t>(4)</w:t>
            </w:r>
          </w:p>
        </w:tc>
        <w:tc>
          <w:tcPr>
            <w:tcW w:w="86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2"/>
              </w:rPr>
              <w:t>13,907</w:t>
            </w:r>
          </w:p>
        </w:tc>
        <w:tc>
          <w:tcPr>
            <w:tcW w:w="42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13,907</w:t>
            </w:r>
          </w:p>
        </w:tc>
        <w:tc>
          <w:tcPr>
            <w:tcW w:w="44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r>
      <w:tr>
        <w:trPr>
          <w:trHeight w:val="295"/>
        </w:trPr>
        <w:tc>
          <w:tcPr>
            <w:tcW w:w="5260" w:type="dxa"/>
            <w:vAlign w:val="bottom"/>
          </w:tcPr>
          <w:p>
            <w:pPr>
              <w:spacing w:after="0"/>
              <w:rPr>
                <w:sz w:val="20"/>
                <w:szCs w:val="20"/>
                <w:color w:val="auto"/>
              </w:rPr>
            </w:pPr>
            <w:r>
              <w:rPr>
                <w:rFonts w:ascii="Arial" w:cs="Arial" w:eastAsia="Arial" w:hAnsi="Arial"/>
                <w:sz w:val="17"/>
                <w:szCs w:val="17"/>
                <w:color w:val="auto"/>
              </w:rPr>
              <w:t>___________________________</w:t>
            </w:r>
          </w:p>
        </w:tc>
        <w:tc>
          <w:tcPr>
            <w:tcW w:w="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pacing w:after="0" w:line="32" w:lineRule="exact"/>
        <w:rPr>
          <w:sz w:val="20"/>
          <w:szCs w:val="20"/>
          <w:color w:val="auto"/>
        </w:rPr>
      </w:pPr>
    </w:p>
    <w:p>
      <w:pPr>
        <w:ind w:left="320" w:hanging="317"/>
        <w:spacing w:after="0" w:line="241"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For further information about how we calculate EBITDA and Adjusted EBITDA as well as limitations of its use and a reconciliation of EBITDA and Adjusted EBITDA to net income, see “—EBITDA and Adjusted EBITDA” below.</w:t>
      </w:r>
    </w:p>
    <w:p>
      <w:pPr>
        <w:jc w:val="both"/>
        <w:ind w:left="320" w:hanging="317"/>
        <w:spacing w:after="0" w:line="233"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Average monthly revenue per paying client is defined as the average monthly revenue for any particular period divided by the average monthly paying clients in the same respective period. See “—Average Monthly Revenue Per Paying Client” below for a description of how we used to calculate average monthly revenue per paying client and what our average monthly revenue per paying client would have been using our prior definition for the applicable periods.</w:t>
      </w:r>
    </w:p>
    <w:p>
      <w:pPr>
        <w:jc w:val="both"/>
        <w:ind w:left="320" w:hanging="317"/>
        <w:spacing w:after="0" w:line="233"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Average monthly paying clients are defined as the average of the number of paying clients billed in a month across a particular period (and for which services were provided). See “—Average Monthly Paying Clients” below for a description of how we used to calculate average monthly paying clients and what our average monthly paying clients would have been using our prior definition for the applicable periods.</w:t>
      </w:r>
    </w:p>
    <w:p>
      <w:pPr>
        <w:jc w:val="both"/>
        <w:ind w:left="320" w:hanging="317"/>
        <w:spacing w:after="0" w:line="241" w:lineRule="auto"/>
        <w:tabs>
          <w:tab w:leader="none" w:pos="320" w:val="left"/>
        </w:tabs>
        <w:numPr>
          <w:ilvl w:val="0"/>
          <w:numId w:val="18"/>
        </w:numPr>
        <w:rPr>
          <w:rFonts w:ascii="Arial" w:cs="Arial" w:eastAsia="Arial" w:hAnsi="Arial"/>
          <w:sz w:val="15"/>
          <w:szCs w:val="15"/>
          <w:color w:val="auto"/>
        </w:rPr>
      </w:pPr>
      <w:r>
        <w:rPr>
          <w:rFonts w:ascii="Arial" w:cs="Arial" w:eastAsia="Arial" w:hAnsi="Arial"/>
          <w:sz w:val="15"/>
          <w:szCs w:val="15"/>
          <w:color w:val="auto"/>
        </w:rPr>
        <w:t>MAUs are defined as the number of unique users opening our Weedmaps mobile app or accessing our Weedmaps.com website over the course of a calendar month. Monthly active users in this table is for the last month in the period. See “—MAUs” below for a description of how we used to calculate MAUs and what our MAUs would have been using our prior definition for the applicable periods.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generate revenue from the sale of monthly subscriptions and our additional offerings as described previously. Our monthly subscription offering is sold based on a fixed price per month with the pricing based on the type of client. These subscriptions generally have one-month terms that automatically renew unless notice of cancellation is provided in advance. Our additional offerings range in price and terms. For clients that pay us in advance for subscription and other services, we record deferred revenue and recognize revenue over the applicable term of services provided.</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240"/>
          </w:cols>
          <w:pgMar w:left="320" w:top="230"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EBITDA and Adjusted EBITDA</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To provide investors with additional information regarding our financial results, we have disclosed EBITDA and Adjusted EBITDA, both of which are non-GAAP financial measures that we calculate as net income before interest, taxes and depreciation and amortization expense in the case of EBITDA and further adjusted to exclude non-cash, unusual and/or infrequent costs in the case of Adjusted EBITDA. Below we have provided a reconciliation of net income (the most directly comparable GAAP financial measure) to EBITDA and from EBITDA to Adjusted EBITDA.</w:t>
      </w:r>
    </w:p>
    <w:p>
      <w:pPr>
        <w:spacing w:after="0" w:line="75" w:lineRule="exact"/>
        <w:rPr>
          <w:sz w:val="20"/>
          <w:szCs w:val="20"/>
          <w:color w:val="auto"/>
        </w:rPr>
      </w:pPr>
    </w:p>
    <w:p>
      <w:pPr>
        <w:jc w:val="both"/>
        <w:ind w:firstLine="464"/>
        <w:spacing w:after="0" w:line="318" w:lineRule="auto"/>
        <w:rPr>
          <w:sz w:val="20"/>
          <w:szCs w:val="20"/>
          <w:color w:val="auto"/>
        </w:rPr>
      </w:pPr>
      <w:r>
        <w:rPr>
          <w:rFonts w:ascii="Arial" w:cs="Arial" w:eastAsia="Arial" w:hAnsi="Arial"/>
          <w:sz w:val="15"/>
          <w:szCs w:val="15"/>
          <w:color w:val="auto"/>
        </w:rPr>
        <w:t>We present EBITDA and Adjusted EBITDA because these metrics are a key measure used by our management to evaluate our operating performance, generate future operating plans and make strategic decisions regarding the allocation of investment capacity. Accordingly, we believe that EBITDA and Adjusted EBITDA provide useful information to investors and others in understanding and evaluating our operating results in the same manner as our management.</w:t>
      </w:r>
    </w:p>
    <w:p>
      <w:pPr>
        <w:spacing w:after="0" w:line="36"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EBITDA and Adjusted EBITDA have limitations as an analytical tool, and you should not consider it in isolation or as a substitute for analysis of our results as reported under GAAP. Some of these limitations are as follows:</w:t>
      </w:r>
    </w:p>
    <w:p>
      <w:pPr>
        <w:spacing w:after="0" w:line="48" w:lineRule="exact"/>
        <w:rPr>
          <w:sz w:val="20"/>
          <w:szCs w:val="20"/>
          <w:color w:val="auto"/>
        </w:rPr>
      </w:pPr>
    </w:p>
    <w:p>
      <w:pPr>
        <w:jc w:val="both"/>
        <w:ind w:left="780" w:hanging="313"/>
        <w:spacing w:after="0" w:line="236" w:lineRule="auto"/>
        <w:tabs>
          <w:tab w:leader="none" w:pos="776" w:val="left"/>
        </w:tabs>
        <w:numPr>
          <w:ilvl w:val="0"/>
          <w:numId w:val="19"/>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may have to be replaced in the future, and both EBITDA and Adjusted EBITDA do not reflect cash capital expenditure requirements for such replacements or for new capital expenditure requirements;</w:t>
      </w:r>
    </w:p>
    <w:p>
      <w:pPr>
        <w:spacing w:after="0" w:line="67"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and Adjusted EBITDA do not reflect changes in, or cash requirements for, our working capital needs; and</w:t>
      </w:r>
    </w:p>
    <w:p>
      <w:pPr>
        <w:spacing w:after="0" w:line="88" w:lineRule="exact"/>
        <w:rPr>
          <w:rFonts w:ascii="Arial" w:cs="Arial" w:eastAsia="Arial" w:hAnsi="Arial"/>
          <w:sz w:val="17"/>
          <w:szCs w:val="17"/>
          <w:color w:val="auto"/>
        </w:rPr>
      </w:pPr>
    </w:p>
    <w:p>
      <w:pPr>
        <w:ind w:left="780" w:hanging="313"/>
        <w:spacing w:after="0"/>
        <w:tabs>
          <w:tab w:leader="none" w:pos="78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EBITDA and Adjusted EBITDA do not reflect tax payments that may represent a reduction in cash available to us.</w:t>
      </w:r>
    </w:p>
    <w:p>
      <w:pPr>
        <w:spacing w:after="0" w:line="101"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Because of these limitations, you should consider EBITDA and Adjusted EBITDA alongside other financial performance measures, including net income and our other GAAP results.</w:t>
      </w:r>
    </w:p>
    <w:p>
      <w:pPr>
        <w:spacing w:after="0" w:line="6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 reconciliation of net income to non-GAAP EBITDA and Adjusted EBITDA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400" w:type="dxa"/>
            <w:vAlign w:val="bottom"/>
          </w:tcPr>
          <w:p>
            <w:pPr>
              <w:spacing w:after="0"/>
              <w:rPr>
                <w:sz w:val="17"/>
                <w:szCs w:val="17"/>
                <w:color w:val="auto"/>
              </w:rPr>
            </w:pPr>
          </w:p>
        </w:tc>
        <w:tc>
          <w:tcPr>
            <w:tcW w:w="254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78"/>
        </w:trPr>
        <w:tc>
          <w:tcPr>
            <w:tcW w:w="526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73"/>
        </w:trPr>
        <w:tc>
          <w:tcPr>
            <w:tcW w:w="5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20"/>
        </w:trPr>
        <w:tc>
          <w:tcPr>
            <w:tcW w:w="5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49,205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73,773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28,732</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Provision for income taxes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 expenses</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2,970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2,980</w:t>
            </w:r>
          </w:p>
        </w:tc>
      </w:tr>
      <w:tr>
        <w:trPr>
          <w:trHeight w:val="211"/>
        </w:trPr>
        <w:tc>
          <w:tcPr>
            <w:tcW w:w="5260" w:type="dxa"/>
            <w:vAlign w:val="bottom"/>
          </w:tcPr>
          <w:p>
            <w:pPr>
              <w:ind w:left="20"/>
              <w:spacing w:after="0"/>
              <w:rPr>
                <w:sz w:val="20"/>
                <w:szCs w:val="20"/>
                <w:color w:val="auto"/>
              </w:rPr>
            </w:pPr>
            <w:r>
              <w:rPr>
                <w:rFonts w:ascii="Arial" w:cs="Arial" w:eastAsia="Arial" w:hAnsi="Arial"/>
                <w:sz w:val="17"/>
                <w:szCs w:val="17"/>
                <w:color w:val="auto"/>
              </w:rPr>
              <w:t>EBITDA</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50,578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76,985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31,712</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Share-based compensation</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23,625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(45,837)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(83,628)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Warrant transaction costs</w:t>
            </w: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Impairment of right-of-use asset</w:t>
            </w:r>
          </w:p>
        </w:tc>
        <w:tc>
          <w:tcPr>
            <w:tcW w:w="24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2,372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2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Transaction related bonus payment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60" w:type="dxa"/>
            <w:vAlign w:val="bottom"/>
          </w:tcPr>
          <w:p>
            <w:pPr>
              <w:ind w:left="180"/>
              <w:spacing w:after="0"/>
              <w:rPr>
                <w:sz w:val="20"/>
                <w:szCs w:val="20"/>
                <w:color w:val="auto"/>
              </w:rPr>
            </w:pPr>
            <w:r>
              <w:rPr>
                <w:rFonts w:ascii="Arial" w:cs="Arial" w:eastAsia="Arial" w:hAnsi="Arial"/>
                <w:sz w:val="17"/>
                <w:szCs w:val="17"/>
                <w:color w:val="auto"/>
              </w:rPr>
              <w:t>Transaction costs</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38"/>
        </w:trPr>
        <w:tc>
          <w:tcPr>
            <w:tcW w:w="5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EBITDA</w:t>
            </w:r>
          </w:p>
        </w:tc>
        <w:tc>
          <w:tcPr>
            <w:tcW w:w="24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10,424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16,521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27,901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31,712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Revenue Per Paying Client</w:t>
      </w:r>
    </w:p>
    <w:p>
      <w:pPr>
        <w:spacing w:after="0" w:line="243"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Average monthly revenue per paying client measures how much clients, for the period of measurement, are willing to pay us for our subscription and additional offerings and the efficiency of the bid-auction process for our featured listings placements. We calculate this metric by dividing the average monthly revenue for any particular period by the average monthly number of paying clients in the same respective period. We have consistently grown our monthly revenue per paying client, reflecting the increased functionality we have provided over time with our WM Business software solutions and the increased retailer density within the markets we serve.</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monthly revenue per paying client</w:t>
            </w:r>
          </w:p>
        </w:tc>
        <w:tc>
          <w:tcPr>
            <w:tcW w:w="780" w:type="dxa"/>
            <w:vAlign w:val="bottom"/>
            <w:shd w:val="clear" w:color="auto" w:fill="CCEEFF"/>
          </w:tcPr>
          <w:p>
            <w:pPr>
              <w:jc w:val="right"/>
              <w:ind w:right="60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3,817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3,682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ectPr>
          <w:pgSz w:w="11900" w:h="16838" w:orient="portrait"/>
          <w:cols w:equalWidth="0" w:num="1">
            <w:col w:w="11240"/>
          </w:cols>
          <w:pgMar w:left="320" w:top="230"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Prior definition¹:</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6"/>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6"/>
            <w:vMerge w:val="continue"/>
          </w:tcPr>
          <w:p>
            <w:pPr>
              <w:spacing w:after="0"/>
              <w:rPr>
                <w:sz w:val="15"/>
                <w:szCs w:val="15"/>
                <w:color w:val="auto"/>
              </w:rPr>
            </w:pPr>
          </w:p>
        </w:tc>
        <w:tc>
          <w:tcPr>
            <w:tcW w:w="300" w:type="dxa"/>
            <w:vAlign w:val="bottom"/>
          </w:tcPr>
          <w:p>
            <w:pPr>
              <w:spacing w:after="0"/>
              <w:rPr>
                <w:sz w:val="15"/>
                <w:szCs w:val="15"/>
                <w:color w:val="auto"/>
              </w:rPr>
            </w:pPr>
          </w:p>
        </w:tc>
        <w:tc>
          <w:tcPr>
            <w:tcW w:w="2260" w:type="dxa"/>
            <w:vAlign w:val="bottom"/>
            <w:gridSpan w:val="4"/>
          </w:tcPr>
          <w:p>
            <w:pPr>
              <w:ind w:left="4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Monthly revenue per paying client</w:t>
            </w:r>
          </w:p>
        </w:tc>
        <w:tc>
          <w:tcPr>
            <w:tcW w:w="780" w:type="dxa"/>
            <w:vAlign w:val="bottom"/>
            <w:shd w:val="clear" w:color="auto" w:fill="CCEEFF"/>
          </w:tcPr>
          <w:p>
            <w:pPr>
              <w:jc w:val="right"/>
              <w:ind w:right="606"/>
              <w:spacing w:after="0"/>
              <w:rPr>
                <w:sz w:val="20"/>
                <w:szCs w:val="20"/>
                <w:color w:val="auto"/>
              </w:rPr>
            </w:pPr>
            <w:r>
              <w:rPr>
                <w:rFonts w:ascii="Arial" w:cs="Arial" w:eastAsia="Arial" w:hAnsi="Arial"/>
                <w:sz w:val="17"/>
                <w:szCs w:val="17"/>
                <w:color w:val="auto"/>
                <w:w w:val="84"/>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3,768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7"/>
              <w:spacing w:after="0"/>
              <w:rPr>
                <w:sz w:val="20"/>
                <w:szCs w:val="20"/>
                <w:color w:val="auto"/>
              </w:rPr>
            </w:pPr>
            <w:r>
              <w:rPr>
                <w:rFonts w:ascii="Arial" w:cs="Arial" w:eastAsia="Arial" w:hAnsi="Arial"/>
                <w:sz w:val="17"/>
                <w:szCs w:val="17"/>
                <w:color w:val="auto"/>
              </w:rPr>
              <w:t>3,768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3,678</w:t>
            </w:r>
          </w:p>
        </w:tc>
        <w:tc>
          <w:tcPr>
            <w:tcW w:w="0" w:type="dxa"/>
            <w:vAlign w:val="bottom"/>
          </w:tcPr>
          <w:p>
            <w:pPr>
              <w:spacing w:after="0"/>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20" w:lineRule="exact"/>
        <w:rPr>
          <w:sz w:val="20"/>
          <w:szCs w:val="20"/>
          <w:color w:val="auto"/>
        </w:rPr>
      </w:pPr>
    </w:p>
    <w:p>
      <w:pPr>
        <w:jc w:val="both"/>
        <w:ind w:firstLine="3"/>
        <w:spacing w:after="0" w:line="256" w:lineRule="auto"/>
        <w:tabs>
          <w:tab w:leader="none" w:pos="90" w:val="left"/>
        </w:tabs>
        <w:numPr>
          <w:ilvl w:val="0"/>
          <w:numId w:val="20"/>
        </w:numPr>
        <w:rPr>
          <w:rFonts w:ascii="Arial" w:cs="Arial" w:eastAsia="Arial" w:hAnsi="Arial"/>
          <w:sz w:val="15"/>
          <w:szCs w:val="15"/>
          <w:color w:val="auto"/>
        </w:rPr>
      </w:pPr>
      <w:r>
        <w:rPr>
          <w:rFonts w:ascii="Arial" w:cs="Arial" w:eastAsia="Arial" w:hAnsi="Arial"/>
          <w:sz w:val="15"/>
          <w:szCs w:val="15"/>
          <w:color w:val="auto"/>
        </w:rPr>
        <w:t>We previously calculated average monthly revenue per paying client by dividing total monthly revenue for the last month of any particular period by the number of paying clients in that last month of a particular period. We changed our definition because we believe using monthly revenue across the entire period is a better reflection of our results during such period than monthly revenue for only the last month of the period and believe our modified definition will be less susceptible to monthly fluctuations and therefore more reliable when comparing period-to-period results.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Average Monthly Paying Clients</w:t>
      </w:r>
    </w:p>
    <w:p>
      <w:pPr>
        <w:spacing w:after="0" w:line="346" w:lineRule="exact"/>
        <w:rPr>
          <w:sz w:val="20"/>
          <w:szCs w:val="20"/>
          <w:color w:val="auto"/>
        </w:rPr>
      </w:pPr>
    </w:p>
    <w:p>
      <w:pPr>
        <w:jc w:val="both"/>
        <w:ind w:firstLine="464"/>
        <w:spacing w:after="0" w:line="272" w:lineRule="auto"/>
        <w:rPr>
          <w:sz w:val="20"/>
          <w:szCs w:val="20"/>
          <w:color w:val="auto"/>
        </w:rPr>
      </w:pPr>
      <w:r>
        <w:rPr>
          <w:rFonts w:ascii="Arial" w:cs="Arial" w:eastAsia="Arial" w:hAnsi="Arial"/>
          <w:sz w:val="16"/>
          <w:szCs w:val="16"/>
          <w:color w:val="auto"/>
        </w:rPr>
        <w:t>We define average monthly paying clients as the monthly average of clients billed each month over a particular period (and for which services were provided). Our paying clients include both individual cannabis businesses as well as retail sites or businesses within a larger organization that have independent relationships with us, many of whom are owned by holding companies where decision-making is decentralized such that purchasing decisions are made, and relationships with us are located, at a lower organizational level. In addition, any client may choose to purchase multiple listing solutions for each of their retail sites or businesses. While we have historically seen consistent growth in the number of our paying clients, we saw a decline starting in late 2017 through the first half of 2018 that we believe was driven by the uncertainty around legalization of adult-use cannabis by California on January 2, 2018. The first half of 2018 was a transition period within the state of California during which only temporary licenses were granted to local retailers and the status and scope of permanent licenses was uncertain. During such time, we experienced a decline in paying clients, which moderated in the second half of 2018 when we saw our results in California to begin to return to more typical patterns. On December 31, 2019, we discontinued our service to California-based clients who failed to provide valid licensing information, in accordance with our prior announcement in August 2019 to support only licensed cannabis retail operators and their partners on our platform. As a result, we experienced a high level of client churn in January as a result of the elimination of these operators. In June 2020, we initiated a similar effort in Canada to discontinue services to Canada-based retail operators clients who failed to provide valid license information, which drove a decline in paying clients beginning in September 2020. This reset of Canada was completed on November 30, 2020.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6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Average monthly paying clients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4,444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4,363</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7"/>
                <w:szCs w:val="17"/>
                <w:color w:val="auto"/>
              </w:rPr>
              <w:t>4,194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w:t>
            </w:r>
          </w:p>
        </w:tc>
        <w:tc>
          <w:tcPr>
            <w:tcW w:w="0" w:type="dxa"/>
            <w:vAlign w:val="bottom"/>
          </w:tcPr>
          <w:p>
            <w:pPr>
              <w:spacing w:after="0"/>
              <w:rPr>
                <w:sz w:val="1"/>
                <w:szCs w:val="1"/>
                <w:color w:val="auto"/>
              </w:rPr>
            </w:pPr>
          </w:p>
        </w:tc>
      </w:tr>
      <w:tr>
        <w:trPr>
          <w:trHeight w:val="617"/>
        </w:trPr>
        <w:tc>
          <w:tcPr>
            <w:tcW w:w="6800" w:type="dxa"/>
            <w:vAlign w:val="bottom"/>
            <w:gridSpan w:val="2"/>
          </w:tcPr>
          <w:p>
            <w:pPr>
              <w:spacing w:after="0"/>
              <w:rPr>
                <w:sz w:val="20"/>
                <w:szCs w:val="20"/>
                <w:color w:val="auto"/>
              </w:rPr>
            </w:pPr>
            <w:r>
              <w:rPr>
                <w:rFonts w:ascii="Arial" w:cs="Arial" w:eastAsia="Arial" w:hAnsi="Arial"/>
                <w:sz w:val="17"/>
                <w:szCs w:val="17"/>
                <w:i w:val="1"/>
                <w:iCs w:val="1"/>
                <w:color w:val="auto"/>
              </w:rPr>
              <w:t>Prior definition¹:</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1"/>
        </w:trPr>
        <w:tc>
          <w:tcPr>
            <w:tcW w:w="6020" w:type="dxa"/>
            <w:vAlign w:val="bottom"/>
          </w:tcPr>
          <w:p>
            <w:pPr>
              <w:spacing w:after="0"/>
              <w:rPr>
                <w:sz w:val="24"/>
                <w:szCs w:val="24"/>
                <w:color w:val="auto"/>
              </w:rPr>
            </w:pPr>
          </w:p>
        </w:tc>
        <w:tc>
          <w:tcPr>
            <w:tcW w:w="26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9"/>
        </w:trPr>
        <w:tc>
          <w:tcPr>
            <w:tcW w:w="6020" w:type="dxa"/>
            <w:vAlign w:val="bottom"/>
          </w:tcPr>
          <w:p>
            <w:pPr>
              <w:spacing w:after="0"/>
              <w:rPr>
                <w:sz w:val="15"/>
                <w:szCs w:val="15"/>
                <w:color w:val="auto"/>
              </w:rPr>
            </w:pPr>
          </w:p>
        </w:tc>
        <w:tc>
          <w:tcPr>
            <w:tcW w:w="2660" w:type="dxa"/>
            <w:vAlign w:val="bottom"/>
            <w:gridSpan w:val="5"/>
            <w:vMerge w:val="continue"/>
          </w:tcPr>
          <w:p>
            <w:pPr>
              <w:spacing w:after="0"/>
              <w:rPr>
                <w:sz w:val="15"/>
                <w:szCs w:val="15"/>
                <w:color w:val="auto"/>
              </w:rPr>
            </w:pPr>
          </w:p>
        </w:tc>
        <w:tc>
          <w:tcPr>
            <w:tcW w:w="2560" w:type="dxa"/>
            <w:vAlign w:val="bottom"/>
            <w:gridSpan w:val="3"/>
          </w:tcPr>
          <w:p>
            <w:pPr>
              <w:ind w:left="700"/>
              <w:spacing w:after="0"/>
              <w:rPr>
                <w:sz w:val="20"/>
                <w:szCs w:val="20"/>
                <w:color w:val="auto"/>
              </w:rPr>
            </w:pPr>
            <w:r>
              <w:rPr>
                <w:rFonts w:ascii="Arial" w:cs="Arial" w:eastAsia="Arial" w:hAnsi="Arial"/>
                <w:sz w:val="14"/>
                <w:szCs w:val="14"/>
                <w:b w:val="1"/>
                <w:bCs w:val="1"/>
                <w:color w:val="auto"/>
              </w:rPr>
              <w:t>September 30, 2021</w:t>
            </w:r>
          </w:p>
        </w:tc>
        <w:tc>
          <w:tcPr>
            <w:tcW w:w="0" w:type="dxa"/>
            <w:vAlign w:val="bottom"/>
          </w:tcPr>
          <w:p>
            <w:pPr>
              <w:spacing w:after="0"/>
              <w:rPr>
                <w:sz w:val="1"/>
                <w:szCs w:val="1"/>
                <w:color w:val="auto"/>
              </w:rPr>
            </w:pPr>
          </w:p>
        </w:tc>
      </w:tr>
      <w:tr>
        <w:trPr>
          <w:trHeight w:val="173"/>
        </w:trPr>
        <w:tc>
          <w:tcPr>
            <w:tcW w:w="6020" w:type="dxa"/>
            <w:vAlign w:val="bottom"/>
            <w:tcBorders>
              <w:bottom w:val="single" w:sz="8" w:color="CCEEFF"/>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122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ind w:left="48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40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8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Paying clients</w:t>
            </w:r>
          </w:p>
        </w:tc>
        <w:tc>
          <w:tcPr>
            <w:tcW w:w="4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4,559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ind w:left="780"/>
              <w:spacing w:after="0"/>
              <w:rPr>
                <w:sz w:val="20"/>
                <w:szCs w:val="20"/>
                <w:color w:val="auto"/>
              </w:rPr>
            </w:pPr>
            <w:r>
              <w:rPr>
                <w:rFonts w:ascii="Arial" w:cs="Arial" w:eastAsia="Arial" w:hAnsi="Arial"/>
                <w:sz w:val="17"/>
                <w:szCs w:val="17"/>
                <w:color w:val="auto"/>
              </w:rPr>
              <w:t>4,559</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4,171</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___________________________</w:t>
      </w:r>
    </w:p>
    <w:p>
      <w:pPr>
        <w:spacing w:after="0" w:line="14" w:lineRule="exact"/>
        <w:rPr>
          <w:sz w:val="20"/>
          <w:szCs w:val="20"/>
          <w:color w:val="auto"/>
        </w:rPr>
      </w:pPr>
    </w:p>
    <w:p>
      <w:pPr>
        <w:jc w:val="both"/>
        <w:ind w:firstLine="3"/>
        <w:spacing w:after="0" w:line="266" w:lineRule="auto"/>
        <w:tabs>
          <w:tab w:leader="none" w:pos="94"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previously defined paying clients, which was defined as the number of clients billed during the last month of a particular period. We changed our metric because we believe using the average number of paying clients across the entire period is a better reflection of our results during such period than the average paying clients for only the last month of the period and believe our modified definition will be less susceptible to monthly fluctuations and therefore more reliable when comparing period-to-period results.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ectPr>
          <w:pgSz w:w="11900" w:h="16838" w:orient="portrait"/>
          <w:cols w:equalWidth="0" w:num="1">
            <w:col w:w="11240"/>
          </w:cols>
          <w:pgMar w:left="320" w:top="230"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MAUs</w:t>
      </w:r>
    </w:p>
    <w:p>
      <w:pPr>
        <w:spacing w:after="0" w:line="346"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We define MAUs as the number of unique users opening our Weedmaps mobile app or accessing our Weedmaps.com website over the course of a calendar month. In any particular period, we determine our number of MAUs by counting the total number of users who have engaged with the weedmaps.com site during the final calendar month of the given period. Beginning in March 2021, we began tracking and including the MAUs related to the Learn section on weedmaps.com into our calculation of MAUs. We view the number of MAUs as a key indicator of our growth, the breadth and reach of our weedmaps.com site, the value proposition and consumer awareness of our brand, the continued use of our sites by our users and their level of interest in the cannabis industry.</w:t>
      </w:r>
    </w:p>
    <w:p>
      <w:pPr>
        <w:spacing w:after="0" w:line="49" w:lineRule="exact"/>
        <w:rPr>
          <w:sz w:val="20"/>
          <w:szCs w:val="20"/>
          <w:color w:val="auto"/>
        </w:rPr>
      </w:pPr>
    </w:p>
    <w:p>
      <w:pPr>
        <w:jc w:val="both"/>
        <w:ind w:firstLine="464"/>
        <w:spacing w:after="0" w:line="295" w:lineRule="auto"/>
        <w:rPr>
          <w:sz w:val="20"/>
          <w:szCs w:val="20"/>
          <w:color w:val="auto"/>
        </w:rPr>
      </w:pPr>
      <w:r>
        <w:rPr>
          <w:rFonts w:ascii="Arial" w:cs="Arial" w:eastAsia="Arial" w:hAnsi="Arial"/>
          <w:sz w:val="15"/>
          <w:szCs w:val="15"/>
          <w:color w:val="auto"/>
        </w:rPr>
        <w:t>As our business has grown, our MAUs increased each year from 2018 through 2020. This increase is due to a number of factors including, but not limited to, our continued expansion into new markets, further investments in our existing markets, increase in marketing spend, including web advertising, and the general increased awareness of our platform as the cannabis industry has grown and jurisdictions experience continued legalization of cannabis for medical and/or adult use. We also believe we were increasingly efficient with our marketing spend and, therefore, have been able to acquire users at lower costs. However, as our platform has grown organically, our MAU growth rates have at times naturally slowed and we may experience similarly slower growth rates in the future, even if we continue to add MAUs on an absolute basis. While it is not possible to identify all drivers of a change in any given period, an increase or decrease in digital marketing spend as well as significant market shifts including the removal of clients who fail to provide valid licensing information in certain markets can have outsized impacts on MAU growth. We cannot determine what, if any, impact the pandemic had on our MAU growth in 2020.</w:t>
      </w:r>
    </w:p>
    <w:p>
      <w:pPr>
        <w:spacing w:after="0" w:line="5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Since the beginning of the pandemic, we have continued to grow our MAUs, reaching 13.9 million at September 30, 2021. While we believe, like other industries, the pandemic accelerated existing trends towards consumer adoption of online platforms, we cannot be certain to what impact, if any, the end of the pandemic will have on our MAUs or MAU growth.</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believe as we increase MAUs, we increase the value of our bundled SaaS solutions to business customers.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Current definition:</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520" w:type="dxa"/>
            <w:vAlign w:val="bottom"/>
          </w:tcPr>
          <w:p>
            <w:pPr>
              <w:spacing w:after="0"/>
              <w:rPr>
                <w:sz w:val="15"/>
                <w:szCs w:val="15"/>
                <w:color w:val="auto"/>
              </w:rPr>
            </w:pPr>
          </w:p>
        </w:tc>
        <w:tc>
          <w:tcPr>
            <w:tcW w:w="2720" w:type="dxa"/>
            <w:vAlign w:val="bottom"/>
            <w:gridSpan w:val="3"/>
          </w:tcPr>
          <w:p>
            <w:pPr>
              <w:ind w:left="780"/>
              <w:spacing w:after="0"/>
              <w:rPr>
                <w:sz w:val="20"/>
                <w:szCs w:val="20"/>
                <w:color w:val="auto"/>
              </w:rPr>
            </w:pPr>
            <w:r>
              <w:rPr>
                <w:rFonts w:ascii="Arial" w:cs="Arial" w:eastAsia="Arial" w:hAnsi="Arial"/>
                <w:sz w:val="14"/>
                <w:szCs w:val="14"/>
                <w:b w:val="1"/>
                <w:bCs w:val="1"/>
                <w:color w:val="auto"/>
              </w:rPr>
              <w:t>As of September 30,</w:t>
            </w:r>
          </w:p>
        </w:tc>
      </w:tr>
      <w:tr>
        <w:trPr>
          <w:trHeight w:val="24"/>
        </w:trPr>
        <w:tc>
          <w:tcPr>
            <w:tcW w:w="85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85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132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9"/>
              </w:rPr>
              <w:t>13,907</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r>
      <w:tr>
        <w:trPr>
          <w:trHeight w:val="630"/>
        </w:trPr>
        <w:tc>
          <w:tcPr>
            <w:tcW w:w="8520" w:type="dxa"/>
            <w:vAlign w:val="bottom"/>
          </w:tcPr>
          <w:p>
            <w:pPr>
              <w:spacing w:after="0"/>
              <w:rPr>
                <w:sz w:val="20"/>
                <w:szCs w:val="20"/>
                <w:color w:val="auto"/>
              </w:rPr>
            </w:pPr>
            <w:r>
              <w:rPr>
                <w:rFonts w:ascii="Arial" w:cs="Arial" w:eastAsia="Arial" w:hAnsi="Arial"/>
                <w:sz w:val="17"/>
                <w:szCs w:val="17"/>
                <w:i w:val="1"/>
                <w:iCs w:val="1"/>
                <w:color w:val="auto"/>
              </w:rPr>
              <w:t>Prior definition¹:</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647"/>
        </w:trPr>
        <w:tc>
          <w:tcPr>
            <w:tcW w:w="8520" w:type="dxa"/>
            <w:vAlign w:val="bottom"/>
          </w:tcPr>
          <w:p>
            <w:pPr>
              <w:spacing w:after="0"/>
              <w:rPr>
                <w:sz w:val="24"/>
                <w:szCs w:val="24"/>
                <w:color w:val="auto"/>
              </w:rPr>
            </w:pPr>
          </w:p>
        </w:tc>
        <w:tc>
          <w:tcPr>
            <w:tcW w:w="2720" w:type="dxa"/>
            <w:vAlign w:val="bottom"/>
            <w:gridSpan w:val="3"/>
          </w:tcPr>
          <w:p>
            <w:pPr>
              <w:ind w:left="780"/>
              <w:spacing w:after="0"/>
              <w:rPr>
                <w:sz w:val="20"/>
                <w:szCs w:val="20"/>
                <w:color w:val="auto"/>
              </w:rPr>
            </w:pPr>
            <w:r>
              <w:rPr>
                <w:rFonts w:ascii="Arial" w:cs="Arial" w:eastAsia="Arial" w:hAnsi="Arial"/>
                <w:sz w:val="14"/>
                <w:szCs w:val="14"/>
                <w:b w:val="1"/>
                <w:bCs w:val="1"/>
                <w:color w:val="auto"/>
              </w:rPr>
              <w:t>As of September 30,</w:t>
            </w:r>
          </w:p>
        </w:tc>
      </w:tr>
      <w:tr>
        <w:trPr>
          <w:trHeight w:val="24"/>
        </w:trPr>
        <w:tc>
          <w:tcPr>
            <w:tcW w:w="85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72"/>
        </w:trPr>
        <w:tc>
          <w:tcPr>
            <w:tcW w:w="852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2020</w:t>
            </w:r>
          </w:p>
        </w:tc>
      </w:tr>
      <w:tr>
        <w:trPr>
          <w:trHeight w:val="213"/>
        </w:trPr>
        <w:tc>
          <w:tcPr>
            <w:tcW w:w="8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MAUs (in thousands)</w:t>
            </w:r>
          </w:p>
        </w:tc>
        <w:tc>
          <w:tcPr>
            <w:tcW w:w="1320" w:type="dxa"/>
            <w:vAlign w:val="bottom"/>
            <w:shd w:val="clear" w:color="auto" w:fill="CCEEFF"/>
          </w:tcPr>
          <w:p>
            <w:pPr>
              <w:ind w:left="780"/>
              <w:spacing w:after="0"/>
              <w:rPr>
                <w:sz w:val="20"/>
                <w:szCs w:val="20"/>
                <w:color w:val="auto"/>
              </w:rPr>
            </w:pPr>
            <w:r>
              <w:rPr>
                <w:rFonts w:ascii="Arial" w:cs="Arial" w:eastAsia="Arial" w:hAnsi="Arial"/>
                <w:sz w:val="17"/>
                <w:szCs w:val="17"/>
                <w:color w:val="auto"/>
                <w:w w:val="99"/>
              </w:rPr>
              <w:t>13,028</w:t>
            </w:r>
          </w:p>
        </w:tc>
        <w:tc>
          <w:tcPr>
            <w:tcW w:w="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10,185</w:t>
            </w:r>
          </w:p>
        </w:tc>
      </w:tr>
    </w:tbl>
    <w:p>
      <w:pPr>
        <w:spacing w:after="0" w:line="69"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w:t>
      </w:r>
    </w:p>
    <w:p>
      <w:pPr>
        <w:spacing w:after="0" w:line="7" w:lineRule="exact"/>
        <w:rPr>
          <w:sz w:val="20"/>
          <w:szCs w:val="20"/>
          <w:color w:val="auto"/>
        </w:rPr>
      </w:pPr>
    </w:p>
    <w:p>
      <w:pPr>
        <w:ind w:firstLine="3"/>
        <w:spacing w:after="0" w:line="283" w:lineRule="auto"/>
        <w:tabs>
          <w:tab w:leader="none" w:pos="89" w:val="left"/>
        </w:tabs>
        <w:numPr>
          <w:ilvl w:val="0"/>
          <w:numId w:val="22"/>
        </w:numPr>
        <w:rPr>
          <w:rFonts w:ascii="Arial" w:cs="Arial" w:eastAsia="Arial" w:hAnsi="Arial"/>
          <w:sz w:val="14"/>
          <w:szCs w:val="14"/>
          <w:color w:val="auto"/>
        </w:rPr>
      </w:pPr>
      <w:r>
        <w:rPr>
          <w:rFonts w:ascii="Arial" w:cs="Arial" w:eastAsia="Arial" w:hAnsi="Arial"/>
          <w:sz w:val="14"/>
          <w:szCs w:val="14"/>
          <w:color w:val="auto"/>
        </w:rPr>
        <w:t>When calculating our MAUs, we previously excluded the MAUs attributed to the Learn section of weedmaps.com, which we began tracking in March 2021. We believe including MAUs from the Learn section of weedmaps.com more accurately reflects our total MAUs. MAUs as of dates prior to March 31, 2021 do not include MAUs from our Learn section.</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Factors Affecting Our Performance</w:t>
      </w:r>
    </w:p>
    <w:p>
      <w:pPr>
        <w:spacing w:after="0" w:line="3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of Our Two-Sided Weedmaps Listings Marketplace</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have historically grown through and intend to focus on continuing to grow through the expansion of our two-sided listings marketplace, which occurs through growth of the number and type of businesses and consumers that we attract to our platform. We believe that expansion of the number and types of cannabis businesses that choose to list on our platform will continue to make our platform more compelling for consumers and drive traffic and consumer engagement, which in turn will make our platform more valuable to cannabis businesses.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Growth and Retention of Our Paying Clients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Our revenue grows primarily through acquiring and retaining paying clients and increasing the revenue per paying client over time. We have a history of attracting new paying clients and increasing their annual spend with us over time, primarily due to the value they receive once they are onboarded and able to take advantage of the benefits of participating in our two-sided</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240"/>
          </w:cols>
          <w:pgMar w:left="320" w:top="230"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marketplace and leveraging our software solutions. Our monthly net dollar retention, which is defined as total revenue from clients in a given month who were paying clients in the immediately preceding month, averaged at 101% in the first nine months of 2021. Our monthly net dollar retention averaged 100% for the eleven months between February 1 and December 31, 2020 (we exclude January 2020 given the high level of client churn that we experienced as a result of our decision to remove clients in California who failed to provide valid licensing information at the end of 2019). We removed our paid Canada-based retail operator clients who failed to provide valid license information beginning in September 2020 (following the earlier removal of such Canada-based clients who were receiving free listing subscriptions), which resulted in a decrease in our overall net dollar retention by 7% for the period from September 2020 to December 2020. For fiscal years 2018-2019, our monthly net dollar retention averaged 98%.</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Regulation and Maturation of Cannabis Markets</w:t>
      </w:r>
    </w:p>
    <w:p>
      <w:pPr>
        <w:spacing w:after="0" w:line="114"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We believe that we will have significant opportunities for greater growth as more jurisdictions legalize cannabis for medical and/or adult use and the regulatory environment continues to develop. Thirty-seven U.S. states, the District of Columbia, Puerto Rico, and several U.S. territories have legalized some form of whole-plant cannabis cultivation, sales, and use for certain medical purposes. Eighteen of those states and the District of Columbia have also legalized cannabis use by adults for non-medical or adult-use purposes, and several other states are at various stages of similar legalization measures. We intend to explore new expansion opportunities as additional jurisdictions legalize cannabis for medical or adult use and leverage our business model informed by our 13-year operating history to enter new markets.</w:t>
      </w:r>
    </w:p>
    <w:p>
      <w:pPr>
        <w:spacing w:after="0" w:line="8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We also have a significant opportunity to monetize transactions originating from users engaging with a retailer on the Weedmaps listings marketplace or tracked via one of our WM Business solutions. Given U.S. federal prohibitions on plant-touching businesses and our current policy not to participate in the chain of commerce associated with the sale of cannabis products, we do not charge take-rates or payment fees for transactions originating from users who engage with a retailer on the Weedmaps platform or tracked via one of our WM Business solutions. A change in U.S. federal regulations could result in our ability to engage in such monetization efforts without adverse consequences to our business.</w:t>
      </w:r>
    </w:p>
    <w:p>
      <w:pPr>
        <w:spacing w:after="0" w:line="8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Our long-term growth depends on our ability to successfully capitalize on new and existing cannabis markets. Each market must reach a critical mass of both cannabis businesses and consumers for listing subscriptions, advertising placements and other solutions to have meaningful appeal to potential clients. As regulated markets mature and as we incur expenses to attract paying clients and convert non-paying clients to paying clients, we may generate losses in new markets for an extended period.</w:t>
      </w:r>
    </w:p>
    <w:p>
      <w:pPr>
        <w:spacing w:after="0" w:line="75"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Furthermore, we compete with cannabis-focused and general two-sided marketplaces, internet search engines, and various other newspaper, television and media companies and other software providers. We expect competition to intensify in the future as the regulatory regime for cannabis becomes more settled and the legal market for cannabis becomes more accepted, which may encourage new participants to enter the market, including established companies with substantially greater financial, technical and other resources than existing market participants. Our current and future competitors may also enjoy other competitive advantages, such as greater name recognition, more offerings and larger marketing budgets.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Brand Recognition and Reputation</w:t>
      </w:r>
    </w:p>
    <w:p>
      <w:pPr>
        <w:spacing w:after="0" w:line="114" w:lineRule="exact"/>
        <w:rPr>
          <w:sz w:val="20"/>
          <w:szCs w:val="20"/>
          <w:color w:val="auto"/>
        </w:rPr>
      </w:pPr>
    </w:p>
    <w:p>
      <w:pPr>
        <w:jc w:val="both"/>
        <w:ind w:firstLine="464"/>
        <w:spacing w:after="0" w:line="299" w:lineRule="auto"/>
        <w:rPr>
          <w:sz w:val="20"/>
          <w:szCs w:val="20"/>
          <w:color w:val="auto"/>
        </w:rPr>
      </w:pPr>
      <w:r>
        <w:rPr>
          <w:rFonts w:ascii="Arial" w:cs="Arial" w:eastAsia="Arial" w:hAnsi="Arial"/>
          <w:sz w:val="15"/>
          <w:szCs w:val="15"/>
          <w:color w:val="auto"/>
        </w:rPr>
        <w:t>We believe that maintaining and enhancing our brand identity and our reputation is critical to maintaining and growing our relationships with clients and consumers and to our ability to attract new clients and consumers. Historically, a substantial majority of our marketing spending was on out-of-home advertising on billboards, buses and other non-digital outlets. Starting in 2019, consistent with the overall shift in perceptions regarding cannabis, a number of demand-side digital advertising platforms allowed us to advertise online. We also invested in growing our internal digital performance advertising team. We believe there is an opportunity to improve market efficiency through digital channels and expect to shift our marketing spending accordingly. Over the longer term, we expect to shift and accelerate our marketing spend to additional online and traditional channels, such as broadcast television or radio, as they become available to us.</w:t>
      </w:r>
    </w:p>
    <w:p>
      <w:pPr>
        <w:spacing w:after="0" w:line="51"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Negative publicity, whether or not justified, relating to events or activities attributed to us, our employees, clients or others associated with any of these parties, may tarnish our reputation and reduce the value of our brand. Given our high visibility and relatively long operating history compared to many of our competitors, we may be more susceptible to the risk of negative publicity. Damage to our reputation and loss of brand equity may reduce demand for our platform and have an adverse effect on our business, operating results and financial condition. Moreover, any attempts to rebuild our reputation and restore the value of our brand may be costly and time consuming, and such efforts may not ultimately be successful.</w:t>
      </w:r>
    </w:p>
    <w:p>
      <w:pPr>
        <w:spacing w:after="0" w:line="8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also believe that the importance of our brand recognition and reputation will continue to increase as competition in our market continues to develop. If our brand promotion activities are not successful, our operating results and growth may be adversely impacted.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240"/>
          </w:cols>
          <w:pgMar w:left="320" w:top="230"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Investments in Growth</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intend to continue to make focused organic and inorganic investments to grow our revenue and scale operations to support that growth.</w:t>
      </w:r>
    </w:p>
    <w:p>
      <w:pPr>
        <w:spacing w:after="0" w:line="114" w:lineRule="exact"/>
        <w:rPr>
          <w:sz w:val="20"/>
          <w:szCs w:val="20"/>
          <w:color w:val="auto"/>
        </w:rPr>
      </w:pPr>
    </w:p>
    <w:p>
      <w:pPr>
        <w:jc w:val="both"/>
        <w:ind w:firstLine="619"/>
        <w:spacing w:after="0" w:line="299" w:lineRule="auto"/>
        <w:rPr>
          <w:sz w:val="20"/>
          <w:szCs w:val="20"/>
          <w:color w:val="auto"/>
        </w:rPr>
      </w:pPr>
      <w:r>
        <w:rPr>
          <w:rFonts w:ascii="Arial" w:cs="Arial" w:eastAsia="Arial" w:hAnsi="Arial"/>
          <w:sz w:val="15"/>
          <w:szCs w:val="15"/>
          <w:color w:val="auto"/>
        </w:rPr>
        <w:t>Given our long operating history in the United States and the strength of our network, often businesses will initially list on our platform without targeted sales or marketing efforts by us. However, we plan to accelerate our investments in marketing to maintain and increase our brand awareness through both online and offline channels. We also plan to invest in expanding our business listings thereby enhancing our client and consumer experience, and improving the depth and quality of information provided on our platform. We also intend to continue to invest in several areas to continue enhancing the functionality of our WM Business offering. We expect significant near-term investments to enhance our data assets and evolve our current listings and software offerings to our brand clients, among other areas. We anticipate undertaking such investments in order to be positioned to capitalize on the rapidly expanding cannabis market.</w:t>
      </w:r>
    </w:p>
    <w:p>
      <w:pPr>
        <w:spacing w:after="0" w:line="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During the three months ended September 30, 2021, we completed two acquisitions.</w:t>
      </w:r>
    </w:p>
    <w:p>
      <w:pPr>
        <w:spacing w:after="0" w:line="11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On September 3, 2021, the Company acquired certain assets of the Sprout business (“Sprout"), a leading, cloud-based customer relationship management (“CRM”) and marketing platform for the cannabis industry.</w:t>
      </w:r>
    </w:p>
    <w:p>
      <w:pPr>
        <w:spacing w:after="0" w:line="6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September 29, 2021, the Company acquired all of the equity interests of Transport Logistics Holding Company, LLC (“TLH”), which is the parent company of Cannveya &amp; CannCurrent. Cannveya is a logistics platform that enables the compliant delivery of cannabis and CannCurrent is a technology integrations and connectors platform facilitating custom integrations with third party technology providers.</w:t>
      </w:r>
    </w:p>
    <w:p>
      <w:pPr>
        <w:spacing w:after="0" w:line="7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are working towards the integration of these businesses and will invest in them appropriately to scale both solutions in the fiscal year 2022. We will also continue to explore inorganic opportunities that can help support and accelerate growth opportunities and new market openings.</w:t>
      </w:r>
    </w:p>
    <w:p>
      <w:pPr>
        <w:spacing w:after="0" w:line="6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operating expenses and capital expenditures fluctuate over time, we may accordingly experience short-term, negative impacts to our operating results and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Components of Our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generate revenue from the sale of our subscription offerings, which consist of access to the Weedmaps listings marketplace and SaaS solutions, as well as our additional offerings, which include featured listings placements, nearby listings, deal promotions and display advertising products. Our subscriptions generally have one-month terms that automatically renew unless notice of cancellation is provided in advance. We have a fixed inventory of featured listing and display advertising in each market, and price is generally determined through a competitive auction process that reflects local market demand, though we are testing a more dynamic, performance-based pricing model for these solutions across several markets. We also have generated revenue in the past on delivery orders placed through weedmaps.com, though this revenue was discontinued effective January 1, 2021, when we migrated clients to our new WM Business subscription offering. For clients that pay us in advance for listing and placement subscriptions services we record deferred revenue and recognizes revenue over the applicable subscription term.</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Cost of Revenue</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Cost of revenue primarily consists of web hosting, internet service, and credit card processing costs. Cost of sales is primarily driven by increases in revenue leading to increases in credit card processing and web hosting cost. We expect our cost of revenue to continue to increase on an absolute basis and remain relatively flat as a percentage of revenue as we scale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Selling and Marketing Expenses</w:t>
      </w:r>
    </w:p>
    <w:p>
      <w:pPr>
        <w:spacing w:after="0" w:line="114" w:lineRule="exact"/>
        <w:rPr>
          <w:sz w:val="20"/>
          <w:szCs w:val="20"/>
          <w:color w:val="auto"/>
        </w:rPr>
      </w:pPr>
    </w:p>
    <w:p>
      <w:pPr>
        <w:jc w:val="both"/>
        <w:ind w:firstLine="464"/>
        <w:spacing w:after="0" w:line="307" w:lineRule="auto"/>
        <w:rPr>
          <w:sz w:val="20"/>
          <w:szCs w:val="20"/>
          <w:color w:val="auto"/>
        </w:rPr>
      </w:pPr>
      <w:r>
        <w:rPr>
          <w:rFonts w:ascii="Arial" w:cs="Arial" w:eastAsia="Arial" w:hAnsi="Arial"/>
          <w:sz w:val="15"/>
          <w:szCs w:val="15"/>
          <w:color w:val="auto"/>
        </w:rPr>
        <w:t>Selling and marketing expenses consist of salaries, benefits, travel expense and incentive compensation for our sales and marketing employees. In addition, sales and marketing expenses include business acquisition marketing, events cost, and branding and advertising costs. We expect our sales and marketing expenses to increase on an absolute basis as we enter new markets. Over the longer term, we expect sales and marketing expense to increase in a manner consistent with revenue growth, however, we may experience fluctuations in some periods as we enter and develop new markets or have large one-time marketing projects.</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230"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Development Expenses</w:t>
      </w:r>
    </w:p>
    <w:p>
      <w:pPr>
        <w:spacing w:after="0" w:line="114"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Product development costs consist of salaries and benefits for employees, including engineering and technical teams who are responsible for building new products, as well as maintaining and improving existing products. Product development costs that do not meet the criteria for capitalization are expensed as incurred. The majority of our new software development costs have historically been expensed. We believe that continued investment in our platform is important for our growth and expect our product development expenses will increase in a manner consistent with revenue growth as our operations grow.</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and Administrative Expenses</w:t>
      </w:r>
    </w:p>
    <w:p>
      <w:pPr>
        <w:spacing w:after="0" w:line="114"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General and administrative expenses consist primarily of payroll and related benefit costs for our employees involved in general corporate functions including our senior leadership team as well as costs associated with the use by these functions of software and facilities and equipment, such as rent, insurance, and other occupancy expenses. General and administrative expenses also include professional and outside services related to legal and other consulting services. General and administrative expenses are primarily driven by increases in headcount required to support business growth and meeting our obligations as a public company. We expect general and administrative expenses to decline as a percentage of revenue as we scale our business and leverage investments in these areas.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and Amortization Expenses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Depreciation and amortization expenses primarily consist of depreciation on computer equipment, furniture and fixtures, leasehold improvements, and amortization of purchased intangibles. We expect depreciation and amortization expenses to increase on an absolute basis for the foreseeable future as we scale our business.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Other expense consists primarily of political contributions, interest expense, legal settlements, financing fees and other tax related expenses. Other income consists of change in fair value of warrant liability.</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240"/>
          </w:cols>
          <w:pgMar w:left="320" w:top="230"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12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The following tables set forth our results of operations for the periods presented and express the relationship of certain line items as a percentage of net sales for those periods. The period-to-period comparison of financial results is not necessarily indicative of future results.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5060" w:type="dxa"/>
            <w:vAlign w:val="bottom"/>
          </w:tcPr>
          <w:p>
            <w:pPr>
              <w:spacing w:after="0"/>
              <w:rPr>
                <w:sz w:val="21"/>
                <w:szCs w:val="21"/>
                <w:color w:val="auto"/>
              </w:rPr>
            </w:pPr>
          </w:p>
        </w:tc>
        <w:tc>
          <w:tcPr>
            <w:tcW w:w="3180" w:type="dxa"/>
            <w:vAlign w:val="bottom"/>
            <w:gridSpan w:val="6"/>
          </w:tcPr>
          <w:p>
            <w:pPr>
              <w:ind w:left="180"/>
              <w:spacing w:after="0"/>
              <w:rPr>
                <w:sz w:val="20"/>
                <w:szCs w:val="20"/>
                <w:color w:val="auto"/>
              </w:rPr>
            </w:pPr>
            <w:r>
              <w:rPr>
                <w:rFonts w:ascii="Arial" w:cs="Arial" w:eastAsia="Arial" w:hAnsi="Arial"/>
                <w:sz w:val="17"/>
                <w:szCs w:val="17"/>
                <w:b w:val="1"/>
                <w:bCs w:val="1"/>
                <w:color w:val="auto"/>
              </w:rPr>
              <w:t>Three Months Ended September 30,</w:t>
            </w:r>
          </w:p>
        </w:tc>
        <w:tc>
          <w:tcPr>
            <w:tcW w:w="160" w:type="dxa"/>
            <w:vAlign w:val="bottom"/>
          </w:tcPr>
          <w:p>
            <w:pPr>
              <w:spacing w:after="0"/>
              <w:rPr>
                <w:sz w:val="21"/>
                <w:szCs w:val="21"/>
                <w:color w:val="auto"/>
              </w:rPr>
            </w:pPr>
          </w:p>
        </w:tc>
        <w:tc>
          <w:tcPr>
            <w:tcW w:w="2840" w:type="dxa"/>
            <w:vAlign w:val="bottom"/>
            <w:gridSpan w:val="4"/>
          </w:tcPr>
          <w:p>
            <w:pPr>
              <w:jc w:val="right"/>
              <w:ind w:right="134"/>
              <w:spacing w:after="0"/>
              <w:rPr>
                <w:sz w:val="20"/>
                <w:szCs w:val="20"/>
                <w:color w:val="auto"/>
              </w:rPr>
            </w:pPr>
            <w:r>
              <w:rPr>
                <w:rFonts w:ascii="Arial" w:cs="Arial" w:eastAsia="Arial" w:hAnsi="Arial"/>
                <w:sz w:val="17"/>
                <w:szCs w:val="17"/>
                <w:b w:val="1"/>
                <w:bCs w:val="1"/>
                <w:color w:val="auto"/>
                <w:w w:val="92"/>
              </w:rPr>
              <w:t>Nine Months Ended September 30,</w:t>
            </w:r>
          </w:p>
        </w:tc>
      </w:tr>
      <w:tr>
        <w:trPr>
          <w:trHeight w:val="213"/>
        </w:trPr>
        <w:tc>
          <w:tcPr>
            <w:tcW w:w="50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c>
          <w:tcPr>
            <w:tcW w:w="160" w:type="dxa"/>
            <w:vAlign w:val="bottom"/>
            <w:tcBorders>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2020</w:t>
            </w:r>
          </w:p>
        </w:tc>
      </w:tr>
      <w:tr>
        <w:trPr>
          <w:trHeight w:val="212"/>
        </w:trPr>
        <w:tc>
          <w:tcPr>
            <w:tcW w:w="5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40" w:type="dxa"/>
            <w:vAlign w:val="bottom"/>
            <w:gridSpan w:val="5"/>
          </w:tcPr>
          <w:p>
            <w:pPr>
              <w:ind w:left="700"/>
              <w:spacing w:after="0"/>
              <w:rPr>
                <w:sz w:val="20"/>
                <w:szCs w:val="20"/>
                <w:color w:val="auto"/>
              </w:rPr>
            </w:pPr>
            <w:r>
              <w:rPr>
                <w:rFonts w:ascii="Arial" w:cs="Arial" w:eastAsia="Arial" w:hAnsi="Arial"/>
                <w:sz w:val="17"/>
                <w:szCs w:val="17"/>
                <w:b w:val="1"/>
                <w:bCs w:val="1"/>
                <w:color w:val="auto"/>
              </w:rPr>
              <w:t>(in thousands)</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50,884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46,505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138,969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r>
      <w:tr>
        <w:trPr>
          <w:trHeight w:val="245"/>
        </w:trPr>
        <w:tc>
          <w:tcPr>
            <w:tcW w:w="5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19"/>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5060" w:type="dxa"/>
            <w:vAlign w:val="bottom"/>
          </w:tcPr>
          <w:p>
            <w:pPr>
              <w:ind w:left="180"/>
              <w:spacing w:after="0"/>
              <w:rPr>
                <w:sz w:val="20"/>
                <w:szCs w:val="20"/>
                <w:color w:val="auto"/>
              </w:rPr>
            </w:pPr>
            <w:r>
              <w:rPr>
                <w:rFonts w:ascii="Arial" w:cs="Arial" w:eastAsia="Arial" w:hAnsi="Arial"/>
                <w:sz w:val="17"/>
                <w:szCs w:val="17"/>
                <w:color w:val="auto"/>
              </w:rPr>
              <w:t>Cost of revenues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2,035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5,800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5,572</w:t>
            </w:r>
          </w:p>
        </w:tc>
      </w:tr>
      <w:tr>
        <w:trPr>
          <w:trHeight w:val="22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12,806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7,384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37,194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21,437</w:t>
            </w:r>
          </w:p>
        </w:tc>
      </w:tr>
      <w:tr>
        <w:trPr>
          <w:trHeight w:val="218"/>
        </w:trPr>
        <w:tc>
          <w:tcPr>
            <w:tcW w:w="5060" w:type="dxa"/>
            <w:vAlign w:val="bottom"/>
          </w:tcPr>
          <w:p>
            <w:pPr>
              <w:ind w:left="180"/>
              <w:spacing w:after="0"/>
              <w:rPr>
                <w:sz w:val="20"/>
                <w:szCs w:val="20"/>
                <w:color w:val="auto"/>
              </w:rPr>
            </w:pPr>
            <w:r>
              <w:rPr>
                <w:rFonts w:ascii="Arial" w:cs="Arial" w:eastAsia="Arial" w:hAnsi="Arial"/>
                <w:sz w:val="17"/>
                <w:szCs w:val="17"/>
                <w:color w:val="auto"/>
              </w:rPr>
              <w:t>Product development</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7,782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6,923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25,921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20,325</w:t>
            </w:r>
          </w:p>
        </w:tc>
      </w:tr>
      <w:tr>
        <w:trPr>
          <w:trHeight w:val="22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23,220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70,356</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37,147</w:t>
            </w:r>
          </w:p>
        </w:tc>
      </w:tr>
      <w:tr>
        <w:trPr>
          <w:trHeight w:val="218"/>
        </w:trPr>
        <w:tc>
          <w:tcPr>
            <w:tcW w:w="506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Depreciation and amortization</w:t>
            </w:r>
          </w:p>
        </w:tc>
        <w:tc>
          <w:tcPr>
            <w:tcW w:w="9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991</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2,970</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2,980</w:t>
            </w:r>
          </w:p>
        </w:tc>
      </w:tr>
      <w:tr>
        <w:trPr>
          <w:trHeight w:val="213"/>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9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8"/>
              </w:rPr>
              <w:t>46,823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30,313</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142,241</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87,461</w:t>
            </w:r>
          </w:p>
        </w:tc>
      </w:tr>
      <w:tr>
        <w:trPr>
          <w:trHeight w:val="211"/>
        </w:trPr>
        <w:tc>
          <w:tcPr>
            <w:tcW w:w="5060" w:type="dxa"/>
            <w:vAlign w:val="bottom"/>
          </w:tcPr>
          <w:p>
            <w:pPr>
              <w:ind w:left="220"/>
              <w:spacing w:after="0"/>
              <w:rPr>
                <w:sz w:val="20"/>
                <w:szCs w:val="20"/>
                <w:color w:val="auto"/>
              </w:rPr>
            </w:pPr>
            <w:r>
              <w:rPr>
                <w:rFonts w:ascii="Arial" w:cs="Arial" w:eastAsia="Arial" w:hAnsi="Arial"/>
                <w:sz w:val="17"/>
                <w:szCs w:val="17"/>
                <w:color w:val="auto"/>
              </w:rPr>
              <w:t>Operating income (loss)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4,061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16,192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(3,272)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30,009</w:t>
            </w: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18"/>
        </w:trPr>
        <w:tc>
          <w:tcPr>
            <w:tcW w:w="5060" w:type="dxa"/>
            <w:vAlign w:val="bottom"/>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45,837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83,628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50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9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(6,341)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(1,277)</w:t>
            </w:r>
          </w:p>
        </w:tc>
      </w:tr>
      <w:tr>
        <w:trPr>
          <w:trHeight w:val="211"/>
        </w:trPr>
        <w:tc>
          <w:tcPr>
            <w:tcW w:w="5060" w:type="dxa"/>
            <w:vAlign w:val="bottom"/>
          </w:tcPr>
          <w:p>
            <w:pPr>
              <w:ind w:left="220"/>
              <w:spacing w:after="0"/>
              <w:rPr>
                <w:sz w:val="20"/>
                <w:szCs w:val="20"/>
                <w:color w:val="auto"/>
              </w:rPr>
            </w:pPr>
            <w:r>
              <w:rPr>
                <w:rFonts w:ascii="Arial" w:cs="Arial" w:eastAsia="Arial" w:hAnsi="Arial"/>
                <w:sz w:val="17"/>
                <w:szCs w:val="17"/>
                <w:color w:val="auto"/>
              </w:rPr>
              <w:t>Income before income taxes</w:t>
            </w:r>
          </w:p>
        </w:tc>
        <w:tc>
          <w:tcPr>
            <w:tcW w:w="9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49,598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74,015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28,732</w:t>
            </w:r>
          </w:p>
        </w:tc>
      </w:tr>
      <w:tr>
        <w:trPr>
          <w:trHeight w:val="220"/>
        </w:trPr>
        <w:tc>
          <w:tcPr>
            <w:tcW w:w="50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1"/>
        </w:trPr>
        <w:tc>
          <w:tcPr>
            <w:tcW w:w="5060" w:type="dxa"/>
            <w:vAlign w:val="bottom"/>
          </w:tcPr>
          <w:p>
            <w:pPr>
              <w:ind w:left="120"/>
              <w:spacing w:after="0"/>
              <w:rPr>
                <w:sz w:val="20"/>
                <w:szCs w:val="20"/>
                <w:color w:val="auto"/>
              </w:rPr>
            </w:pPr>
            <w:r>
              <w:rPr>
                <w:rFonts w:ascii="Arial" w:cs="Arial" w:eastAsia="Arial" w:hAnsi="Arial"/>
                <w:sz w:val="17"/>
                <w:szCs w:val="17"/>
                <w:color w:val="auto"/>
              </w:rPr>
              <w:t>Net income</w:t>
            </w:r>
          </w:p>
        </w:tc>
        <w:tc>
          <w:tcPr>
            <w:tcW w:w="9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88"/>
              </w:rPr>
              <w:t>49,205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15,530</w:t>
            </w: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73,773</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28,732</w:t>
            </w:r>
          </w:p>
        </w:tc>
      </w:tr>
      <w:tr>
        <w:trPr>
          <w:trHeight w:val="219"/>
        </w:trPr>
        <w:tc>
          <w:tcPr>
            <w:tcW w:w="5060" w:type="dxa"/>
            <w:vAlign w:val="bottom"/>
            <w:shd w:val="clear" w:color="auto" w:fill="CCEEFF"/>
          </w:tcPr>
          <w:p>
            <w:pPr>
              <w:ind w:left="120"/>
              <w:spacing w:after="0"/>
              <w:rPr>
                <w:sz w:val="20"/>
                <w:szCs w:val="20"/>
                <w:color w:val="auto"/>
              </w:rPr>
            </w:pPr>
            <w:r>
              <w:rPr>
                <w:rFonts w:ascii="Arial" w:cs="Arial" w:eastAsia="Arial" w:hAnsi="Arial"/>
                <w:sz w:val="17"/>
                <w:szCs w:val="17"/>
                <w:color w:val="auto"/>
              </w:rPr>
              <w:t>Net income attributable to noncontrolling interests</w:t>
            </w:r>
          </w:p>
        </w:tc>
        <w:tc>
          <w:tcPr>
            <w:tcW w:w="9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8"/>
              </w:rPr>
              <w:t>28,370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060" w:type="dxa"/>
            <w:vAlign w:val="bottom"/>
          </w:tcPr>
          <w:p>
            <w:pPr>
              <w:ind w:left="120"/>
              <w:spacing w:after="0"/>
              <w:rPr>
                <w:sz w:val="20"/>
                <w:szCs w:val="20"/>
                <w:color w:val="auto"/>
              </w:rPr>
            </w:pPr>
            <w:r>
              <w:rPr>
                <w:rFonts w:ascii="Arial" w:cs="Arial" w:eastAsia="Arial" w:hAnsi="Arial"/>
                <w:sz w:val="17"/>
                <w:szCs w:val="17"/>
                <w:color w:val="auto"/>
              </w:rPr>
              <w:t>Net income attributable to WM Technology, Inc.</w:t>
            </w:r>
          </w:p>
        </w:tc>
        <w:tc>
          <w:tcPr>
            <w:tcW w:w="920" w:type="dxa"/>
            <w:vAlign w:val="bottom"/>
            <w:tcBorders>
              <w:top w:val="single" w:sz="8" w:color="auto"/>
              <w:bottom w:val="single" w:sz="8" w:color="auto"/>
            </w:tcBorders>
          </w:tcPr>
          <w:p>
            <w:pPr>
              <w:jc w:val="right"/>
              <w:ind w:right="714"/>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8"/>
              </w:rPr>
              <w:t>20,835</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15,530</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25,098</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28,732</w:t>
            </w:r>
          </w:p>
        </w:tc>
      </w:tr>
      <w:tr>
        <w:trPr>
          <w:trHeight w:val="20"/>
        </w:trPr>
        <w:tc>
          <w:tcPr>
            <w:tcW w:w="50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ectPr>
          <w:pgSz w:w="11900" w:h="16838" w:orient="portrait"/>
          <w:cols w:equalWidth="0" w:num="1">
            <w:col w:w="11240"/>
          </w:cols>
          <w:pgMar w:left="320" w:top="230" w:right="3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95"/>
        </w:trPr>
        <w:tc>
          <w:tcPr>
            <w:tcW w:w="4900" w:type="dxa"/>
            <w:vAlign w:val="bottom"/>
            <w:gridSpan w:val="2"/>
          </w:tcPr>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72"/>
        </w:trPr>
        <w:tc>
          <w:tcPr>
            <w:tcW w:w="1220" w:type="dxa"/>
            <w:vAlign w:val="bottom"/>
            <w:tcBorders>
              <w:top w:val="single" w:sz="8" w:color="0000FF"/>
            </w:tcBorders>
          </w:tcPr>
          <w:p>
            <w:pPr>
              <w:spacing w:after="0"/>
              <w:rPr>
                <w:sz w:val="24"/>
                <w:szCs w:val="24"/>
                <w:color w:val="auto"/>
              </w:rPr>
            </w:pPr>
          </w:p>
        </w:tc>
        <w:tc>
          <w:tcPr>
            <w:tcW w:w="3680" w:type="dxa"/>
            <w:vAlign w:val="bottom"/>
          </w:tcPr>
          <w:p>
            <w:pPr>
              <w:spacing w:after="0"/>
              <w:rPr>
                <w:sz w:val="24"/>
                <w:szCs w:val="24"/>
                <w:color w:val="auto"/>
              </w:rPr>
            </w:pPr>
          </w:p>
        </w:tc>
        <w:tc>
          <w:tcPr>
            <w:tcW w:w="3180" w:type="dxa"/>
            <w:vAlign w:val="bottom"/>
            <w:gridSpan w:val="8"/>
          </w:tcPr>
          <w:p>
            <w:pPr>
              <w:jc w:val="right"/>
              <w:ind w:right="300"/>
              <w:spacing w:after="0"/>
              <w:rPr>
                <w:sz w:val="20"/>
                <w:szCs w:val="20"/>
                <w:color w:val="auto"/>
              </w:rPr>
            </w:pPr>
            <w:r>
              <w:rPr>
                <w:rFonts w:ascii="Arial" w:cs="Arial" w:eastAsia="Arial" w:hAnsi="Arial"/>
                <w:sz w:val="17"/>
                <w:szCs w:val="17"/>
                <w:b w:val="1"/>
                <w:bCs w:val="1"/>
                <w:color w:val="auto"/>
                <w:w w:val="98"/>
              </w:rPr>
              <w:t>Three Months Ended 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w w:val="91"/>
              </w:rPr>
              <w:t>Nine Months Ended September 30,</w:t>
            </w:r>
          </w:p>
        </w:tc>
        <w:tc>
          <w:tcPr>
            <w:tcW w:w="0" w:type="dxa"/>
            <w:vAlign w:val="bottom"/>
          </w:tcPr>
          <w:p>
            <w:pPr>
              <w:spacing w:after="0"/>
              <w:rPr>
                <w:sz w:val="1"/>
                <w:szCs w:val="1"/>
                <w:color w:val="auto"/>
              </w:rPr>
            </w:pPr>
          </w:p>
        </w:tc>
      </w:tr>
      <w:tr>
        <w:trPr>
          <w:trHeight w:val="213"/>
        </w:trPr>
        <w:tc>
          <w:tcPr>
            <w:tcW w:w="1220" w:type="dxa"/>
            <w:vAlign w:val="bottom"/>
            <w:tcBorders>
              <w:bottom w:val="single" w:sz="8" w:color="CCEEFF"/>
            </w:tcBorders>
          </w:tcPr>
          <w:p>
            <w:pPr>
              <w:spacing w:after="0"/>
              <w:rPr>
                <w:sz w:val="18"/>
                <w:szCs w:val="18"/>
                <w:color w:val="auto"/>
              </w:rPr>
            </w:pPr>
          </w:p>
        </w:tc>
        <w:tc>
          <w:tcPr>
            <w:tcW w:w="368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45"/>
        </w:trPr>
        <w:tc>
          <w:tcPr>
            <w:tcW w:w="49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Cost of revenues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5 %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Sales and marketing</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18 %</w:t>
            </w:r>
          </w:p>
        </w:tc>
        <w:tc>
          <w:tcPr>
            <w:tcW w:w="0" w:type="dxa"/>
            <w:vAlign w:val="bottom"/>
          </w:tcPr>
          <w:p>
            <w:pPr>
              <w:spacing w:after="0"/>
              <w:rPr>
                <w:sz w:val="1"/>
                <w:szCs w:val="1"/>
                <w:color w:val="auto"/>
              </w:rPr>
            </w:pPr>
          </w:p>
        </w:tc>
      </w:tr>
      <w:tr>
        <w:trPr>
          <w:trHeight w:val="218"/>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Product development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15 %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19 %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17 %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General and administrative</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32 %</w:t>
            </w:r>
          </w:p>
        </w:tc>
        <w:tc>
          <w:tcPr>
            <w:tcW w:w="0" w:type="dxa"/>
            <w:vAlign w:val="bottom"/>
          </w:tcPr>
          <w:p>
            <w:pPr>
              <w:spacing w:after="0"/>
              <w:rPr>
                <w:sz w:val="1"/>
                <w:szCs w:val="1"/>
                <w:color w:val="auto"/>
              </w:rPr>
            </w:pPr>
          </w:p>
        </w:tc>
      </w:tr>
      <w:tr>
        <w:trPr>
          <w:trHeight w:val="218"/>
        </w:trPr>
        <w:tc>
          <w:tcPr>
            <w:tcW w:w="4900" w:type="dxa"/>
            <w:vAlign w:val="bottom"/>
            <w:tcBorders>
              <w:bottom w:val="single" w:sz="8" w:color="CCEEFF"/>
            </w:tcBorders>
            <w:gridSpan w:val="2"/>
          </w:tcPr>
          <w:p>
            <w:pPr>
              <w:ind w:left="180"/>
              <w:spacing w:after="0"/>
              <w:rPr>
                <w:sz w:val="20"/>
                <w:szCs w:val="20"/>
                <w:color w:val="auto"/>
              </w:rPr>
            </w:pPr>
            <w:r>
              <w:rPr>
                <w:rFonts w:ascii="Arial" w:cs="Arial" w:eastAsia="Arial" w:hAnsi="Arial"/>
                <w:sz w:val="17"/>
                <w:szCs w:val="17"/>
                <w:color w:val="auto"/>
              </w:rPr>
              <w:t>Depreciation and amortization</w:t>
            </w:r>
          </w:p>
        </w:tc>
        <w:tc>
          <w:tcPr>
            <w:tcW w:w="2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2 %</w:t>
            </w:r>
          </w:p>
        </w:tc>
        <w:tc>
          <w:tcPr>
            <w:tcW w:w="8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3 %</w:t>
            </w:r>
          </w:p>
        </w:tc>
        <w:tc>
          <w:tcPr>
            <w:tcW w:w="0" w:type="dxa"/>
            <w:vAlign w:val="bottom"/>
          </w:tcPr>
          <w:p>
            <w:pPr>
              <w:spacing w:after="0"/>
              <w:rPr>
                <w:sz w:val="1"/>
                <w:szCs w:val="1"/>
                <w:color w:val="auto"/>
              </w:rPr>
            </w:pPr>
          </w:p>
        </w:tc>
      </w:tr>
      <w:tr>
        <w:trPr>
          <w:trHeight w:val="213"/>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Total operating expenses</w:t>
            </w:r>
          </w:p>
        </w:tc>
        <w:tc>
          <w:tcPr>
            <w:tcW w:w="2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92 %</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65 %</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102 %</w:t>
            </w:r>
          </w:p>
        </w:tc>
        <w:tc>
          <w:tcPr>
            <w:tcW w:w="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74 %</w:t>
            </w:r>
          </w:p>
        </w:tc>
        <w:tc>
          <w:tcPr>
            <w:tcW w:w="0" w:type="dxa"/>
            <w:vAlign w:val="bottom"/>
          </w:tcPr>
          <w:p>
            <w:pPr>
              <w:spacing w:after="0"/>
              <w:rPr>
                <w:sz w:val="1"/>
                <w:szCs w:val="1"/>
                <w:color w:val="auto"/>
              </w:rPr>
            </w:pPr>
          </w:p>
        </w:tc>
      </w:tr>
      <w:tr>
        <w:trPr>
          <w:trHeight w:val="211"/>
        </w:trPr>
        <w:tc>
          <w:tcPr>
            <w:tcW w:w="4900" w:type="dxa"/>
            <w:vAlign w:val="bottom"/>
            <w:gridSpan w:val="2"/>
          </w:tcPr>
          <w:p>
            <w:pPr>
              <w:ind w:left="220"/>
              <w:spacing w:after="0"/>
              <w:rPr>
                <w:sz w:val="20"/>
                <w:szCs w:val="20"/>
                <w:color w:val="auto"/>
              </w:rPr>
            </w:pPr>
            <w:r>
              <w:rPr>
                <w:rFonts w:ascii="Arial" w:cs="Arial" w:eastAsia="Arial" w:hAnsi="Arial"/>
                <w:sz w:val="17"/>
                <w:szCs w:val="17"/>
                <w:color w:val="auto"/>
              </w:rPr>
              <w:t>Operating income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35 %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26 %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900" w:type="dxa"/>
            <w:vAlign w:val="bottom"/>
            <w:gridSpan w:val="2"/>
          </w:tcPr>
          <w:p>
            <w:pPr>
              <w:ind w:left="180"/>
              <w:spacing w:after="0"/>
              <w:rPr>
                <w:sz w:val="20"/>
                <w:szCs w:val="20"/>
                <w:color w:val="auto"/>
              </w:rPr>
            </w:pPr>
            <w:r>
              <w:rPr>
                <w:rFonts w:ascii="Arial" w:cs="Arial" w:eastAsia="Arial" w:hAnsi="Arial"/>
                <w:sz w:val="17"/>
                <w:szCs w:val="17"/>
                <w:color w:val="auto"/>
              </w:rPr>
              <w:t>Change in fair value of warrant liability</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90 %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0 %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60 %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Other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1"/>
        </w:trPr>
        <w:tc>
          <w:tcPr>
            <w:tcW w:w="4900" w:type="dxa"/>
            <w:vAlign w:val="bottom"/>
            <w:gridSpan w:val="2"/>
          </w:tcPr>
          <w:p>
            <w:pPr>
              <w:ind w:left="220"/>
              <w:spacing w:after="0"/>
              <w:rPr>
                <w:sz w:val="20"/>
                <w:szCs w:val="20"/>
                <w:color w:val="auto"/>
              </w:rPr>
            </w:pPr>
            <w:r>
              <w:rPr>
                <w:rFonts w:ascii="Arial" w:cs="Arial" w:eastAsia="Arial" w:hAnsi="Arial"/>
                <w:sz w:val="17"/>
                <w:szCs w:val="17"/>
                <w:color w:val="auto"/>
              </w:rPr>
              <w:t>Income before income taxes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20"/>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211"/>
        </w:trPr>
        <w:tc>
          <w:tcPr>
            <w:tcW w:w="4900" w:type="dxa"/>
            <w:vAlign w:val="bottom"/>
            <w:gridSpan w:val="2"/>
          </w:tcPr>
          <w:p>
            <w:pPr>
              <w:ind w:left="120"/>
              <w:spacing w:after="0"/>
              <w:rPr>
                <w:sz w:val="20"/>
                <w:szCs w:val="20"/>
                <w:color w:val="auto"/>
              </w:rPr>
            </w:pPr>
            <w:r>
              <w:rPr>
                <w:rFonts w:ascii="Arial" w:cs="Arial" w:eastAsia="Arial" w:hAnsi="Arial"/>
                <w:sz w:val="17"/>
                <w:szCs w:val="17"/>
                <w:color w:val="auto"/>
              </w:rPr>
              <w:t>Net income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53 %</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Net income attributable to noncontrolling interests</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35 %</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0" w:type="dxa"/>
            <w:vAlign w:val="bottom"/>
          </w:tcPr>
          <w:p>
            <w:pPr>
              <w:spacing w:after="0"/>
              <w:rPr>
                <w:sz w:val="1"/>
                <w:szCs w:val="1"/>
                <w:color w:val="auto"/>
              </w:rPr>
            </w:pPr>
          </w:p>
        </w:tc>
      </w:tr>
      <w:tr>
        <w:trPr>
          <w:trHeight w:val="213"/>
        </w:trPr>
        <w:tc>
          <w:tcPr>
            <w:tcW w:w="4900" w:type="dxa"/>
            <w:vAlign w:val="bottom"/>
            <w:gridSpan w:val="2"/>
          </w:tcPr>
          <w:p>
            <w:pPr>
              <w:ind w:left="120"/>
              <w:spacing w:after="0"/>
              <w:rPr>
                <w:sz w:val="20"/>
                <w:szCs w:val="20"/>
                <w:color w:val="auto"/>
              </w:rPr>
            </w:pPr>
            <w:r>
              <w:rPr>
                <w:rFonts w:ascii="Arial" w:cs="Arial" w:eastAsia="Arial" w:hAnsi="Arial"/>
                <w:sz w:val="17"/>
                <w:szCs w:val="17"/>
                <w:color w:val="auto"/>
              </w:rPr>
              <w:t>Net income attributable to WM Technology, Inc.</w:t>
            </w: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41 %</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33 %</w:t>
            </w:r>
          </w:p>
        </w:tc>
        <w:tc>
          <w:tcPr>
            <w:tcW w:w="100" w:type="dxa"/>
            <w:vAlign w:val="bottom"/>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18 %</w:t>
            </w:r>
          </w:p>
        </w:tc>
        <w:tc>
          <w:tcPr>
            <w:tcW w:w="80" w:type="dxa"/>
            <w:vAlign w:val="bottom"/>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24 %</w:t>
            </w:r>
          </w:p>
        </w:tc>
        <w:tc>
          <w:tcPr>
            <w:tcW w:w="0" w:type="dxa"/>
            <w:vAlign w:val="bottom"/>
          </w:tcPr>
          <w:p>
            <w:pPr>
              <w:spacing w:after="0"/>
              <w:rPr>
                <w:sz w:val="1"/>
                <w:szCs w:val="1"/>
                <w:color w:val="auto"/>
              </w:rPr>
            </w:pPr>
          </w:p>
        </w:tc>
      </w:tr>
      <w:tr>
        <w:trPr>
          <w:trHeight w:val="20"/>
        </w:trPr>
        <w:tc>
          <w:tcPr>
            <w:tcW w:w="490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w w:val="91"/>
              </w:rPr>
              <w:t>Comparison of Three Months Ended September 30, 2021 and 2020</w:t>
            </w: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490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8"/>
        </w:trPr>
        <w:tc>
          <w:tcPr>
            <w:tcW w:w="12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7"/>
                <w:szCs w:val="17"/>
                <w:b w:val="1"/>
                <w:bCs w:val="1"/>
                <w:color w:val="auto"/>
                <w:w w:val="92"/>
              </w:rPr>
              <w:t>Three Months Ended September 30,</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ind w:left="1080"/>
              <w:spacing w:after="0"/>
              <w:rPr>
                <w:sz w:val="20"/>
                <w:szCs w:val="20"/>
                <w:color w:val="auto"/>
              </w:rPr>
            </w:pPr>
            <w:r>
              <w:rPr>
                <w:rFonts w:ascii="Arial" w:cs="Arial" w:eastAsia="Arial" w:hAnsi="Arial"/>
                <w:sz w:val="17"/>
                <w:szCs w:val="17"/>
                <w:b w:val="1"/>
                <w:bCs w:val="1"/>
                <w:color w:val="auto"/>
              </w:rPr>
              <w:t>Change</w:t>
            </w: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2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20" w:type="dxa"/>
            <w:vAlign w:val="bottom"/>
            <w:gridSpan w:val="8"/>
          </w:tcPr>
          <w:p>
            <w:pPr>
              <w:ind w:left="460"/>
              <w:spacing w:after="0"/>
              <w:rPr>
                <w:sz w:val="20"/>
                <w:szCs w:val="20"/>
                <w:color w:val="auto"/>
              </w:rPr>
            </w:pPr>
            <w:r>
              <w:rPr>
                <w:rFonts w:ascii="Arial" w:cs="Arial" w:eastAsia="Arial" w:hAnsi="Arial"/>
                <w:sz w:val="17"/>
                <w:szCs w:val="17"/>
                <w:b w:val="1"/>
                <w:bCs w:val="1"/>
                <w:color w:val="auto"/>
              </w:rPr>
              <w:t>(dollars in thousands)</w:t>
            </w: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50,884</w:t>
            </w:r>
          </w:p>
        </w:tc>
        <w:tc>
          <w:tcPr>
            <w:tcW w:w="3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46,505</w:t>
            </w:r>
          </w:p>
        </w:tc>
        <w:tc>
          <w:tcPr>
            <w:tcW w:w="26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4,379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Total revenues increased by $4.4 million, or 9% for the three months ended September 30, 2021 compared to the same period in 2020. The increase was driven by a 7% increase in average monthly revenue per paying client and a 2% increase in monthly average paying clients.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three months ended September 30, 2021, Featured Listing product, WM Business subscription offering and other ad solutions represented 56%, 22% and 22% of our total revenues, respectively.</w:t>
      </w:r>
    </w:p>
    <w:p>
      <w:pPr>
        <w:spacing w:after="0" w:line="7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6"/>
          <w:szCs w:val="16"/>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$50.9 million for the three months ended September 30, 2021 compared $34.9 million in the same period in 2020. The increase of approximately $16.0 million, or 46% in total revenue excluding Canada was primarily driven by an 18% increase in the average monthly revenue per paying client and a 24% increase in average monthly paying clients.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ectPr>
          <w:pgSz w:w="11900" w:h="16838" w:orient="portrait"/>
          <w:cols w:equalWidth="0" w:num="1">
            <w:col w:w="11240"/>
          </w:cols>
          <w:pgMar w:left="320" w:top="215"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7"/>
                <w:szCs w:val="17"/>
                <w:b w:val="1"/>
                <w:bCs w:val="1"/>
                <w:i w:val="1"/>
                <w:iCs w:val="1"/>
                <w:color w:val="auto"/>
              </w:rPr>
              <w:t>Cost of Revenue</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88"/>
        </w:trPr>
        <w:tc>
          <w:tcPr>
            <w:tcW w:w="5000" w:type="dxa"/>
            <w:vAlign w:val="bottom"/>
          </w:tcPr>
          <w:p>
            <w:pPr>
              <w:spacing w:after="0"/>
              <w:rPr>
                <w:sz w:val="24"/>
                <w:szCs w:val="24"/>
                <w:color w:val="auto"/>
              </w:rPr>
            </w:pPr>
          </w:p>
        </w:tc>
        <w:tc>
          <w:tcPr>
            <w:tcW w:w="3320" w:type="dxa"/>
            <w:vAlign w:val="bottom"/>
            <w:gridSpan w:val="5"/>
          </w:tcPr>
          <w:p>
            <w:pPr>
              <w:ind w:left="280"/>
              <w:spacing w:after="0"/>
              <w:rPr>
                <w:sz w:val="20"/>
                <w:szCs w:val="20"/>
                <w:color w:val="auto"/>
              </w:rPr>
            </w:pPr>
            <w:r>
              <w:rPr>
                <w:rFonts w:ascii="Arial" w:cs="Arial" w:eastAsia="Arial" w:hAnsi="Arial"/>
                <w:sz w:val="17"/>
                <w:szCs w:val="17"/>
                <w:b w:val="1"/>
                <w:bCs w:val="1"/>
                <w:color w:val="auto"/>
              </w:rPr>
              <w:t>Three Months Ended September 30,</w:t>
            </w:r>
          </w:p>
        </w:tc>
        <w:tc>
          <w:tcPr>
            <w:tcW w:w="960" w:type="dxa"/>
            <w:vAlign w:val="bottom"/>
          </w:tcPr>
          <w:p>
            <w:pPr>
              <w:spacing w:after="0"/>
              <w:rPr>
                <w:sz w:val="24"/>
                <w:szCs w:val="24"/>
                <w:color w:val="auto"/>
              </w:rPr>
            </w:pPr>
          </w:p>
        </w:tc>
        <w:tc>
          <w:tcPr>
            <w:tcW w:w="94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500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50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6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(dollars in thousands)</w:t>
            </w: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9"/>
              </w:rPr>
              <w:t>2,035</w:t>
            </w:r>
          </w:p>
        </w:tc>
        <w:tc>
          <w:tcPr>
            <w:tcW w:w="100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2,109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(74)</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500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96 %</w:t>
            </w:r>
          </w:p>
        </w:tc>
        <w:tc>
          <w:tcPr>
            <w:tcW w:w="10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95 %</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Cost of revenue was $2.0 million for the three months ended September 30, 2021 compared to $2.1 million for the same period in 2020. There were no material changes to the drivers of our cost of revenue.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 Expenses</w:t>
            </w: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88"/>
        </w:trPr>
        <w:tc>
          <w:tcPr>
            <w:tcW w:w="5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00" w:type="dxa"/>
            <w:vAlign w:val="bottom"/>
            <w:gridSpan w:val="4"/>
          </w:tcPr>
          <w:p>
            <w:pPr>
              <w:ind w:left="80"/>
              <w:spacing w:after="0"/>
              <w:rPr>
                <w:sz w:val="20"/>
                <w:szCs w:val="20"/>
                <w:color w:val="auto"/>
              </w:rPr>
            </w:pPr>
            <w:r>
              <w:rPr>
                <w:rFonts w:ascii="Arial" w:cs="Arial" w:eastAsia="Arial" w:hAnsi="Arial"/>
                <w:sz w:val="17"/>
                <w:szCs w:val="17"/>
                <w:b w:val="1"/>
                <w:bCs w:val="1"/>
                <w:color w:val="auto"/>
              </w:rPr>
              <w:t>Three Months Ended September 30,</w:t>
            </w:r>
          </w:p>
        </w:tc>
        <w:tc>
          <w:tcPr>
            <w:tcW w:w="860" w:type="dxa"/>
            <w:vAlign w:val="bottom"/>
          </w:tcPr>
          <w:p>
            <w:pPr>
              <w:spacing w:after="0"/>
              <w:rPr>
                <w:sz w:val="24"/>
                <w:szCs w:val="24"/>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500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3"/>
          </w:tcPr>
          <w:p>
            <w:pPr>
              <w:jc w:val="right"/>
              <w:ind w:right="174"/>
              <w:spacing w:after="0"/>
              <w:rPr>
                <w:sz w:val="20"/>
                <w:szCs w:val="20"/>
                <w:color w:val="auto"/>
              </w:rPr>
            </w:pPr>
            <w:r>
              <w:rPr>
                <w:rFonts w:ascii="Arial" w:cs="Arial" w:eastAsia="Arial" w:hAnsi="Arial"/>
                <w:sz w:val="17"/>
                <w:szCs w:val="17"/>
                <w:b w:val="1"/>
                <w:bCs w:val="1"/>
                <w:color w:val="auto"/>
              </w:rPr>
              <w:t>(dollars in thousands)</w:t>
            </w: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 expenses</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12,806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7,384</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5,422</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r>
      <w:tr>
        <w:trPr>
          <w:trHeight w:val="218"/>
        </w:trPr>
        <w:tc>
          <w:tcPr>
            <w:tcW w:w="50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16 %</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70"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Sales and marketing expenses increased by $5.4 million, or 73% for the three months ended September 30, 2021 compared to the same period in 2020. The increase was due to an increase in personnel-related costs of $3.2 million as a result of increased headcount, an increase in sales incentive plan compensation of $1.0 million due to higher revenues and an increase of $0.7 million in stock-based compensation expense recognized in 2021, an increase in online advertising of $0.6 million as more advertising options become available in the cannabis industry, an increase in branding and advertising of $0.5 million and an increase in consulting fees of $0.5 million.</w:t>
      </w:r>
    </w:p>
    <w:p>
      <w:pPr>
        <w:spacing w:after="0" w:line="8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80" w:type="dxa"/>
            <w:vAlign w:val="bottom"/>
          </w:tcPr>
          <w:p>
            <w:pPr>
              <w:spacing w:after="0"/>
              <w:rPr>
                <w:sz w:val="20"/>
                <w:szCs w:val="20"/>
                <w:color w:val="auto"/>
              </w:rPr>
            </w:pPr>
            <w:r>
              <w:rPr>
                <w:rFonts w:ascii="Arial" w:cs="Arial" w:eastAsia="Arial" w:hAnsi="Arial"/>
                <w:sz w:val="17"/>
                <w:szCs w:val="17"/>
                <w:b w:val="1"/>
                <w:bCs w:val="1"/>
                <w:i w:val="1"/>
                <w:iCs w:val="1"/>
                <w:color w:val="auto"/>
              </w:rPr>
              <w:t>Product Development Expenses</w:t>
            </w: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88"/>
        </w:trPr>
        <w:tc>
          <w:tcPr>
            <w:tcW w:w="4880" w:type="dxa"/>
            <w:vAlign w:val="bottom"/>
          </w:tcPr>
          <w:p>
            <w:pPr>
              <w:spacing w:after="0"/>
              <w:rPr>
                <w:sz w:val="24"/>
                <w:szCs w:val="24"/>
                <w:color w:val="auto"/>
              </w:rPr>
            </w:pPr>
          </w:p>
        </w:tc>
        <w:tc>
          <w:tcPr>
            <w:tcW w:w="3360" w:type="dxa"/>
            <w:vAlign w:val="bottom"/>
            <w:gridSpan w:val="5"/>
          </w:tcPr>
          <w:p>
            <w:pPr>
              <w:ind w:left="320"/>
              <w:spacing w:after="0"/>
              <w:rPr>
                <w:sz w:val="20"/>
                <w:szCs w:val="20"/>
                <w:color w:val="auto"/>
              </w:rPr>
            </w:pPr>
            <w:r>
              <w:rPr>
                <w:rFonts w:ascii="Arial" w:cs="Arial" w:eastAsia="Arial" w:hAnsi="Arial"/>
                <w:sz w:val="17"/>
                <w:szCs w:val="17"/>
                <w:b w:val="1"/>
                <w:bCs w:val="1"/>
                <w:color w:val="auto"/>
              </w:rPr>
              <w:t>Three Months Ended September 30,</w:t>
            </w:r>
          </w:p>
        </w:tc>
        <w:tc>
          <w:tcPr>
            <w:tcW w:w="980" w:type="dxa"/>
            <w:vAlign w:val="bottom"/>
          </w:tcPr>
          <w:p>
            <w:pPr>
              <w:spacing w:after="0"/>
              <w:rPr>
                <w:sz w:val="24"/>
                <w:szCs w:val="24"/>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40" w:type="dxa"/>
            <w:vAlign w:val="bottom"/>
          </w:tcPr>
          <w:p>
            <w:pPr>
              <w:spacing w:after="0"/>
              <w:rPr>
                <w:sz w:val="24"/>
                <w:szCs w:val="24"/>
                <w:color w:val="auto"/>
              </w:rPr>
            </w:pPr>
          </w:p>
        </w:tc>
      </w:tr>
      <w:tr>
        <w:trPr>
          <w:trHeight w:val="213"/>
        </w:trPr>
        <w:tc>
          <w:tcPr>
            <w:tcW w:w="488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20" w:type="dxa"/>
            <w:vAlign w:val="bottom"/>
            <w:tcBorders>
              <w:top w:val="single" w:sz="8" w:color="auto"/>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r>
      <w:tr>
        <w:trPr>
          <w:trHeight w:val="212"/>
        </w:trPr>
        <w:tc>
          <w:tcPr>
            <w:tcW w:w="4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700" w:type="dxa"/>
            <w:vAlign w:val="bottom"/>
            <w:gridSpan w:val="4"/>
          </w:tcPr>
          <w:p>
            <w:pPr>
              <w:jc w:val="right"/>
              <w:ind w:right="274"/>
              <w:spacing w:after="0"/>
              <w:rPr>
                <w:sz w:val="20"/>
                <w:szCs w:val="20"/>
                <w:color w:val="auto"/>
              </w:rPr>
            </w:pPr>
            <w:r>
              <w:rPr>
                <w:rFonts w:ascii="Arial" w:cs="Arial" w:eastAsia="Arial" w:hAnsi="Arial"/>
                <w:sz w:val="17"/>
                <w:szCs w:val="17"/>
                <w:b w:val="1"/>
                <w:bCs w:val="1"/>
                <w:color w:val="auto"/>
              </w:rPr>
              <w:t>(dollars in thousands)</w:t>
            </w: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 expenses</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9"/>
              </w:rPr>
              <w:t>7,782</w:t>
            </w:r>
          </w:p>
        </w:tc>
        <w:tc>
          <w:tcPr>
            <w:tcW w:w="102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9"/>
              </w:rPr>
              <w:t>6,923</w:t>
            </w: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859</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r>
      <w:tr>
        <w:trPr>
          <w:trHeight w:val="218"/>
        </w:trPr>
        <w:tc>
          <w:tcPr>
            <w:tcW w:w="488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9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15 %</w:t>
            </w: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15 %</w:t>
            </w: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Product development expenses increased by $0.9 million, or 12% for the three months ended September 30, 2021 compared to the same period in 2020. This increase was primarily due to an increase in personnel-related costs of $4.6 million due to increased headcount and an increase of $1.9 million in stock-based compensation expense recognized in 2021, offset by capitalized software development costs of $3.7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ectPr>
          <w:pgSz w:w="11900" w:h="16838" w:orient="portrait"/>
          <w:cols w:equalWidth="0" w:num="1">
            <w:col w:w="11240"/>
          </w:cols>
          <w:pgMar w:left="320" w:top="230" w:right="3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80" w:type="dxa"/>
            <w:vAlign w:val="bottom"/>
          </w:tcPr>
          <w:p>
            <w:pPr>
              <w:spacing w:after="0"/>
              <w:rPr>
                <w:sz w:val="20"/>
                <w:szCs w:val="20"/>
                <w:color w:val="auto"/>
              </w:rPr>
            </w:pPr>
            <w:r>
              <w:rPr>
                <w:rFonts w:ascii="Arial" w:cs="Arial" w:eastAsia="Arial" w:hAnsi="Arial"/>
                <w:sz w:val="17"/>
                <w:szCs w:val="17"/>
                <w:b w:val="1"/>
                <w:bCs w:val="1"/>
                <w:i w:val="1"/>
                <w:iCs w:val="1"/>
                <w:color w:val="auto"/>
              </w:rPr>
              <w:t>General and administrative expenses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723"/>
        </w:trPr>
        <w:tc>
          <w:tcPr>
            <w:tcW w:w="4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60" w:type="dxa"/>
            <w:vAlign w:val="bottom"/>
            <w:gridSpan w:val="4"/>
          </w:tcPr>
          <w:p>
            <w:pPr>
              <w:ind w:left="100"/>
              <w:spacing w:after="0"/>
              <w:rPr>
                <w:sz w:val="20"/>
                <w:szCs w:val="20"/>
                <w:color w:val="auto"/>
              </w:rPr>
            </w:pPr>
            <w:r>
              <w:rPr>
                <w:rFonts w:ascii="Arial" w:cs="Arial" w:eastAsia="Arial" w:hAnsi="Arial"/>
                <w:sz w:val="17"/>
                <w:szCs w:val="17"/>
                <w:b w:val="1"/>
                <w:bCs w:val="1"/>
                <w:color w:val="auto"/>
              </w:rPr>
              <w:t>Three Months Ended September 30,</w:t>
            </w:r>
          </w:p>
        </w:tc>
        <w:tc>
          <w:tcPr>
            <w:tcW w:w="88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040" w:type="dxa"/>
            <w:vAlign w:val="bottom"/>
          </w:tcPr>
          <w:p>
            <w:pPr>
              <w:spacing w:after="0"/>
              <w:rPr>
                <w:sz w:val="24"/>
                <w:szCs w:val="24"/>
                <w:color w:val="auto"/>
              </w:rPr>
            </w:pPr>
          </w:p>
        </w:tc>
      </w:tr>
      <w:tr>
        <w:trPr>
          <w:trHeight w:val="213"/>
        </w:trPr>
        <w:tc>
          <w:tcPr>
            <w:tcW w:w="4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4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r>
      <w:tr>
        <w:trPr>
          <w:trHeight w:val="212"/>
        </w:trPr>
        <w:tc>
          <w:tcPr>
            <w:tcW w:w="4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0" w:type="dxa"/>
            <w:vAlign w:val="bottom"/>
            <w:gridSpan w:val="3"/>
          </w:tcPr>
          <w:p>
            <w:pPr>
              <w:jc w:val="right"/>
              <w:ind w:right="194"/>
              <w:spacing w:after="0"/>
              <w:rPr>
                <w:sz w:val="20"/>
                <w:szCs w:val="20"/>
                <w:color w:val="auto"/>
              </w:rPr>
            </w:pPr>
            <w:r>
              <w:rPr>
                <w:rFonts w:ascii="Arial" w:cs="Arial" w:eastAsia="Arial" w:hAnsi="Arial"/>
                <w:sz w:val="17"/>
                <w:szCs w:val="17"/>
                <w:b w:val="1"/>
                <w:bCs w:val="1"/>
                <w:color w:val="auto"/>
              </w:rPr>
              <w:t>(dollars in thousands)</w:t>
            </w: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9"/>
        </w:trPr>
        <w:tc>
          <w:tcPr>
            <w:tcW w:w="4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23,220</w:t>
            </w:r>
          </w:p>
        </w:tc>
        <w:tc>
          <w:tcPr>
            <w:tcW w:w="4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12,906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94"/>
              <w:spacing w:after="0"/>
              <w:rPr>
                <w:sz w:val="20"/>
                <w:szCs w:val="20"/>
                <w:color w:val="auto"/>
              </w:rPr>
            </w:pPr>
            <w:r>
              <w:rPr>
                <w:rFonts w:ascii="Arial" w:cs="Arial" w:eastAsia="Arial" w:hAnsi="Arial"/>
                <w:sz w:val="17"/>
                <w:szCs w:val="17"/>
                <w:color w:val="auto"/>
                <w:w w:val="92"/>
              </w:rPr>
              <w:t>10,314</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r>
      <w:tr>
        <w:trPr>
          <w:trHeight w:val="218"/>
        </w:trPr>
        <w:tc>
          <w:tcPr>
            <w:tcW w:w="468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46 %</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28 %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General and administrative expenses increased by $10.3 million, or 80% for the three months ended September 30, 2021 compared to the same period in 2020. This increase was primarily due to an increase in insurance costs of $3.1 million as a result of additional insurance coverage as a public company, an increase in software costs of $0.6 million, an increase in allowance for doubtful accounts of $2.0 million and an increase in professional fees of $2.1 million. General and administrative expenses also increased due to an increase in stock-based compensation expense of $1.6 million recognized in 2021.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00" w:type="dxa"/>
            <w:vAlign w:val="bottom"/>
          </w:tcPr>
          <w:p>
            <w:pPr>
              <w:spacing w:after="0"/>
              <w:rPr>
                <w:sz w:val="20"/>
                <w:szCs w:val="20"/>
                <w:color w:val="auto"/>
              </w:rPr>
            </w:pPr>
            <w:r>
              <w:rPr>
                <w:rFonts w:ascii="Arial" w:cs="Arial" w:eastAsia="Arial" w:hAnsi="Arial"/>
                <w:sz w:val="17"/>
                <w:szCs w:val="17"/>
                <w:b w:val="1"/>
                <w:bCs w:val="1"/>
                <w:i w:val="1"/>
                <w:iCs w:val="1"/>
                <w:color w:val="auto"/>
              </w:rPr>
              <w:t>Depreciation and Amortization Expense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8"/>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gridSpan w:val="7"/>
          </w:tcPr>
          <w:p>
            <w:pPr>
              <w:ind w:left="100"/>
              <w:spacing w:after="0"/>
              <w:rPr>
                <w:sz w:val="20"/>
                <w:szCs w:val="20"/>
                <w:color w:val="auto"/>
              </w:rPr>
            </w:pPr>
            <w:r>
              <w:rPr>
                <w:rFonts w:ascii="Arial" w:cs="Arial" w:eastAsia="Arial" w:hAnsi="Arial"/>
                <w:sz w:val="17"/>
                <w:szCs w:val="17"/>
                <w:b w:val="1"/>
                <w:bCs w:val="1"/>
                <w:color w:val="auto"/>
              </w:rPr>
              <w:t>Three Months Ended September 30,</w:t>
            </w:r>
          </w:p>
        </w:tc>
        <w:tc>
          <w:tcPr>
            <w:tcW w:w="6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7"/>
                <w:szCs w:val="17"/>
                <w:b w:val="1"/>
                <w:bCs w:val="1"/>
                <w:color w:val="auto"/>
              </w:rPr>
              <w:t>Change</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42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7"/>
                <w:szCs w:val="17"/>
                <w:b w:val="1"/>
                <w:bCs w:val="1"/>
                <w:color w:val="auto"/>
                <w:w w:val="86"/>
              </w:rPr>
              <w:t>($)</w:t>
            </w:r>
          </w:p>
        </w:tc>
        <w:tc>
          <w:tcPr>
            <w:tcW w:w="100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140" w:type="dxa"/>
            <w:vAlign w:val="bottom"/>
            <w:tcBorders>
              <w:top w:val="single" w:sz="8" w:color="auto"/>
              <w:bottom w:val="single" w:sz="8" w:color="auto"/>
            </w:tcBorders>
          </w:tcPr>
          <w:p>
            <w:pPr>
              <w:spacing w:after="0"/>
              <w:rPr>
                <w:sz w:val="18"/>
                <w:szCs w:val="18"/>
                <w:color w:val="auto"/>
              </w:rPr>
            </w:pPr>
          </w:p>
        </w:tc>
      </w:tr>
      <w:tr>
        <w:trPr>
          <w:trHeight w:val="212"/>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5"/>
          </w:tcPr>
          <w:p>
            <w:pPr>
              <w:jc w:val="right"/>
              <w:spacing w:after="0"/>
              <w:rPr>
                <w:sz w:val="20"/>
                <w:szCs w:val="20"/>
                <w:color w:val="auto"/>
              </w:rPr>
            </w:pPr>
            <w:r>
              <w:rPr>
                <w:rFonts w:ascii="Arial" w:cs="Arial" w:eastAsia="Arial" w:hAnsi="Arial"/>
                <w:sz w:val="17"/>
                <w:szCs w:val="17"/>
                <w:b w:val="1"/>
                <w:bCs w:val="1"/>
                <w:color w:val="auto"/>
              </w:rPr>
              <w:t>(dollars in thousands)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expenses</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980</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991</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(11)</w:t>
            </w: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18"/>
        </w:trPr>
        <w:tc>
          <w:tcPr>
            <w:tcW w:w="46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3"/>
          </w:tcPr>
          <w:p>
            <w:pPr>
              <w:jc w:val="right"/>
              <w:ind w:right="234"/>
              <w:spacing w:after="0"/>
              <w:rPr>
                <w:sz w:val="20"/>
                <w:szCs w:val="20"/>
                <w:color w:val="auto"/>
              </w:rPr>
            </w:pPr>
            <w:r>
              <w:rPr>
                <w:rFonts w:ascii="Arial" w:cs="Arial" w:eastAsia="Arial" w:hAnsi="Arial"/>
                <w:sz w:val="17"/>
                <w:szCs w:val="17"/>
                <w:color w:val="auto"/>
              </w:rPr>
              <w:t>2 %</w:t>
            </w:r>
          </w:p>
        </w:tc>
        <w:tc>
          <w:tcPr>
            <w:tcW w:w="1360" w:type="dxa"/>
            <w:vAlign w:val="bottom"/>
            <w:gridSpan w:val="3"/>
          </w:tcPr>
          <w:p>
            <w:pPr>
              <w:jc w:val="right"/>
              <w:ind w:right="20"/>
              <w:spacing w:after="0"/>
              <w:rPr>
                <w:sz w:val="20"/>
                <w:szCs w:val="20"/>
                <w:color w:val="auto"/>
              </w:rPr>
            </w:pPr>
            <w:r>
              <w:rPr>
                <w:rFonts w:ascii="Arial" w:cs="Arial" w:eastAsia="Arial" w:hAnsi="Arial"/>
                <w:sz w:val="17"/>
                <w:szCs w:val="17"/>
                <w:color w:val="auto"/>
              </w:rPr>
              <w:t>2 %</w:t>
            </w: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387"/>
        </w:trPr>
        <w:tc>
          <w:tcPr>
            <w:tcW w:w="11200" w:type="dxa"/>
            <w:vAlign w:val="bottom"/>
            <w:gridSpan w:val="14"/>
          </w:tcPr>
          <w:p>
            <w:pPr>
              <w:ind w:left="460"/>
              <w:spacing w:after="0"/>
              <w:rPr>
                <w:sz w:val="20"/>
                <w:szCs w:val="20"/>
                <w:color w:val="auto"/>
              </w:rPr>
            </w:pPr>
            <w:r>
              <w:rPr>
                <w:rFonts w:ascii="Arial" w:cs="Arial" w:eastAsia="Arial" w:hAnsi="Arial"/>
                <w:sz w:val="17"/>
                <w:szCs w:val="17"/>
                <w:color w:val="auto"/>
                <w:w w:val="99"/>
              </w:rPr>
              <w:t>Depreciation and amortization expenses were consistent for the three months ended September 30, 2021 compared to the same period in 2020</w:t>
            </w:r>
          </w:p>
        </w:tc>
      </w:tr>
      <w:tr>
        <w:trPr>
          <w:trHeight w:val="413"/>
        </w:trPr>
        <w:tc>
          <w:tcPr>
            <w:tcW w:w="460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(Expense), net</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88"/>
        </w:trPr>
        <w:tc>
          <w:tcPr>
            <w:tcW w:w="4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340" w:type="dxa"/>
            <w:vAlign w:val="bottom"/>
            <w:gridSpan w:val="8"/>
          </w:tcPr>
          <w:p>
            <w:pPr>
              <w:ind w:left="20"/>
              <w:spacing w:after="0"/>
              <w:rPr>
                <w:sz w:val="20"/>
                <w:szCs w:val="20"/>
                <w:color w:val="auto"/>
              </w:rPr>
            </w:pPr>
            <w:r>
              <w:rPr>
                <w:rFonts w:ascii="Arial" w:cs="Arial" w:eastAsia="Arial" w:hAnsi="Arial"/>
                <w:sz w:val="17"/>
                <w:szCs w:val="17"/>
                <w:b w:val="1"/>
                <w:bCs w:val="1"/>
                <w:color w:val="auto"/>
              </w:rPr>
              <w:t>Three Months Ended September 30,</w:t>
            </w:r>
          </w:p>
        </w:tc>
        <w:tc>
          <w:tcPr>
            <w:tcW w:w="620" w:type="dxa"/>
            <w:vAlign w:val="bottom"/>
          </w:tcPr>
          <w:p>
            <w:pPr>
              <w:spacing w:after="0"/>
              <w:rPr>
                <w:sz w:val="24"/>
                <w:szCs w:val="24"/>
                <w:color w:val="auto"/>
              </w:rPr>
            </w:pPr>
          </w:p>
        </w:tc>
        <w:tc>
          <w:tcPr>
            <w:tcW w:w="1220" w:type="dxa"/>
            <w:vAlign w:val="bottom"/>
          </w:tcPr>
          <w:p>
            <w:pPr>
              <w:jc w:val="right"/>
              <w:ind w:right="194"/>
              <w:spacing w:after="0"/>
              <w:rPr>
                <w:sz w:val="20"/>
                <w:szCs w:val="20"/>
                <w:color w:val="auto"/>
              </w:rPr>
            </w:pPr>
            <w:r>
              <w:rPr>
                <w:rFonts w:ascii="Arial" w:cs="Arial" w:eastAsia="Arial" w:hAnsi="Arial"/>
                <w:sz w:val="17"/>
                <w:szCs w:val="17"/>
                <w:b w:val="1"/>
                <w:bCs w:val="1"/>
                <w:color w:val="auto"/>
              </w:rPr>
              <w:t>Change</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3"/>
        </w:trPr>
        <w:tc>
          <w:tcPr>
            <w:tcW w:w="46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2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w:t>
            </w:r>
          </w:p>
        </w:tc>
        <w:tc>
          <w:tcPr>
            <w:tcW w:w="140" w:type="dxa"/>
            <w:vAlign w:val="bottom"/>
          </w:tcPr>
          <w:p>
            <w:pPr>
              <w:spacing w:after="0"/>
              <w:rPr>
                <w:sz w:val="18"/>
                <w:szCs w:val="18"/>
                <w:color w:val="auto"/>
              </w:rPr>
            </w:pPr>
          </w:p>
        </w:tc>
      </w:tr>
      <w:tr>
        <w:trPr>
          <w:trHeight w:val="212"/>
        </w:trPr>
        <w:tc>
          <w:tcPr>
            <w:tcW w:w="4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80" w:type="dxa"/>
            <w:vAlign w:val="bottom"/>
            <w:gridSpan w:val="5"/>
          </w:tcPr>
          <w:p>
            <w:pPr>
              <w:jc w:val="right"/>
              <w:ind w:right="134"/>
              <w:spacing w:after="0"/>
              <w:rPr>
                <w:sz w:val="20"/>
                <w:szCs w:val="20"/>
                <w:color w:val="auto"/>
              </w:rPr>
            </w:pPr>
            <w:r>
              <w:rPr>
                <w:rFonts w:ascii="Arial" w:cs="Arial" w:eastAsia="Arial" w:hAnsi="Arial"/>
                <w:sz w:val="17"/>
                <w:szCs w:val="17"/>
                <w:b w:val="1"/>
                <w:bCs w:val="1"/>
                <w:color w:val="auto"/>
              </w:rPr>
              <w:t>(dollars in thousands)</w:t>
            </w:r>
          </w:p>
        </w:tc>
        <w:tc>
          <w:tcPr>
            <w:tcW w:w="1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9"/>
        </w:trPr>
        <w:tc>
          <w:tcPr>
            <w:tcW w:w="4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45,837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460" w:type="dxa"/>
            <w:vAlign w:val="bottom"/>
            <w:gridSpan w:val="4"/>
            <w:shd w:val="clear" w:color="auto" w:fill="CCEEFF"/>
          </w:tcPr>
          <w:p>
            <w:pPr>
              <w:ind w:left="720"/>
              <w:spacing w:after="0"/>
              <w:rPr>
                <w:sz w:val="20"/>
                <w:szCs w:val="20"/>
                <w:color w:val="auto"/>
              </w:rPr>
            </w:pPr>
            <w:r>
              <w:rPr>
                <w:rFonts w:ascii="Arial" w:cs="Arial" w:eastAsia="Arial" w:hAnsi="Arial"/>
                <w:sz w:val="17"/>
                <w:szCs w:val="17"/>
                <w:color w:val="auto"/>
              </w:rPr>
              <w:t>—</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8"/>
              </w:rPr>
              <w:t>45,837</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40" w:type="dxa"/>
            <w:vAlign w:val="bottom"/>
          </w:tcPr>
          <w:p>
            <w:pPr>
              <w:spacing w:after="0"/>
              <w:rPr>
                <w:sz w:val="19"/>
                <w:szCs w:val="19"/>
                <w:color w:val="auto"/>
              </w:rPr>
            </w:pPr>
          </w:p>
        </w:tc>
      </w:tr>
      <w:tr>
        <w:trPr>
          <w:trHeight w:val="218"/>
        </w:trPr>
        <w:tc>
          <w:tcPr>
            <w:tcW w:w="4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net</w:t>
            </w:r>
          </w:p>
        </w:tc>
        <w:tc>
          <w:tcPr>
            <w:tcW w:w="2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580"/>
              <w:spacing w:after="0"/>
              <w:rPr>
                <w:sz w:val="20"/>
                <w:szCs w:val="20"/>
                <w:color w:val="auto"/>
              </w:rPr>
            </w:pPr>
            <w:r>
              <w:rPr>
                <w:rFonts w:ascii="Arial" w:cs="Arial" w:eastAsia="Arial" w:hAnsi="Arial"/>
                <w:sz w:val="17"/>
                <w:szCs w:val="17"/>
                <w:color w:val="auto"/>
              </w:rPr>
              <w:t>(300)</w:t>
            </w:r>
          </w:p>
        </w:tc>
        <w:tc>
          <w:tcPr>
            <w:tcW w:w="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(662)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ind w:right="654"/>
              <w:spacing w:after="0"/>
              <w:rPr>
                <w:sz w:val="20"/>
                <w:szCs w:val="20"/>
                <w:color w:val="auto"/>
              </w:rPr>
            </w:pPr>
            <w:r>
              <w:rPr>
                <w:rFonts w:ascii="Arial" w:cs="Arial" w:eastAsia="Arial" w:hAnsi="Arial"/>
                <w:sz w:val="17"/>
                <w:szCs w:val="17"/>
                <w:color w:val="auto"/>
              </w:rPr>
              <w:t>362</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8"/>
                <w:szCs w:val="18"/>
                <w:color w:val="auto"/>
              </w:rPr>
            </w:pPr>
          </w:p>
        </w:tc>
      </w:tr>
      <w:tr>
        <w:trPr>
          <w:trHeight w:val="213"/>
        </w:trPr>
        <w:tc>
          <w:tcPr>
            <w:tcW w:w="46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ind w:left="420"/>
              <w:spacing w:after="0"/>
              <w:rPr>
                <w:sz w:val="20"/>
                <w:szCs w:val="20"/>
                <w:color w:val="auto"/>
              </w:rPr>
            </w:pPr>
            <w:r>
              <w:rPr>
                <w:rFonts w:ascii="Arial" w:cs="Arial" w:eastAsia="Arial" w:hAnsi="Arial"/>
                <w:sz w:val="17"/>
                <w:szCs w:val="17"/>
                <w:color w:val="auto"/>
              </w:rPr>
              <w:t>45,537</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1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(662)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8"/>
              </w:rPr>
              <w:t>46,199</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N/M</w:t>
            </w:r>
          </w:p>
        </w:tc>
        <w:tc>
          <w:tcPr>
            <w:tcW w:w="140" w:type="dxa"/>
            <w:vAlign w:val="bottom"/>
          </w:tcPr>
          <w:p>
            <w:pPr>
              <w:spacing w:after="0"/>
              <w:rPr>
                <w:sz w:val="18"/>
                <w:szCs w:val="18"/>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60" w:type="dxa"/>
            <w:vAlign w:val="bottom"/>
          </w:tcPr>
          <w:p>
            <w:pPr>
              <w:spacing w:after="0"/>
              <w:rPr>
                <w:sz w:val="20"/>
                <w:szCs w:val="20"/>
                <w:color w:val="auto"/>
              </w:rPr>
            </w:pPr>
            <w:r>
              <w:rPr>
                <w:rFonts w:ascii="Arial" w:cs="Arial" w:eastAsia="Arial" w:hAnsi="Arial"/>
                <w:sz w:val="17"/>
                <w:szCs w:val="17"/>
                <w:color w:val="auto"/>
              </w:rPr>
              <w:t>Percentage of revenue</w:t>
            </w:r>
          </w:p>
        </w:tc>
        <w:tc>
          <w:tcPr>
            <w:tcW w:w="3160" w:type="dxa"/>
            <w:vAlign w:val="bottom"/>
          </w:tcPr>
          <w:p>
            <w:pPr>
              <w:jc w:val="right"/>
              <w:ind w:right="574"/>
              <w:spacing w:after="0"/>
              <w:rPr>
                <w:sz w:val="20"/>
                <w:szCs w:val="20"/>
                <w:color w:val="auto"/>
              </w:rPr>
            </w:pPr>
            <w:r>
              <w:rPr>
                <w:rFonts w:ascii="Arial" w:cs="Arial" w:eastAsia="Arial" w:hAnsi="Arial"/>
                <w:sz w:val="17"/>
                <w:szCs w:val="17"/>
                <w:color w:val="auto"/>
              </w:rPr>
              <w:t>89 %</w:t>
            </w:r>
          </w:p>
        </w:tc>
        <w:tc>
          <w:tcPr>
            <w:tcW w:w="1000" w:type="dxa"/>
            <w:vAlign w:val="bottom"/>
          </w:tcPr>
          <w:p>
            <w:pPr>
              <w:jc w:val="right"/>
              <w:spacing w:after="0"/>
              <w:rPr>
                <w:sz w:val="20"/>
                <w:szCs w:val="20"/>
                <w:color w:val="auto"/>
              </w:rPr>
            </w:pPr>
            <w:r>
              <w:rPr>
                <w:rFonts w:ascii="Arial" w:cs="Arial" w:eastAsia="Arial" w:hAnsi="Arial"/>
                <w:sz w:val="17"/>
                <w:szCs w:val="17"/>
                <w:color w:val="auto"/>
              </w:rPr>
              <w:t>(1)%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Other income, net increased by $46.2 million for the three months ended September 30, 2021 compared to the same period in 2020. The increase in other income was primarily due to changes in fair value of warrant liability of $45.8 million. The decrease in other expense, net of $0.3 million was primarily due to changes in foreign currency transaction losses.</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ectPr>
          <w:pgSz w:w="11900" w:h="16838" w:orient="portrait"/>
          <w:cols w:equalWidth="0" w:num="1">
            <w:col w:w="11240"/>
          </w:cols>
          <w:pgMar w:left="320" w:top="230"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tcPr>
          <w:p>
            <w:pPr>
              <w:spacing w:after="0"/>
              <w:rPr>
                <w:sz w:val="20"/>
                <w:szCs w:val="20"/>
                <w:color w:val="auto"/>
              </w:rPr>
            </w:pPr>
            <w:r>
              <w:rPr>
                <w:rFonts w:ascii="Arial" w:cs="Arial" w:eastAsia="Arial" w:hAnsi="Arial"/>
                <w:sz w:val="17"/>
                <w:szCs w:val="17"/>
                <w:b w:val="1"/>
                <w:bCs w:val="1"/>
                <w:i w:val="1"/>
                <w:iCs w:val="1"/>
                <w:color w:val="auto"/>
                <w:w w:val="93"/>
              </w:rPr>
              <w:t>Comparison of Nine Months Ended September 30, 2021 and 2020</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309"/>
        </w:trPr>
        <w:tc>
          <w:tcPr>
            <w:tcW w:w="4920" w:type="dxa"/>
            <w:vAlign w:val="bottom"/>
          </w:tcPr>
          <w:p>
            <w:pPr>
              <w:spacing w:after="0"/>
              <w:rPr>
                <w:sz w:val="20"/>
                <w:szCs w:val="20"/>
                <w:color w:val="auto"/>
              </w:rPr>
            </w:pPr>
            <w:r>
              <w:rPr>
                <w:rFonts w:ascii="Arial" w:cs="Arial" w:eastAsia="Arial" w:hAnsi="Arial"/>
                <w:sz w:val="17"/>
                <w:szCs w:val="17"/>
                <w:b w:val="1"/>
                <w:bCs w:val="1"/>
                <w:i w:val="1"/>
                <w:iCs w:val="1"/>
                <w:color w:val="auto"/>
              </w:rPr>
              <w:t>Revenue</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9"/>
        </w:trPr>
        <w:tc>
          <w:tcPr>
            <w:tcW w:w="4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920" w:type="dxa"/>
            <w:vAlign w:val="bottom"/>
            <w:gridSpan w:val="4"/>
          </w:tcPr>
          <w:p>
            <w:pPr>
              <w:ind w:left="60"/>
              <w:spacing w:after="0"/>
              <w:rPr>
                <w:sz w:val="20"/>
                <w:szCs w:val="20"/>
                <w:color w:val="auto"/>
              </w:rPr>
            </w:pPr>
            <w:r>
              <w:rPr>
                <w:rFonts w:ascii="Arial" w:cs="Arial" w:eastAsia="Arial" w:hAnsi="Arial"/>
                <w:sz w:val="17"/>
                <w:szCs w:val="17"/>
                <w:b w:val="1"/>
                <w:bCs w:val="1"/>
                <w:color w:val="auto"/>
              </w:rPr>
              <w:t>Nine Months Ended September 30,</w:t>
            </w:r>
          </w:p>
        </w:tc>
        <w:tc>
          <w:tcPr>
            <w:tcW w:w="860" w:type="dxa"/>
            <w:vAlign w:val="bottom"/>
          </w:tcPr>
          <w:p>
            <w:pPr>
              <w:spacing w:after="0"/>
              <w:rPr>
                <w:sz w:val="24"/>
                <w:szCs w:val="24"/>
                <w:color w:val="auto"/>
              </w:rPr>
            </w:pPr>
          </w:p>
        </w:tc>
        <w:tc>
          <w:tcPr>
            <w:tcW w:w="114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100" w:type="dxa"/>
            <w:vAlign w:val="bottom"/>
          </w:tcPr>
          <w:p>
            <w:pPr>
              <w:spacing w:after="0"/>
              <w:rPr>
                <w:sz w:val="24"/>
                <w:szCs w:val="24"/>
                <w:color w:val="auto"/>
              </w:rPr>
            </w:pPr>
          </w:p>
        </w:tc>
      </w:tr>
      <w:tr>
        <w:trPr>
          <w:trHeight w:val="213"/>
        </w:trPr>
        <w:tc>
          <w:tcPr>
            <w:tcW w:w="492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1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w:t>
            </w:r>
          </w:p>
        </w:tc>
      </w:tr>
      <w:tr>
        <w:trPr>
          <w:trHeight w:val="212"/>
        </w:trPr>
        <w:tc>
          <w:tcPr>
            <w:tcW w:w="4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spacing w:after="0"/>
              <w:rPr>
                <w:sz w:val="20"/>
                <w:szCs w:val="20"/>
                <w:color w:val="auto"/>
              </w:rPr>
            </w:pPr>
            <w:r>
              <w:rPr>
                <w:rFonts w:ascii="Arial" w:cs="Arial" w:eastAsia="Arial" w:hAnsi="Arial"/>
                <w:sz w:val="17"/>
                <w:szCs w:val="17"/>
                <w:b w:val="1"/>
                <w:bCs w:val="1"/>
                <w:color w:val="auto"/>
              </w:rPr>
              <w:t>(dollars in thousands)</w:t>
            </w:r>
          </w:p>
        </w:tc>
        <w:tc>
          <w:tcPr>
            <w:tcW w:w="1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138,969</w:t>
            </w:r>
          </w:p>
        </w:tc>
        <w:tc>
          <w:tcPr>
            <w:tcW w:w="3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117,470</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ind w:right="534"/>
              <w:spacing w:after="0"/>
              <w:rPr>
                <w:sz w:val="20"/>
                <w:szCs w:val="20"/>
                <w:color w:val="auto"/>
              </w:rPr>
            </w:pPr>
            <w:r>
              <w:rPr>
                <w:rFonts w:ascii="Arial" w:cs="Arial" w:eastAsia="Arial" w:hAnsi="Arial"/>
                <w:sz w:val="17"/>
                <w:szCs w:val="17"/>
                <w:color w:val="auto"/>
                <w:w w:val="96"/>
              </w:rPr>
              <w:t>21,499</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18 %</w:t>
            </w:r>
          </w:p>
        </w:tc>
      </w:tr>
    </w:tbl>
    <w:p>
      <w:pPr>
        <w:spacing w:after="0" w:line="181" w:lineRule="exact"/>
        <w:rPr>
          <w:sz w:val="20"/>
          <w:szCs w:val="20"/>
          <w:color w:val="auto"/>
        </w:rPr>
      </w:pPr>
    </w:p>
    <w:p>
      <w:pPr>
        <w:jc w:val="both"/>
        <w:ind w:firstLine="464"/>
        <w:spacing w:after="0" w:line="275" w:lineRule="auto"/>
        <w:rPr>
          <w:sz w:val="20"/>
          <w:szCs w:val="20"/>
          <w:color w:val="auto"/>
        </w:rPr>
      </w:pPr>
      <w:r>
        <w:rPr>
          <w:rFonts w:ascii="Arial" w:cs="Arial" w:eastAsia="Arial" w:hAnsi="Arial"/>
          <w:sz w:val="16"/>
          <w:szCs w:val="16"/>
          <w:color w:val="auto"/>
        </w:rPr>
        <w:t>Total revenue increased by $21.5 million, or 18% for the nine months ended September 30, 2021 compared to the same period in 2020. The increase was driven by a 19% increase in average monthly revenue per paying client, partially offset by a 1% decrease in average monthly paying clients in the period as a result of factors described below. Our growth in average monthly revenue per paying client reflects continued growth in our WM Business subscription offering and other ad solutions, more client engagement driven by the increased functionality across our WM Business suite of solutions and the impact of the pricing increase related to transitioning all of our standard listing subscription clients to our new WM Business subscription package at the beginning of 2021. These impacts were partially offset by the removal of Canada-based clients who had higher monthly spend than our average client base as well as the elimination of our technology services fee on all delivery orders. For the nine months ended September 30, 2021, Featured Listing product, WM Business subscription offering and other ad solutions represented 56%, 23% and 21% of our total revenues, respectively.</w:t>
      </w:r>
    </w:p>
    <w:p>
      <w:pPr>
        <w:spacing w:after="0" w:line="67"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During the second half of fiscal 2020, we discontinued our services to Canada-based retail operator clients who failed to provide valid license information, similar to the transition we implemented in California at the end of fiscal 2019 (beginning with clients receiving free listing subscriptions in June 2020 and continuing with paid listings starting in September 2020). Total revenue excluding Canada was $139.0 million for the nine months ended September 30, 2021 compared to $91.3 million in the same period in 2020. The increase of $47.7 million, or 52%, in total revenue excluding Canada was primarily driven by a 23% increase in average monthly revenue per paying client and a 24% increase in average monthly paying clients.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60" w:type="dxa"/>
            <w:vAlign w:val="bottom"/>
          </w:tcPr>
          <w:p>
            <w:pPr>
              <w:spacing w:after="0"/>
              <w:rPr>
                <w:sz w:val="20"/>
                <w:szCs w:val="20"/>
                <w:color w:val="auto"/>
              </w:rPr>
            </w:pPr>
            <w:r>
              <w:rPr>
                <w:rFonts w:ascii="Arial" w:cs="Arial" w:eastAsia="Arial" w:hAnsi="Arial"/>
                <w:sz w:val="17"/>
                <w:szCs w:val="17"/>
                <w:b w:val="1"/>
                <w:bCs w:val="1"/>
                <w:i w:val="1"/>
                <w:iCs w:val="1"/>
                <w:color w:val="auto"/>
              </w:rPr>
              <w:t>Cost of Revenue</w:t>
            </w: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49"/>
        </w:trPr>
        <w:tc>
          <w:tcPr>
            <w:tcW w:w="4860" w:type="dxa"/>
            <w:vAlign w:val="bottom"/>
          </w:tcPr>
          <w:p>
            <w:pPr>
              <w:spacing w:after="0"/>
              <w:rPr>
                <w:sz w:val="24"/>
                <w:szCs w:val="24"/>
                <w:color w:val="auto"/>
              </w:rPr>
            </w:pPr>
          </w:p>
        </w:tc>
        <w:tc>
          <w:tcPr>
            <w:tcW w:w="3320" w:type="dxa"/>
            <w:vAlign w:val="bottom"/>
            <w:gridSpan w:val="5"/>
          </w:tcPr>
          <w:p>
            <w:pPr>
              <w:ind w:left="340"/>
              <w:spacing w:after="0"/>
              <w:rPr>
                <w:sz w:val="20"/>
                <w:szCs w:val="20"/>
                <w:color w:val="auto"/>
              </w:rPr>
            </w:pPr>
            <w:r>
              <w:rPr>
                <w:rFonts w:ascii="Arial" w:cs="Arial" w:eastAsia="Arial" w:hAnsi="Arial"/>
                <w:sz w:val="17"/>
                <w:szCs w:val="17"/>
                <w:b w:val="1"/>
                <w:bCs w:val="1"/>
                <w:color w:val="auto"/>
              </w:rPr>
              <w:t>Nine Months Ended September 30,</w:t>
            </w:r>
          </w:p>
        </w:tc>
        <w:tc>
          <w:tcPr>
            <w:tcW w:w="940" w:type="dxa"/>
            <w:vAlign w:val="bottom"/>
          </w:tcPr>
          <w:p>
            <w:pPr>
              <w:spacing w:after="0"/>
              <w:rPr>
                <w:sz w:val="24"/>
                <w:szCs w:val="24"/>
                <w:color w:val="auto"/>
              </w:rPr>
            </w:pPr>
          </w:p>
        </w:tc>
        <w:tc>
          <w:tcPr>
            <w:tcW w:w="96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48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w:t>
            </w:r>
          </w:p>
        </w:tc>
        <w:tc>
          <w:tcPr>
            <w:tcW w:w="9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48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60" w:type="dxa"/>
            <w:vAlign w:val="bottom"/>
            <w:gridSpan w:val="4"/>
          </w:tcPr>
          <w:p>
            <w:pPr>
              <w:jc w:val="right"/>
              <w:ind w:right="254"/>
              <w:spacing w:after="0"/>
              <w:rPr>
                <w:sz w:val="20"/>
                <w:szCs w:val="20"/>
                <w:color w:val="auto"/>
              </w:rPr>
            </w:pPr>
            <w:r>
              <w:rPr>
                <w:rFonts w:ascii="Arial" w:cs="Arial" w:eastAsia="Arial" w:hAnsi="Arial"/>
                <w:sz w:val="17"/>
                <w:szCs w:val="17"/>
                <w:b w:val="1"/>
                <w:bCs w:val="1"/>
                <w:color w:val="auto"/>
              </w:rPr>
              <w:t>(dollars in thousands)</w:t>
            </w: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revenues</w:t>
            </w:r>
          </w:p>
        </w:tc>
        <w:tc>
          <w:tcPr>
            <w:tcW w:w="96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9"/>
              </w:rPr>
              <w:t>5,800</w:t>
            </w:r>
          </w:p>
        </w:tc>
        <w:tc>
          <w:tcPr>
            <w:tcW w:w="1020" w:type="dxa"/>
            <w:vAlign w:val="bottom"/>
            <w:shd w:val="clear" w:color="auto" w:fill="CCEEFF"/>
          </w:tcPr>
          <w:p>
            <w:pPr>
              <w:jc w:val="right"/>
              <w:ind w:right="774"/>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9"/>
              </w:rPr>
              <w:t>5,572</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228</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8"/>
        </w:trPr>
        <w:tc>
          <w:tcPr>
            <w:tcW w:w="4860" w:type="dxa"/>
            <w:vAlign w:val="bottom"/>
          </w:tcPr>
          <w:p>
            <w:pPr>
              <w:ind w:left="20"/>
              <w:spacing w:after="0"/>
              <w:rPr>
                <w:sz w:val="20"/>
                <w:szCs w:val="20"/>
                <w:color w:val="auto"/>
              </w:rPr>
            </w:pPr>
            <w:r>
              <w:rPr>
                <w:rFonts w:ascii="Arial" w:cs="Arial" w:eastAsia="Arial" w:hAnsi="Arial"/>
                <w:sz w:val="17"/>
                <w:szCs w:val="17"/>
                <w:color w:val="auto"/>
              </w:rPr>
              <w:t>Gross margin</w:t>
            </w:r>
          </w:p>
        </w:tc>
        <w:tc>
          <w:tcPr>
            <w:tcW w:w="9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96 %</w:t>
            </w:r>
          </w:p>
        </w:tc>
        <w:tc>
          <w:tcPr>
            <w:tcW w:w="10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95 %</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7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Cost of revenues increased by $0.2 million, or 4% for the nine months ended September 30, 2021 compared to the same period in 2020. The increase was due to an increase in web hosting and internet services of $0.8 million due to increased traffic to our website, offset by a decrease of $0.6 million in payment processing fees, as we provided more cost effective payment options to our clients.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 Expenses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349"/>
        </w:trPr>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10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840" w:type="dxa"/>
            <w:vAlign w:val="bottom"/>
          </w:tcPr>
          <w:p>
            <w:pPr>
              <w:spacing w:after="0"/>
              <w:rPr>
                <w:sz w:val="24"/>
                <w:szCs w:val="24"/>
                <w:color w:val="auto"/>
              </w:rPr>
            </w:pPr>
          </w:p>
        </w:tc>
        <w:tc>
          <w:tcPr>
            <w:tcW w:w="1080" w:type="dxa"/>
            <w:vAlign w:val="bottom"/>
          </w:tcPr>
          <w:p>
            <w:pPr>
              <w:jc w:val="right"/>
              <w:ind w:right="94"/>
              <w:spacing w:after="0"/>
              <w:rPr>
                <w:sz w:val="20"/>
                <w:szCs w:val="20"/>
                <w:color w:val="auto"/>
              </w:rPr>
            </w:pPr>
            <w:r>
              <w:rPr>
                <w:rFonts w:ascii="Arial" w:cs="Arial" w:eastAsia="Arial" w:hAnsi="Arial"/>
                <w:sz w:val="17"/>
                <w:szCs w:val="17"/>
                <w:b w:val="1"/>
                <w:bCs w:val="1"/>
                <w:color w:val="auto"/>
              </w:rPr>
              <w:t>Change</w:t>
            </w:r>
          </w:p>
        </w:tc>
        <w:tc>
          <w:tcPr>
            <w:tcW w:w="1020" w:type="dxa"/>
            <w:vAlign w:val="bottom"/>
          </w:tcPr>
          <w:p>
            <w:pPr>
              <w:spacing w:after="0"/>
              <w:rPr>
                <w:sz w:val="24"/>
                <w:szCs w:val="24"/>
                <w:color w:val="auto"/>
              </w:rPr>
            </w:pPr>
          </w:p>
        </w:tc>
      </w:tr>
      <w:tr>
        <w:trPr>
          <w:trHeight w:val="213"/>
        </w:trPr>
        <w:tc>
          <w:tcPr>
            <w:tcW w:w="484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w:t>
            </w:r>
          </w:p>
        </w:tc>
      </w:tr>
      <w:tr>
        <w:trPr>
          <w:trHeight w:val="212"/>
        </w:trPr>
        <w:tc>
          <w:tcPr>
            <w:tcW w:w="4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60" w:type="dxa"/>
            <w:vAlign w:val="bottom"/>
            <w:gridSpan w:val="3"/>
          </w:tcPr>
          <w:p>
            <w:pPr>
              <w:jc w:val="right"/>
              <w:ind w:right="154"/>
              <w:spacing w:after="0"/>
              <w:rPr>
                <w:sz w:val="20"/>
                <w:szCs w:val="20"/>
                <w:color w:val="auto"/>
              </w:rPr>
            </w:pPr>
            <w:r>
              <w:rPr>
                <w:rFonts w:ascii="Arial" w:cs="Arial" w:eastAsia="Arial" w:hAnsi="Arial"/>
                <w:sz w:val="17"/>
                <w:szCs w:val="17"/>
                <w:b w:val="1"/>
                <w:bCs w:val="1"/>
                <w:color w:val="auto"/>
              </w:rPr>
              <w:t>(dollars in thousands)</w:t>
            </w: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37,194</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21,437</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6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96"/>
              </w:rPr>
              <w:t>15,757</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w:t>
            </w:r>
          </w:p>
        </w:tc>
      </w:tr>
      <w:tr>
        <w:trPr>
          <w:trHeight w:val="218"/>
        </w:trPr>
        <w:tc>
          <w:tcPr>
            <w:tcW w:w="484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27 %</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18 %</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Sales and marketing expenses increased by $15.8 million, or 74% for the nine months ended September 30, 2021 compared to the same period in 2020. The increase was primarily due to an increase in personnel-related costs of $9.7 million, as a result of increased headcount, an increase in sales incentive plan compensation of $1.4 million due to higher revenues, and an increase in stock-based compensation expense of $4.5 million recognized in 2021, an increase in event costs of $2.4 million, primarily related to a large event held in the second quarter of 2021, an increase in online advertising costs of $1.7 million as more advertising options become available in the cannabis industry, an increase in outside services of $0.8 million and an increase in branding and advertising of $0.8 million. Our stock-based compensation increased due in part to the removal of certain limitations on the exercisability of certain equity awards issued to employees and consultants upon the completion of the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240"/>
          </w:cols>
          <w:pgMar w:left="320" w:top="230"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Business Combination. The increase in stock-based compensation expense was also driven by the issuance of restricted stock units to our employees during the third quarter of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020" w:type="dxa"/>
            <w:vAlign w:val="bottom"/>
          </w:tcPr>
          <w:p>
            <w:pPr>
              <w:spacing w:after="0"/>
              <w:rPr>
                <w:sz w:val="20"/>
                <w:szCs w:val="20"/>
                <w:color w:val="auto"/>
              </w:rPr>
            </w:pPr>
            <w:r>
              <w:rPr>
                <w:rFonts w:ascii="Arial" w:cs="Arial" w:eastAsia="Arial" w:hAnsi="Arial"/>
                <w:sz w:val="17"/>
                <w:szCs w:val="17"/>
                <w:b w:val="1"/>
                <w:bCs w:val="1"/>
                <w:i w:val="1"/>
                <w:iCs w:val="1"/>
                <w:color w:val="auto"/>
              </w:rPr>
              <w:t>Product Development Expenses</w:t>
            </w: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349"/>
        </w:trPr>
        <w:tc>
          <w:tcPr>
            <w:tcW w:w="5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8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880" w:type="dxa"/>
            <w:vAlign w:val="bottom"/>
          </w:tcPr>
          <w:p>
            <w:pPr>
              <w:spacing w:after="0"/>
              <w:rPr>
                <w:sz w:val="24"/>
                <w:szCs w:val="24"/>
                <w:color w:val="auto"/>
              </w:rPr>
            </w:pPr>
          </w:p>
        </w:tc>
        <w:tc>
          <w:tcPr>
            <w:tcW w:w="102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1000" w:type="dxa"/>
            <w:vAlign w:val="bottom"/>
          </w:tcPr>
          <w:p>
            <w:pPr>
              <w:spacing w:after="0"/>
              <w:rPr>
                <w:sz w:val="24"/>
                <w:szCs w:val="24"/>
                <w:color w:val="auto"/>
              </w:rPr>
            </w:pPr>
          </w:p>
        </w:tc>
      </w:tr>
      <w:tr>
        <w:trPr>
          <w:trHeight w:val="213"/>
        </w:trPr>
        <w:tc>
          <w:tcPr>
            <w:tcW w:w="50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4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7"/>
                <w:szCs w:val="17"/>
                <w:b w:val="1"/>
                <w:bCs w:val="1"/>
                <w:color w:val="auto"/>
              </w:rPr>
              <w:t>(%)</w:t>
            </w:r>
          </w:p>
        </w:tc>
      </w:tr>
      <w:tr>
        <w:trPr>
          <w:trHeight w:val="212"/>
        </w:trPr>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80" w:type="dxa"/>
            <w:vAlign w:val="bottom"/>
            <w:gridSpan w:val="3"/>
          </w:tcPr>
          <w:p>
            <w:pPr>
              <w:jc w:val="right"/>
              <w:ind w:right="194"/>
              <w:spacing w:after="0"/>
              <w:rPr>
                <w:sz w:val="20"/>
                <w:szCs w:val="20"/>
                <w:color w:val="auto"/>
              </w:rPr>
            </w:pPr>
            <w:r>
              <w:rPr>
                <w:rFonts w:ascii="Arial" w:cs="Arial" w:eastAsia="Arial" w:hAnsi="Arial"/>
                <w:sz w:val="17"/>
                <w:szCs w:val="17"/>
                <w:b w:val="1"/>
                <w:bCs w:val="1"/>
                <w:color w:val="auto"/>
              </w:rPr>
              <w:t>(dollars in thousands)</w:t>
            </w: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Product development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25,921</w:t>
            </w:r>
          </w:p>
        </w:tc>
        <w:tc>
          <w:tcPr>
            <w:tcW w:w="40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20,325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rPr>
              <w:t>5,596</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r>
      <w:tr>
        <w:trPr>
          <w:trHeight w:val="218"/>
        </w:trPr>
        <w:tc>
          <w:tcPr>
            <w:tcW w:w="502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19 %</w:t>
            </w:r>
          </w:p>
        </w:tc>
        <w:tc>
          <w:tcPr>
            <w:tcW w:w="4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17 %</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183"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Product development expenses increased by $5.6 million, or 28% for the nine months ended September 30, 2021 compared to the same period in 2020. The increase was due to an increase in personnel-related costs of $8.9 million, as a result of increased headcount and an increase of $3.9 million in stock-based compensation expense recognized in 2021 and an increase in outside services of $0.4 million, offset by capitalized software development costs of $3.7 million.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40" w:type="dxa"/>
            <w:vAlign w:val="bottom"/>
          </w:tcPr>
          <w:p>
            <w:pPr>
              <w:spacing w:after="0"/>
              <w:rPr>
                <w:sz w:val="20"/>
                <w:szCs w:val="20"/>
                <w:color w:val="auto"/>
              </w:rPr>
            </w:pPr>
            <w:r>
              <w:rPr>
                <w:rFonts w:ascii="Arial" w:cs="Arial" w:eastAsia="Arial" w:hAnsi="Arial"/>
                <w:sz w:val="17"/>
                <w:szCs w:val="17"/>
                <w:b w:val="1"/>
                <w:bCs w:val="1"/>
                <w:i w:val="1"/>
                <w:iCs w:val="1"/>
                <w:color w:val="auto"/>
              </w:rPr>
              <w:t>General and Administrative Expenses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49"/>
        </w:trPr>
        <w:tc>
          <w:tcPr>
            <w:tcW w:w="5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820" w:type="dxa"/>
            <w:vAlign w:val="bottom"/>
          </w:tcPr>
          <w:p>
            <w:pPr>
              <w:spacing w:after="0"/>
              <w:rPr>
                <w:sz w:val="24"/>
                <w:szCs w:val="24"/>
                <w:color w:val="auto"/>
              </w:rPr>
            </w:pPr>
          </w:p>
        </w:tc>
        <w:tc>
          <w:tcPr>
            <w:tcW w:w="1060" w:type="dxa"/>
            <w:vAlign w:val="bottom"/>
          </w:tcPr>
          <w:p>
            <w:pPr>
              <w:jc w:val="right"/>
              <w:ind w:right="74"/>
              <w:spacing w:after="0"/>
              <w:rPr>
                <w:sz w:val="20"/>
                <w:szCs w:val="20"/>
                <w:color w:val="auto"/>
              </w:rPr>
            </w:pPr>
            <w:r>
              <w:rPr>
                <w:rFonts w:ascii="Arial" w:cs="Arial" w:eastAsia="Arial" w:hAnsi="Arial"/>
                <w:sz w:val="17"/>
                <w:szCs w:val="17"/>
                <w:b w:val="1"/>
                <w:bCs w:val="1"/>
                <w:color w:val="auto"/>
              </w:rPr>
              <w:t>Change</w:t>
            </w:r>
          </w:p>
        </w:tc>
        <w:tc>
          <w:tcPr>
            <w:tcW w:w="980" w:type="dxa"/>
            <w:vAlign w:val="bottom"/>
          </w:tcPr>
          <w:p>
            <w:pPr>
              <w:spacing w:after="0"/>
              <w:rPr>
                <w:sz w:val="24"/>
                <w:szCs w:val="24"/>
                <w:color w:val="auto"/>
              </w:rPr>
            </w:pPr>
          </w:p>
        </w:tc>
      </w:tr>
      <w:tr>
        <w:trPr>
          <w:trHeight w:val="213"/>
        </w:trPr>
        <w:tc>
          <w:tcPr>
            <w:tcW w:w="514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80" w:type="dxa"/>
            <w:vAlign w:val="bottom"/>
            <w:tcBorders>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w:t>
            </w:r>
          </w:p>
        </w:tc>
      </w:tr>
      <w:tr>
        <w:trPr>
          <w:trHeight w:val="212"/>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80" w:type="dxa"/>
            <w:vAlign w:val="bottom"/>
            <w:gridSpan w:val="3"/>
          </w:tcPr>
          <w:p>
            <w:pPr>
              <w:jc w:val="right"/>
              <w:ind w:right="114"/>
              <w:spacing w:after="0"/>
              <w:rPr>
                <w:sz w:val="20"/>
                <w:szCs w:val="20"/>
                <w:color w:val="auto"/>
              </w:rPr>
            </w:pPr>
            <w:r>
              <w:rPr>
                <w:rFonts w:ascii="Arial" w:cs="Arial" w:eastAsia="Arial" w:hAnsi="Arial"/>
                <w:sz w:val="17"/>
                <w:szCs w:val="17"/>
                <w:b w:val="1"/>
                <w:bCs w:val="1"/>
                <w:color w:val="auto"/>
              </w:rPr>
              <w:t>(dollars in thousands)</w:t>
            </w: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and administrative expenses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70,356</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37,147</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ind w:right="474"/>
              <w:spacing w:after="0"/>
              <w:rPr>
                <w:sz w:val="20"/>
                <w:szCs w:val="20"/>
                <w:color w:val="auto"/>
              </w:rPr>
            </w:pPr>
            <w:r>
              <w:rPr>
                <w:rFonts w:ascii="Arial" w:cs="Arial" w:eastAsia="Arial" w:hAnsi="Arial"/>
                <w:sz w:val="17"/>
                <w:szCs w:val="17"/>
                <w:color w:val="auto"/>
                <w:w w:val="92"/>
              </w:rPr>
              <w:t>33,209</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r>
      <w:tr>
        <w:trPr>
          <w:trHeight w:val="218"/>
        </w:trPr>
        <w:tc>
          <w:tcPr>
            <w:tcW w:w="514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51 %</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32 %</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54" w:lineRule="exact"/>
        <w:rPr>
          <w:sz w:val="20"/>
          <w:szCs w:val="20"/>
          <w:color w:val="auto"/>
        </w:rPr>
      </w:pPr>
    </w:p>
    <w:p>
      <w:pPr>
        <w:jc w:val="both"/>
        <w:ind w:firstLine="464"/>
        <w:spacing w:after="0"/>
        <w:rPr>
          <w:sz w:val="20"/>
          <w:szCs w:val="20"/>
          <w:color w:val="auto"/>
        </w:rPr>
      </w:pPr>
      <w:r>
        <w:rPr>
          <w:rFonts w:ascii="Arial" w:cs="Arial" w:eastAsia="Arial" w:hAnsi="Arial"/>
          <w:sz w:val="16"/>
          <w:szCs w:val="16"/>
          <w:color w:val="auto"/>
        </w:rPr>
        <w:t>General and administrative expenses increased by $33.2 million, or 89% for the nine months ended September 30, 2021 compared to the same period in 2020. This increase was primarily due to an increase in personnel-related costs of $18.8 million as a result of an increase in stock-based compensation expense in 2021 of $15.3 million, bonuses paid related to the completion of the Business Combination and increased severance costs, an increase in insurance costs of $3.9 million due to additional insurance coverage as a public company, an impairment charge of $2.4 million related to a right-of-use asset, an increase in professional and consulting fees of $3.0 million, an increase in allowance for doubtful accounts of $2.4 million, an increase in rent expense of $0.8 million due to a new office lease that commenced in March 2020, and an increase in software cost of $1.4 million as we entered into new software service agreements to effectively operate the business. Our stock-based compensation increased due in part to the removal of certain limitations on the exercisability of certain equity awards issued to employees and consultants upon the completion of the Business Combination. The increase in stock-based compensation expense was also driven by the issuance of restricted stock units to our employees during the third quarter of 2021.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0" w:type="dxa"/>
            <w:vAlign w:val="bottom"/>
          </w:tcPr>
          <w:p>
            <w:pPr>
              <w:spacing w:after="0"/>
              <w:rPr>
                <w:sz w:val="20"/>
                <w:szCs w:val="20"/>
                <w:color w:val="auto"/>
              </w:rPr>
            </w:pPr>
            <w:r>
              <w:rPr>
                <w:rFonts w:ascii="Arial" w:cs="Arial" w:eastAsia="Arial" w:hAnsi="Arial"/>
                <w:sz w:val="17"/>
                <w:szCs w:val="17"/>
                <w:b w:val="1"/>
                <w:bCs w:val="1"/>
                <w:i w:val="1"/>
                <w:iCs w:val="1"/>
                <w:color w:val="auto"/>
              </w:rPr>
              <w:t>Depreciation and Amortization Expense</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349"/>
        </w:trPr>
        <w:tc>
          <w:tcPr>
            <w:tcW w:w="5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20" w:type="dxa"/>
            <w:vAlign w:val="bottom"/>
            <w:gridSpan w:val="4"/>
          </w:tcPr>
          <w:p>
            <w:pPr>
              <w:ind w:left="100"/>
              <w:spacing w:after="0"/>
              <w:rPr>
                <w:sz w:val="20"/>
                <w:szCs w:val="20"/>
                <w:color w:val="auto"/>
              </w:rPr>
            </w:pPr>
            <w:r>
              <w:rPr>
                <w:rFonts w:ascii="Arial" w:cs="Arial" w:eastAsia="Arial" w:hAnsi="Arial"/>
                <w:sz w:val="17"/>
                <w:szCs w:val="17"/>
                <w:b w:val="1"/>
                <w:bCs w:val="1"/>
                <w:color w:val="auto"/>
              </w:rPr>
              <w:t>Nine Months Ended September 30,</w:t>
            </w:r>
          </w:p>
        </w:tc>
        <w:tc>
          <w:tcPr>
            <w:tcW w:w="900" w:type="dxa"/>
            <w:vAlign w:val="bottom"/>
          </w:tcPr>
          <w:p>
            <w:pPr>
              <w:spacing w:after="0"/>
              <w:rPr>
                <w:sz w:val="24"/>
                <w:szCs w:val="24"/>
                <w:color w:val="auto"/>
              </w:rPr>
            </w:pPr>
          </w:p>
        </w:tc>
        <w:tc>
          <w:tcPr>
            <w:tcW w:w="920" w:type="dxa"/>
            <w:vAlign w:val="bottom"/>
          </w:tcPr>
          <w:p>
            <w:pPr>
              <w:jc w:val="right"/>
              <w:ind w:right="54"/>
              <w:spacing w:after="0"/>
              <w:rPr>
                <w:sz w:val="20"/>
                <w:szCs w:val="20"/>
                <w:color w:val="auto"/>
              </w:rPr>
            </w:pPr>
            <w:r>
              <w:rPr>
                <w:rFonts w:ascii="Arial" w:cs="Arial" w:eastAsia="Arial" w:hAnsi="Arial"/>
                <w:sz w:val="17"/>
                <w:szCs w:val="17"/>
                <w:b w:val="1"/>
                <w:bCs w:val="1"/>
                <w:color w:val="auto"/>
              </w:rPr>
              <w:t>Change</w:t>
            </w:r>
          </w:p>
        </w:tc>
        <w:tc>
          <w:tcPr>
            <w:tcW w:w="980" w:type="dxa"/>
            <w:vAlign w:val="bottom"/>
          </w:tcPr>
          <w:p>
            <w:pPr>
              <w:spacing w:after="0"/>
              <w:rPr>
                <w:sz w:val="24"/>
                <w:szCs w:val="24"/>
                <w:color w:val="auto"/>
              </w:rPr>
            </w:pPr>
          </w:p>
        </w:tc>
      </w:tr>
      <w:tr>
        <w:trPr>
          <w:trHeight w:val="213"/>
        </w:trPr>
        <w:tc>
          <w:tcPr>
            <w:tcW w:w="52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w:t>
            </w:r>
          </w:p>
        </w:tc>
        <w:tc>
          <w:tcPr>
            <w:tcW w:w="9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w:t>
            </w:r>
          </w:p>
        </w:tc>
      </w:tr>
      <w:tr>
        <w:trPr>
          <w:trHeight w:val="212"/>
        </w:trPr>
        <w:tc>
          <w:tcPr>
            <w:tcW w:w="5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60" w:type="dxa"/>
            <w:vAlign w:val="bottom"/>
            <w:gridSpan w:val="3"/>
          </w:tcPr>
          <w:p>
            <w:pPr>
              <w:jc w:val="right"/>
              <w:ind w:right="214"/>
              <w:spacing w:after="0"/>
              <w:rPr>
                <w:sz w:val="20"/>
                <w:szCs w:val="20"/>
                <w:color w:val="auto"/>
              </w:rPr>
            </w:pPr>
            <w:r>
              <w:rPr>
                <w:rFonts w:ascii="Arial" w:cs="Arial" w:eastAsia="Arial" w:hAnsi="Arial"/>
                <w:sz w:val="17"/>
                <w:szCs w:val="17"/>
                <w:b w:val="1"/>
                <w:bCs w:val="1"/>
                <w:color w:val="auto"/>
              </w:rPr>
              <w:t>(dollars in thousands)</w:t>
            </w: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9"/>
        </w:trPr>
        <w:tc>
          <w:tcPr>
            <w:tcW w:w="5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Depreciation and amortization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2,970</w:t>
            </w:r>
          </w:p>
        </w:tc>
        <w:tc>
          <w:tcPr>
            <w:tcW w:w="38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1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2,980</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414"/>
              <w:spacing w:after="0"/>
              <w:rPr>
                <w:sz w:val="20"/>
                <w:szCs w:val="20"/>
                <w:color w:val="auto"/>
              </w:rPr>
            </w:pPr>
            <w:r>
              <w:rPr>
                <w:rFonts w:ascii="Arial" w:cs="Arial" w:eastAsia="Arial" w:hAnsi="Arial"/>
                <w:sz w:val="17"/>
                <w:szCs w:val="17"/>
                <w:color w:val="auto"/>
              </w:rPr>
              <w:t>(10)</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52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2 %</w:t>
            </w:r>
          </w:p>
        </w:tc>
        <w:tc>
          <w:tcPr>
            <w:tcW w:w="3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3 %</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r>
    </w:tbl>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Depreciation and amortization were consistent for the nine months ended September 30, 2021 compared to the same period in 2020.</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ectPr>
          <w:pgSz w:w="11900" w:h="16838" w:orient="portrait"/>
          <w:cols w:equalWidth="0" w:num="1">
            <w:col w:w="11240"/>
          </w:cols>
          <w:pgMar w:left="320" w:top="230"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20"/>
                <w:szCs w:val="20"/>
                <w:color w:val="auto"/>
              </w:rPr>
            </w:pPr>
            <w:r>
              <w:rPr>
                <w:rFonts w:ascii="Arial" w:cs="Arial" w:eastAsia="Arial" w:hAnsi="Arial"/>
                <w:sz w:val="17"/>
                <w:szCs w:val="17"/>
                <w:b w:val="1"/>
                <w:bCs w:val="1"/>
                <w:i w:val="1"/>
                <w:iCs w:val="1"/>
                <w:color w:val="auto"/>
              </w:rPr>
              <w:t>Other Income (Expense), net</w:t>
            </w: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6"/>
        </w:trPr>
        <w:tc>
          <w:tcPr>
            <w:tcW w:w="5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96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7"/>
                <w:szCs w:val="17"/>
                <w:b w:val="1"/>
                <w:bCs w:val="1"/>
                <w:color w:val="auto"/>
                <w:w w:val="94"/>
              </w:rPr>
              <w:t>Nine Months Ended September 30,</w:t>
            </w:r>
          </w:p>
        </w:tc>
        <w:tc>
          <w:tcPr>
            <w:tcW w:w="100" w:type="dxa"/>
            <w:vAlign w:val="bottom"/>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7"/>
                <w:szCs w:val="17"/>
                <w:b w:val="1"/>
                <w:bCs w:val="1"/>
                <w:color w:val="auto"/>
              </w:rPr>
              <w:t>Change</w:t>
            </w:r>
          </w:p>
        </w:tc>
        <w:tc>
          <w:tcPr>
            <w:tcW w:w="1000" w:type="dxa"/>
            <w:vAlign w:val="bottom"/>
            <w:tcBorders>
              <w:bottom w:val="single" w:sz="8" w:color="auto"/>
            </w:tcBorders>
          </w:tcPr>
          <w:p>
            <w:pPr>
              <w:spacing w:after="0"/>
              <w:rPr>
                <w:sz w:val="21"/>
                <w:szCs w:val="21"/>
                <w:color w:val="auto"/>
              </w:rPr>
            </w:pPr>
          </w:p>
        </w:tc>
      </w:tr>
      <w:tr>
        <w:trPr>
          <w:trHeight w:val="213"/>
        </w:trPr>
        <w:tc>
          <w:tcPr>
            <w:tcW w:w="5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4"/>
              <w:spacing w:after="0"/>
              <w:rPr>
                <w:sz w:val="20"/>
                <w:szCs w:val="20"/>
                <w:color w:val="auto"/>
              </w:rPr>
            </w:pPr>
            <w:r>
              <w:rPr>
                <w:rFonts w:ascii="Arial" w:cs="Arial" w:eastAsia="Arial" w:hAnsi="Arial"/>
                <w:sz w:val="17"/>
                <w:szCs w:val="17"/>
                <w:b w:val="1"/>
                <w:bCs w:val="1"/>
                <w:color w:val="auto"/>
              </w:rPr>
              <w:t>2020</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0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w:t>
            </w:r>
          </w:p>
        </w:tc>
      </w:tr>
      <w:tr>
        <w:trPr>
          <w:trHeight w:val="212"/>
        </w:trPr>
        <w:tc>
          <w:tcPr>
            <w:tcW w:w="5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ind w:right="134"/>
              <w:spacing w:after="0"/>
              <w:rPr>
                <w:sz w:val="20"/>
                <w:szCs w:val="20"/>
                <w:color w:val="auto"/>
              </w:rPr>
            </w:pPr>
            <w:r>
              <w:rPr>
                <w:rFonts w:ascii="Arial" w:cs="Arial" w:eastAsia="Arial" w:hAnsi="Arial"/>
                <w:sz w:val="17"/>
                <w:szCs w:val="17"/>
                <w:b w:val="1"/>
                <w:bCs w:val="1"/>
                <w:color w:val="auto"/>
              </w:rPr>
              <w:t>(dollars in thousands)</w:t>
            </w: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9"/>
        </w:trPr>
        <w:tc>
          <w:tcPr>
            <w:tcW w:w="51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 in fair value of warrant liability</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83,628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83,628</w:t>
            </w:r>
          </w:p>
        </w:tc>
        <w:tc>
          <w:tcPr>
            <w:tcW w:w="1000" w:type="dxa"/>
            <w:vAlign w:val="bottom"/>
            <w:shd w:val="clear" w:color="auto" w:fill="CCEEFF"/>
          </w:tcPr>
          <w:p>
            <w:pPr>
              <w:ind w:left="680"/>
              <w:spacing w:after="0"/>
              <w:rPr>
                <w:sz w:val="20"/>
                <w:szCs w:val="20"/>
                <w:color w:val="auto"/>
              </w:rPr>
            </w:pPr>
            <w:r>
              <w:rPr>
                <w:rFonts w:ascii="Arial" w:cs="Arial" w:eastAsia="Arial" w:hAnsi="Arial"/>
                <w:sz w:val="17"/>
                <w:szCs w:val="17"/>
                <w:color w:val="auto"/>
              </w:rPr>
              <w:t>100</w:t>
            </w:r>
          </w:p>
        </w:tc>
      </w:tr>
      <w:tr>
        <w:trPr>
          <w:trHeight w:val="218"/>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expense, net</w:t>
            </w: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(6,341)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(1,277)</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ind w:left="40"/>
              <w:spacing w:after="0"/>
              <w:rPr>
                <w:sz w:val="20"/>
                <w:szCs w:val="20"/>
                <w:color w:val="auto"/>
              </w:rPr>
            </w:pPr>
            <w:r>
              <w:rPr>
                <w:rFonts w:ascii="Arial" w:cs="Arial" w:eastAsia="Arial" w:hAnsi="Arial"/>
                <w:sz w:val="17"/>
                <w:szCs w:val="17"/>
                <w:color w:val="auto"/>
              </w:rPr>
              <w:t>(5,064)</w:t>
            </w:r>
          </w:p>
        </w:tc>
        <w:tc>
          <w:tcPr>
            <w:tcW w:w="1000" w:type="dxa"/>
            <w:vAlign w:val="bottom"/>
            <w:tcBorders>
              <w:bottom w:val="single" w:sz="8" w:color="CCEEFF"/>
            </w:tcBorders>
          </w:tcPr>
          <w:p>
            <w:pPr>
              <w:ind w:left="680"/>
              <w:spacing w:after="0"/>
              <w:rPr>
                <w:sz w:val="20"/>
                <w:szCs w:val="20"/>
                <w:color w:val="auto"/>
              </w:rPr>
            </w:pPr>
            <w:r>
              <w:rPr>
                <w:rFonts w:ascii="Arial" w:cs="Arial" w:eastAsia="Arial" w:hAnsi="Arial"/>
                <w:sz w:val="17"/>
                <w:szCs w:val="17"/>
                <w:color w:val="auto"/>
              </w:rPr>
              <w:t>397</w:t>
            </w:r>
          </w:p>
        </w:tc>
      </w:tr>
      <w:tr>
        <w:trPr>
          <w:trHeight w:val="213"/>
        </w:trPr>
        <w:tc>
          <w:tcPr>
            <w:tcW w:w="51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Other income (expense), net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77,287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(1,277)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78,564</w:t>
            </w:r>
          </w:p>
        </w:tc>
        <w:tc>
          <w:tcPr>
            <w:tcW w:w="1000" w:type="dxa"/>
            <w:vAlign w:val="bottom"/>
            <w:shd w:val="clear" w:color="auto" w:fill="CCEEFF"/>
          </w:tcPr>
          <w:p>
            <w:pPr>
              <w:ind w:left="660"/>
              <w:spacing w:after="0"/>
              <w:rPr>
                <w:sz w:val="20"/>
                <w:szCs w:val="20"/>
                <w:color w:val="auto"/>
              </w:rPr>
            </w:pPr>
            <w:r>
              <w:rPr>
                <w:rFonts w:ascii="Arial" w:cs="Arial" w:eastAsia="Arial" w:hAnsi="Arial"/>
                <w:sz w:val="17"/>
                <w:szCs w:val="17"/>
                <w:color w:val="auto"/>
              </w:rPr>
              <w:t>N/M</w:t>
            </w:r>
          </w:p>
        </w:tc>
      </w:tr>
      <w:tr>
        <w:trPr>
          <w:trHeight w:val="218"/>
        </w:trPr>
        <w:tc>
          <w:tcPr>
            <w:tcW w:w="5100" w:type="dxa"/>
            <w:vAlign w:val="bottom"/>
          </w:tcPr>
          <w:p>
            <w:pPr>
              <w:ind w:left="20"/>
              <w:spacing w:after="0"/>
              <w:rPr>
                <w:sz w:val="20"/>
                <w:szCs w:val="20"/>
                <w:color w:val="auto"/>
              </w:rPr>
            </w:pPr>
            <w:r>
              <w:rPr>
                <w:rFonts w:ascii="Arial" w:cs="Arial" w:eastAsia="Arial" w:hAnsi="Arial"/>
                <w:sz w:val="17"/>
                <w:szCs w:val="17"/>
                <w:color w:val="auto"/>
              </w:rPr>
              <w:t>Percentage of revenue</w:t>
            </w: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56 %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tcPr>
          <w:p>
            <w:pPr>
              <w:spacing w:after="0"/>
              <w:rPr>
                <w:sz w:val="18"/>
                <w:szCs w:val="18"/>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color w:val="auto"/>
        </w:rPr>
        <w:t>N/M - Not meaningful</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Other income, net increased by $78.6 million for the nine months ended September 30, 2021 compared to the same period in 2020. The increase in other income was due to changes in fair value of warrant liability of $83.6 million, offset by an increase in other expense, net of $5.1 million. The increase in other expense, net was primarily due to warrant transaction costs of $5.5 million related to the Business Combination, offset by a decrease of $0.6 million related to changes in foreign currency transaction losses.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Seasonality</w:t>
      </w:r>
    </w:p>
    <w:p>
      <w:pPr>
        <w:spacing w:after="0" w:line="114" w:lineRule="exact"/>
        <w:rPr>
          <w:sz w:val="20"/>
          <w:szCs w:val="20"/>
          <w:color w:val="auto"/>
        </w:rPr>
      </w:pPr>
    </w:p>
    <w:p>
      <w:pPr>
        <w:jc w:val="both"/>
        <w:ind w:firstLine="464"/>
        <w:spacing w:after="0" w:line="290" w:lineRule="auto"/>
        <w:rPr>
          <w:sz w:val="20"/>
          <w:szCs w:val="20"/>
          <w:color w:val="auto"/>
        </w:rPr>
      </w:pPr>
      <w:r>
        <w:rPr>
          <w:rFonts w:ascii="Arial" w:cs="Arial" w:eastAsia="Arial" w:hAnsi="Arial"/>
          <w:sz w:val="16"/>
          <w:szCs w:val="16"/>
          <w:color w:val="auto"/>
        </w:rPr>
        <w:t>Our rapid growth and recent changes in legislation have historically offset seasonal trends in our business. While seasonality has not had a significant impact on our results in the past, our clients may experience seasonality in their businesses which in turn can impact the revenue generated from them. Our business may become more seasonal in the future and historical patterns in our business may not be a reliable indicator of future performance.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Liquidity and Capital Resources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tables show our cash, accounts receivable and working capital as of the dates indicated:</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1"/>
              </w:rPr>
              <w:t>September 30, 2021</w:t>
            </w: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w w:val="91"/>
              </w:rPr>
              <w:t>December 31, 2020</w:t>
            </w:r>
          </w:p>
        </w:tc>
      </w:tr>
      <w:tr>
        <w:trPr>
          <w:trHeight w:val="178"/>
        </w:trPr>
        <w:tc>
          <w:tcPr>
            <w:tcW w:w="79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20" w:type="dxa"/>
            <w:vAlign w:val="bottom"/>
            <w:gridSpan w:val="3"/>
          </w:tcPr>
          <w:p>
            <w:pPr>
              <w:jc w:val="right"/>
              <w:ind w:right="1138"/>
              <w:spacing w:after="0"/>
              <w:rPr>
                <w:sz w:val="20"/>
                <w:szCs w:val="20"/>
                <w:color w:val="auto"/>
              </w:rPr>
            </w:pPr>
            <w:r>
              <w:rPr>
                <w:rFonts w:ascii="Arial" w:cs="Arial" w:eastAsia="Arial" w:hAnsi="Arial"/>
                <w:sz w:val="14"/>
                <w:szCs w:val="14"/>
                <w:b w:val="1"/>
                <w:bCs w:val="1"/>
                <w:color w:val="auto"/>
              </w:rPr>
              <w:t>(in thousands)</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77,935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19,919</w:t>
            </w:r>
          </w:p>
        </w:tc>
      </w:tr>
      <w:tr>
        <w:trPr>
          <w:trHeight w:val="218"/>
        </w:trPr>
        <w:tc>
          <w:tcPr>
            <w:tcW w:w="7960" w:type="dxa"/>
            <w:vAlign w:val="bottom"/>
          </w:tcPr>
          <w:p>
            <w:pPr>
              <w:ind w:left="20"/>
              <w:spacing w:after="0"/>
              <w:rPr>
                <w:sz w:val="20"/>
                <w:szCs w:val="20"/>
                <w:color w:val="auto"/>
              </w:rPr>
            </w:pPr>
            <w:r>
              <w:rPr>
                <w:rFonts w:ascii="Arial" w:cs="Arial" w:eastAsia="Arial" w:hAnsi="Arial"/>
                <w:sz w:val="17"/>
                <w:szCs w:val="17"/>
                <w:color w:val="auto"/>
              </w:rPr>
              <w:t>Accounts receivable, net</w:t>
            </w:r>
          </w:p>
        </w:tc>
        <w:tc>
          <w:tcPr>
            <w:tcW w:w="160" w:type="dxa"/>
            <w:vAlign w:val="bottom"/>
          </w:tcPr>
          <w:p>
            <w:pPr>
              <w:spacing w:after="0"/>
              <w:rPr>
                <w:sz w:val="18"/>
                <w:szCs w:val="18"/>
                <w:color w:val="auto"/>
              </w:rPr>
            </w:pPr>
          </w:p>
        </w:tc>
        <w:tc>
          <w:tcPr>
            <w:tcW w:w="1460" w:type="dxa"/>
            <w:vAlign w:val="bottom"/>
          </w:tcPr>
          <w:p>
            <w:pPr>
              <w:jc w:val="right"/>
              <w:ind w:right="21"/>
              <w:spacing w:after="0"/>
              <w:rPr>
                <w:sz w:val="20"/>
                <w:szCs w:val="20"/>
                <w:color w:val="auto"/>
              </w:rPr>
            </w:pPr>
            <w:r>
              <w:rPr>
                <w:rFonts w:ascii="Arial" w:cs="Arial" w:eastAsia="Arial" w:hAnsi="Arial"/>
                <w:sz w:val="17"/>
                <w:szCs w:val="17"/>
                <w:color w:val="auto"/>
              </w:rPr>
              <w:t>12,784</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9,428</w:t>
            </w:r>
          </w:p>
        </w:tc>
      </w:tr>
      <w:tr>
        <w:trPr>
          <w:trHeight w:val="220"/>
        </w:trPr>
        <w:tc>
          <w:tcPr>
            <w:tcW w:w="7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Working capital</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68,161</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10,918</w:t>
            </w:r>
          </w:p>
        </w:tc>
      </w:tr>
    </w:tbl>
    <w:p>
      <w:pPr>
        <w:spacing w:after="0" w:line="200" w:lineRule="exact"/>
        <w:rPr>
          <w:sz w:val="20"/>
          <w:szCs w:val="20"/>
          <w:color w:val="auto"/>
        </w:rPr>
      </w:pPr>
    </w:p>
    <w:p>
      <w:pPr>
        <w:spacing w:after="0" w:line="226"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As of September 30, 2021, we have cash of $77.9 million. During the second quarter of fiscal year 2021, we completed the Business Combination, resulting in proceeds of approximately $80.0 million. The additional funds will be used for funding our current operations and potential strategic acquisitions in the future. We also intend to increase our capital expenditures to support the organic growth in our business and operations. We expect to fund our near-term capital expenditures from cash provided by operating activities. We believe that our existing cash and cash generated from operations will be sufficient to meet our anticipated cash needs for at least the next 12 months. However, our liquidity assumptions may prove to be incorrect, and we could exhaust our available financial resources sooner than we currently expect. We may seek to raise additional funds at any time through equity, equity-linked or debt financing arrangements. Our future capital requirements and the adequacy of available funds will depend on many factors. We may not be able to secure additional financing to meet our operating requirements on acceptable terms, or at all.</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114"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Since our inception, we have financed our operations and capital expenditures primarily through cash flows generated by operations, a secured revolving line of credit agreement, the private sales of equity securities, and recently, the public sales of equity securities as a result of the Business Combination.</w:t>
      </w:r>
    </w:p>
    <w:p>
      <w:pPr>
        <w:spacing w:after="0" w:line="14" w:lineRule="exact"/>
        <w:rPr>
          <w:sz w:val="20"/>
          <w:szCs w:val="20"/>
          <w:color w:val="auto"/>
        </w:rPr>
      </w:pPr>
    </w:p>
    <w:p>
      <w:pPr>
        <w:jc w:val="both"/>
        <w:ind w:firstLine="464"/>
        <w:spacing w:after="0" w:line="259" w:lineRule="auto"/>
        <w:rPr>
          <w:sz w:val="20"/>
          <w:szCs w:val="20"/>
          <w:color w:val="auto"/>
        </w:rPr>
      </w:pPr>
      <w:r>
        <w:rPr>
          <w:rFonts w:ascii="Arial" w:cs="Arial" w:eastAsia="Arial" w:hAnsi="Arial"/>
          <w:sz w:val="17"/>
          <w:szCs w:val="17"/>
          <w:color w:val="auto"/>
        </w:rPr>
        <w:t>To the extent existing cash and investments and cash from operations are not sufficient to fund future activities, we may need to raise additional funds. We may seek to raise additional funds through equity, equity-linked or debt financings. If we raise additional funds through the incurrence of indebtedness, such indebtedness may have rights that are senior to holders of our equity securities and could contain covenants that restrict operations. Any additional equity financing may be dilutive to stockholders. We may enter into investment or acquisition transactions in the future, which could require us to seek additional equity financing, incur indebtedness, or use cash resources.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240"/>
          </w:cols>
          <w:pgMar w:left="320" w:top="230"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40" w:type="dxa"/>
            <w:vAlign w:val="bottom"/>
          </w:tcPr>
          <w:p>
            <w:pPr>
              <w:spacing w:after="0"/>
              <w:rPr>
                <w:sz w:val="20"/>
                <w:szCs w:val="20"/>
                <w:color w:val="auto"/>
              </w:rPr>
            </w:pPr>
            <w:r>
              <w:rPr>
                <w:rFonts w:ascii="Arial" w:cs="Arial" w:eastAsia="Arial" w:hAnsi="Arial"/>
                <w:sz w:val="17"/>
                <w:szCs w:val="17"/>
                <w:b w:val="1"/>
                <w:bCs w:val="1"/>
                <w:i w:val="1"/>
                <w:iCs w:val="1"/>
                <w:color w:val="auto"/>
              </w:rPr>
              <w:t>Cash Flows</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361"/>
        </w:trPr>
        <w:tc>
          <w:tcPr>
            <w:tcW w:w="8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20" w:type="dxa"/>
            <w:vAlign w:val="bottom"/>
            <w:gridSpan w:val="3"/>
          </w:tcPr>
          <w:p>
            <w:pPr>
              <w:jc w:val="right"/>
              <w:ind w:right="34"/>
              <w:spacing w:after="0"/>
              <w:rPr>
                <w:sz w:val="20"/>
                <w:szCs w:val="20"/>
                <w:color w:val="auto"/>
              </w:rPr>
            </w:pPr>
            <w:r>
              <w:rPr>
                <w:rFonts w:ascii="Arial" w:cs="Arial" w:eastAsia="Arial" w:hAnsi="Arial"/>
                <w:sz w:val="17"/>
                <w:szCs w:val="17"/>
                <w:b w:val="1"/>
                <w:bCs w:val="1"/>
                <w:color w:val="auto"/>
                <w:w w:val="88"/>
              </w:rPr>
              <w:t>Nine months ended September 30,</w:t>
            </w:r>
          </w:p>
        </w:tc>
      </w:tr>
      <w:tr>
        <w:trPr>
          <w:trHeight w:val="27"/>
        </w:trPr>
        <w:tc>
          <w:tcPr>
            <w:tcW w:w="84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2"/>
        </w:trPr>
        <w:tc>
          <w:tcPr>
            <w:tcW w:w="84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54"/>
              <w:spacing w:after="0"/>
              <w:rPr>
                <w:sz w:val="20"/>
                <w:szCs w:val="20"/>
                <w:color w:val="auto"/>
              </w:rPr>
            </w:pPr>
            <w:r>
              <w:rPr>
                <w:rFonts w:ascii="Arial" w:cs="Arial" w:eastAsia="Arial" w:hAnsi="Arial"/>
                <w:sz w:val="17"/>
                <w:szCs w:val="17"/>
                <w:b w:val="1"/>
                <w:bCs w:val="1"/>
                <w:color w:val="auto"/>
              </w:rPr>
              <w:t>2021</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7"/>
                <w:szCs w:val="17"/>
                <w:b w:val="1"/>
                <w:bCs w:val="1"/>
                <w:color w:val="auto"/>
                <w:w w:val="84"/>
              </w:rPr>
              <w:t>2020</w:t>
            </w:r>
          </w:p>
        </w:tc>
      </w:tr>
      <w:tr>
        <w:trPr>
          <w:trHeight w:val="212"/>
        </w:trPr>
        <w:tc>
          <w:tcPr>
            <w:tcW w:w="8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2"/>
          </w:tcPr>
          <w:p>
            <w:pPr>
              <w:jc w:val="right"/>
              <w:spacing w:after="0"/>
              <w:rPr>
                <w:sz w:val="20"/>
                <w:szCs w:val="20"/>
                <w:color w:val="auto"/>
              </w:rPr>
            </w:pPr>
            <w:r>
              <w:rPr>
                <w:rFonts w:ascii="Arial" w:cs="Arial" w:eastAsia="Arial" w:hAnsi="Arial"/>
                <w:sz w:val="17"/>
                <w:szCs w:val="17"/>
                <w:b w:val="1"/>
                <w:bCs w:val="1"/>
                <w:color w:val="auto"/>
              </w:rPr>
              <w:t>(in thousands)</w:t>
            </w:r>
          </w:p>
        </w:tc>
        <w:tc>
          <w:tcPr>
            <w:tcW w:w="840" w:type="dxa"/>
            <w:vAlign w:val="bottom"/>
          </w:tcPr>
          <w:p>
            <w:pPr>
              <w:spacing w:after="0"/>
              <w:rPr>
                <w:sz w:val="18"/>
                <w:szCs w:val="18"/>
                <w:color w:val="auto"/>
              </w:rPr>
            </w:pPr>
          </w:p>
        </w:tc>
      </w:tr>
      <w:tr>
        <w:trPr>
          <w:trHeight w:val="219"/>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operating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w w:val="92"/>
              </w:rPr>
              <w:t>25,173</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29,566</w:t>
            </w:r>
          </w:p>
        </w:tc>
      </w:tr>
      <w:tr>
        <w:trPr>
          <w:trHeight w:val="218"/>
        </w:trPr>
        <w:tc>
          <w:tcPr>
            <w:tcW w:w="84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tcPr>
          <w:p>
            <w:pPr>
              <w:jc w:val="center"/>
              <w:ind w:left="434"/>
              <w:spacing w:after="0"/>
              <w:rPr>
                <w:sz w:val="20"/>
                <w:szCs w:val="20"/>
                <w:color w:val="auto"/>
              </w:rPr>
            </w:pPr>
            <w:r>
              <w:rPr>
                <w:rFonts w:ascii="Arial" w:cs="Arial" w:eastAsia="Arial" w:hAnsi="Arial"/>
                <w:sz w:val="17"/>
                <w:szCs w:val="17"/>
                <w:color w:val="auto"/>
                <w:w w:val="91"/>
              </w:rPr>
              <w:t>(23,246)</w:t>
            </w:r>
          </w:p>
        </w:tc>
        <w:tc>
          <w:tcPr>
            <w:tcW w:w="520" w:type="dxa"/>
            <w:vAlign w:val="bottom"/>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(903)</w:t>
            </w:r>
          </w:p>
        </w:tc>
      </w:tr>
      <w:tr>
        <w:trPr>
          <w:trHeight w:val="220"/>
        </w:trPr>
        <w:tc>
          <w:tcPr>
            <w:tcW w:w="84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center"/>
              <w:ind w:left="454"/>
              <w:spacing w:after="0"/>
              <w:rPr>
                <w:sz w:val="20"/>
                <w:szCs w:val="20"/>
                <w:color w:val="auto"/>
              </w:rPr>
            </w:pPr>
            <w:r>
              <w:rPr>
                <w:rFonts w:ascii="Arial" w:cs="Arial" w:eastAsia="Arial" w:hAnsi="Arial"/>
                <w:sz w:val="17"/>
                <w:szCs w:val="17"/>
                <w:color w:val="auto"/>
                <w:w w:val="92"/>
              </w:rPr>
              <w:t>56,089</w:t>
            </w:r>
          </w:p>
        </w:tc>
        <w:tc>
          <w:tcPr>
            <w:tcW w:w="52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(9,499)</w:t>
            </w:r>
          </w:p>
        </w:tc>
      </w:tr>
    </w:tbl>
    <w:p>
      <w:pPr>
        <w:spacing w:after="0" w:line="284"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Provided by Operating Activities</w:t>
      </w:r>
    </w:p>
    <w:p>
      <w:pPr>
        <w:spacing w:after="0" w:line="114" w:lineRule="exact"/>
        <w:rPr>
          <w:sz w:val="20"/>
          <w:szCs w:val="20"/>
          <w:color w:val="auto"/>
        </w:rPr>
      </w:pPr>
    </w:p>
    <w:p>
      <w:pPr>
        <w:jc w:val="both"/>
        <w:ind w:firstLine="464"/>
        <w:spacing w:after="0" w:line="349" w:lineRule="auto"/>
        <w:rPr>
          <w:sz w:val="20"/>
          <w:szCs w:val="20"/>
          <w:color w:val="auto"/>
        </w:rPr>
      </w:pPr>
      <w:r>
        <w:rPr>
          <w:rFonts w:ascii="Arial" w:cs="Arial" w:eastAsia="Arial" w:hAnsi="Arial"/>
          <w:sz w:val="15"/>
          <w:szCs w:val="15"/>
          <w:color w:val="auto"/>
        </w:rPr>
        <w:t>Cash from operating activities consists primarily of net income adjusted for certain non-cash items, including depreciation and amortization, change in fair value of warrant liability, impairment loss, stock-based compensation, provision for doubtful accounts, deferred taxes and the effect of changes in working capital.</w:t>
      </w:r>
    </w:p>
    <w:p>
      <w:pPr>
        <w:spacing w:after="0" w:line="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Net cash from operating activities for the nine months ended September 30, 2021 was $25.2 million, which resulted from net income of $73.8 million, together with a net cash inflows of $3.0 million from changes in operating assets and liabilities, and non-cash items of $51.6 million, consisting of depreciation and amortization of $3.0 million, fair value of warrant liability of $83.6 million, impairment loss of $2.4 million, stock-based compensation of $23.6 million and provision for doubtful accounts of $3.0 million. The net cash inflows from changes in operating assets and liabilities were primarily due to a decrease in prepaid and other current assets of $6.5 million, an increase in accounts payable and accrued expenses of $0.3 million and an increase in deferred revenue of $2.5 million, offset by an increase in accounts receivable of $6.4 million. The changes in operating assets and liabilities are mostly due to fluctuations in timing of cash receipts and payments.</w:t>
      </w:r>
    </w:p>
    <w:p>
      <w:pPr>
        <w:spacing w:after="0" w:line="82"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Net cash from operating activities for the nine months ended September 30, 2020 was $29.6 million, which resulted from net income of $28.7 million, together with a net cash outflows of $2.1 million from changes in operating assets and liabilities, and non-cash items of $3.0 million, consisting of depreciation and amortization. The net cash outflows from changes in operating assets and liabilities were primarily due to an increase in accounts receivables of $4.3 million, a decrease in accounts payable and accrued expenses of $1.1 million and an increase in prepaid expenses and other current assets of $0.5 million. These changes were partially offset by an increase in deferred revenue of $3.2 million and a decrease in other assets of $0.5 million. The changes in operating assets and liabilities are mostly due to fluctuations in timing of cash receipts and payments.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Used in Investing Activities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Cash used in investing activities for the nine months ended September 30, 2021 was $23.2 million, which resulted from $16.0 million cash paid for acquisitions, $4.2 million cash paid for purchases of property and equipment, including certain capitalized software development cost and $3.0 million cash paid for other investments.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Cash used in investing activities for the nine months ended September 30, 2020 was $0.9 million for purchases of property and equipment.</w:t>
      </w:r>
    </w:p>
    <w:p>
      <w:pPr>
        <w:spacing w:after="0" w:line="217" w:lineRule="exact"/>
        <w:rPr>
          <w:sz w:val="20"/>
          <w:szCs w:val="20"/>
          <w:color w:val="auto"/>
        </w:rPr>
      </w:pPr>
    </w:p>
    <w:p>
      <w:pPr>
        <w:ind w:left="460"/>
        <w:spacing w:after="0"/>
        <w:rPr>
          <w:sz w:val="20"/>
          <w:szCs w:val="20"/>
          <w:color w:val="auto"/>
        </w:rPr>
      </w:pPr>
      <w:r>
        <w:rPr>
          <w:rFonts w:ascii="Arial" w:cs="Arial" w:eastAsia="Arial" w:hAnsi="Arial"/>
          <w:sz w:val="17"/>
          <w:szCs w:val="17"/>
          <w:i w:val="1"/>
          <w:iCs w:val="1"/>
          <w:color w:val="auto"/>
        </w:rPr>
        <w:t>Net Cash Provided by (Used in) Financing Activities</w:t>
      </w:r>
    </w:p>
    <w:p>
      <w:pPr>
        <w:spacing w:after="0" w:line="114"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Net Cash provided by financing activities for the nine months ended September 30, 2021 was $56.1 million, which resulted from net proceeds from Business Combination of $80.0 million, offset by $18.1 million distribution payments to members, $5.6 million paid for the repurchase of Class B Units and $0.2 million repayment of notes payable to members.</w:t>
      </w:r>
    </w:p>
    <w:p>
      <w:pPr>
        <w:spacing w:after="0" w:line="72"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Net cash used in financing activities for the nine months ended September 30, 2020 was $9.5 million, which resulted from $9.2 million distributions to members and $0.3 million paid for the repurchase of Class B Units.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 Arrangements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We did not have any off-balance sheet arrangements in any of the periods presented in this quarterly report, except for operating leases as of December 31, 2020 prior to the adoption of Accounting Standards Codification (“ASC”) 842 - </w:t>
      </w:r>
      <w:r>
        <w:rPr>
          <w:rFonts w:ascii="Arial" w:cs="Arial" w:eastAsia="Arial" w:hAnsi="Arial"/>
          <w:sz w:val="17"/>
          <w:szCs w:val="17"/>
          <w:i w:val="1"/>
          <w:iCs w:val="1"/>
          <w:color w:val="auto"/>
        </w:rPr>
        <w:t>Leases</w:t>
      </w:r>
      <w:r>
        <w:rPr>
          <w:rFonts w:ascii="Arial" w:cs="Arial" w:eastAsia="Arial" w:hAnsi="Arial"/>
          <w:sz w:val="17"/>
          <w:szCs w:val="17"/>
          <w:color w:val="auto"/>
        </w:rPr>
        <w:t>, as discussed below.</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w:t>
      </w:r>
    </w:p>
    <w:p>
      <w:pPr>
        <w:spacing w:after="0" w:line="120"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Our condensed consolidated financial statements are prepared in accordance with GAAP. The preparation of these consolidated financial statements requires us to make estimates and assumptions that affect the reported amounts of assets,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240"/>
          </w:cols>
          <w:pgMar w:left="320" w:top="230"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37"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believe that the assumptions and estimates associated with revenue recognition, website and internal-use software development costs, income taxes, fair value measurements and equity-based compensation have the greatest potential impact on our condensed consolidated financial statements. Therefore, we consider these to be our critical accounting policies and estimates. For further information on all of our significant accounting policies, see Note 2 to our condensed consolidated financial statements included herein.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114" w:lineRule="exact"/>
        <w:rPr>
          <w:sz w:val="20"/>
          <w:szCs w:val="20"/>
          <w:color w:val="auto"/>
        </w:rPr>
      </w:pPr>
    </w:p>
    <w:p>
      <w:pPr>
        <w:jc w:val="both"/>
        <w:ind w:firstLine="464"/>
        <w:spacing w:after="0" w:line="276" w:lineRule="auto"/>
        <w:rPr>
          <w:sz w:val="20"/>
          <w:szCs w:val="20"/>
          <w:color w:val="auto"/>
        </w:rPr>
      </w:pPr>
      <w:r>
        <w:rPr>
          <w:rFonts w:ascii="Arial" w:cs="Arial" w:eastAsia="Arial" w:hAnsi="Arial"/>
          <w:sz w:val="16"/>
          <w:szCs w:val="16"/>
          <w:color w:val="auto"/>
        </w:rPr>
        <w:t>Our revenues are derived primarily from monthly subscriptions and additional offerings for access to our Weedmaps platform and our WM Business SaaS solution. We recognize revenue when the fundamental criteria for revenue recognition are met. We recognize revenue by applying the following steps: the contract with the customer is identified; the performance obligations in the contract are identified; the transaction price is determined; the transaction price is allocated to the performance obligations in the contract; and revenue is recognized when (or as) we satisfy these performance obligations in an amount that reflects the consideration it expects to be entitled to in exchange for those services. Revenue is recognized over-time over the subscription period, generally a one-month period as the products are provided. We may also provide services to our customers that are recognized at a point in time. For example, prior to January 1, 2021, technology services fees relating to product reservation orders submitted were recognized when an order for delivery was submitted.</w:t>
      </w:r>
    </w:p>
    <w:p>
      <w:pPr>
        <w:spacing w:after="0" w:line="66" w:lineRule="exact"/>
        <w:rPr>
          <w:sz w:val="20"/>
          <w:szCs w:val="20"/>
          <w:color w:val="auto"/>
        </w:rPr>
      </w:pPr>
    </w:p>
    <w:p>
      <w:pPr>
        <w:jc w:val="both"/>
        <w:ind w:firstLine="464"/>
        <w:spacing w:after="0" w:line="312" w:lineRule="auto"/>
        <w:rPr>
          <w:sz w:val="20"/>
          <w:szCs w:val="20"/>
          <w:color w:val="auto"/>
        </w:rPr>
      </w:pPr>
      <w:r>
        <w:rPr>
          <w:rFonts w:ascii="Arial" w:cs="Arial" w:eastAsia="Arial" w:hAnsi="Arial"/>
          <w:sz w:val="16"/>
          <w:szCs w:val="16"/>
          <w:color w:val="auto"/>
        </w:rPr>
        <w:t>Deferred revenue primarily consists of billings or payments received in advance of revenue recognition from subscription offerings, as described above, and is recognized as the revenue recognition criteria are met. We generally invoice customers and receive payment on an upfront basis.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Website and Internal-Use Software Development Costs</w:t>
      </w:r>
    </w:p>
    <w:p>
      <w:pPr>
        <w:spacing w:after="0" w:line="114"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capitalize certain costs related to the development of our SaaS solutions. In accordance with authoritative guidance, we began to capitalize these costs to develop certain software when preliminary development efforts were successfully completed, management has authorized and committed project funding, and it was probable that the project would be completed and the software would be used as intended. Such costs are amortized when placed in service, on a straight-line basis over the estimated useful life of the related asset, generally estimated to be three years. Costs incurred prior to meeting these criteria together with costs incurred for training and maintenance are expensed as incurred and recorded in product development expenses on our consolidated statements of operations. Costs incurred for enhancements that were expected to result in additional features or functionality are capitalized and expensed over the estimated useful life of the enhancements, generally three years. For the nine months ended September 30, 2021, we capitalized $3.7 million of costs related to the development of software applications.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result of the Business Combination, WM Technology, Inc. became the sole managing member of WMH LLC, which is treated as a partnership for U.S. federal and most applicable state and local income tax purposes. As a partnership, WMH LLC is not subject to U.S. federal and certain state and local income taxes. Accordingly, no provision for U.S. federal and state income taxes has been recorded in the financial statements for the period of January 1 to June 16, 2021 as this period was prior to the Business Combination. Any taxable income or loss generated by WMH LLC is passed through to and included in the taxable income or loss of its members, including WM Technology, Inc. following the Business Combination, on a pro rata basis. WM Technology, Inc. is subject to U.S. federal income taxes, in addition to state and local income taxes with respect to its allocable share of any taxable income of WMH LLC following the Business Combination. The Company is also subject to taxes in foreign jurisdictions.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 xml:space="preserve">We follow the guidance in ASC 820 - </w:t>
      </w:r>
      <w:r>
        <w:rPr>
          <w:rFonts w:ascii="Arial" w:cs="Arial" w:eastAsia="Arial" w:hAnsi="Arial"/>
          <w:sz w:val="17"/>
          <w:szCs w:val="17"/>
          <w:i w:val="1"/>
          <w:iCs w:val="1"/>
          <w:color w:val="auto"/>
        </w:rPr>
        <w:t>Fair Value Measurements</w:t>
      </w:r>
      <w:r>
        <w:rPr>
          <w:rFonts w:ascii="Arial" w:cs="Arial" w:eastAsia="Arial" w:hAnsi="Arial"/>
          <w:sz w:val="17"/>
          <w:szCs w:val="17"/>
          <w:color w:val="auto"/>
        </w:rPr>
        <w:t xml:space="preserve"> for our financial assets and liabilities that are re-measured and reported at fair value at each reporting period.</w:t>
      </w:r>
    </w:p>
    <w:p>
      <w:pPr>
        <w:spacing w:after="0" w:line="61" w:lineRule="exact"/>
        <w:rPr>
          <w:sz w:val="20"/>
          <w:szCs w:val="20"/>
          <w:color w:val="auto"/>
        </w:rPr>
      </w:pPr>
    </w:p>
    <w:p>
      <w:pPr>
        <w:jc w:val="both"/>
        <w:ind w:firstLine="464"/>
        <w:spacing w:after="0" w:line="283" w:lineRule="auto"/>
        <w:rPr>
          <w:sz w:val="20"/>
          <w:szCs w:val="20"/>
          <w:color w:val="auto"/>
        </w:rPr>
      </w:pPr>
      <w:r>
        <w:rPr>
          <w:rFonts w:ascii="Arial" w:cs="Arial" w:eastAsia="Arial" w:hAnsi="Arial"/>
          <w:sz w:val="16"/>
          <w:szCs w:val="16"/>
          <w:color w:val="auto"/>
        </w:rPr>
        <w:t>The fair value of our financial assets and liabilities reflects management’s estimate of amounts that we would have received in connection with the sale of the assets or paid in connection with the transfer of the liabilities in an orderly transaction between market participants at the measurement date. In connection with measuring the fair value of its assets and liabilities, we seek to maximize the use of observable inputs (market data obtained from independent sources) and to minimize the use of unobservable inputs (internal assumptions about how market participants would price assets and liabilities).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ectPr>
          <w:pgSz w:w="11900" w:h="16838" w:orient="portrait"/>
          <w:cols w:equalWidth="0" w:num="1">
            <w:col w:w="11240"/>
          </w:cols>
          <w:pgMar w:left="320" w:top="230"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14" w:lineRule="exact"/>
        <w:rPr>
          <w:sz w:val="20"/>
          <w:szCs w:val="20"/>
          <w:color w:val="auto"/>
        </w:rPr>
      </w:pPr>
    </w:p>
    <w:p>
      <w:pPr>
        <w:jc w:val="both"/>
        <w:ind w:firstLine="464"/>
        <w:spacing w:after="0" w:line="277" w:lineRule="auto"/>
        <w:rPr>
          <w:sz w:val="20"/>
          <w:szCs w:val="20"/>
          <w:color w:val="auto"/>
        </w:rPr>
      </w:pPr>
      <w:r>
        <w:rPr>
          <w:rFonts w:ascii="Arial" w:cs="Arial" w:eastAsia="Arial" w:hAnsi="Arial"/>
          <w:sz w:val="16"/>
          <w:szCs w:val="16"/>
          <w:color w:val="auto"/>
        </w:rPr>
        <w:t xml:space="preserve">Effective January 1, 2021, we adopted ASC 842 - </w:t>
      </w:r>
      <w:r>
        <w:rPr>
          <w:rFonts w:ascii="Arial" w:cs="Arial" w:eastAsia="Arial" w:hAnsi="Arial"/>
          <w:sz w:val="16"/>
          <w:szCs w:val="16"/>
          <w:i w:val="1"/>
          <w:iCs w:val="1"/>
          <w:color w:val="auto"/>
        </w:rPr>
        <w:t>Leases</w:t>
      </w:r>
      <w:r>
        <w:rPr>
          <w:rFonts w:ascii="Arial" w:cs="Arial" w:eastAsia="Arial" w:hAnsi="Arial"/>
          <w:sz w:val="16"/>
          <w:szCs w:val="16"/>
          <w:color w:val="auto"/>
        </w:rPr>
        <w:t>. Under this guidance, lessees classify arrangements meeting the definition of a lease as operating or financing leases, and leases are recorded on the consolidated balance sheet as both a right-of-use asset and lease liability, calculated by discounting fixed lease payments over the lease term at the rate implicit in the lease or our incremental borrowing rate. Lease liabilities are increased by interest and reduced by payments each period, and the right of use asset is amortized over the lease term. For operating leases, interest on the lease liability and the amortization of the right-of-use asset result in straight-line rent expense over the lease term. For finance leases, interest on the lease liability and the amortization of the right-of-use asset results in front-loaded expense over the lease term. Variable lease expenses are recorded when incurred.</w:t>
      </w:r>
    </w:p>
    <w:p>
      <w:pPr>
        <w:spacing w:after="0" w:line="67"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In calculating the right-of-use asset and lease liability, we elected to combine lease and non-lease components for all classes of assets. We excluded short-term leases having initial terms of 12 months or less from the new guidance as an accounting policy election, and instead recognizes rent expense on a straight-line basis over the lease term.</w:t>
      </w:r>
    </w:p>
    <w:p>
      <w:pPr>
        <w:spacing w:after="0" w:line="7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We continued to account for leases in the prior period financial statements under ASC 840 -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Emerging Growth Company Status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Section 107 of the JOBS Act provides that an “emerging growth company” can take advantage of the extended transition period provided in Section 7(a)(2)</w:t>
      </w:r>
    </w:p>
    <w:p>
      <w:pPr>
        <w:spacing w:after="0" w:line="45" w:lineRule="exact"/>
        <w:rPr>
          <w:sz w:val="20"/>
          <w:szCs w:val="20"/>
          <w:color w:val="auto"/>
        </w:rPr>
      </w:pPr>
    </w:p>
    <w:p>
      <w:pPr>
        <w:jc w:val="both"/>
        <w:ind w:firstLine="3"/>
        <w:spacing w:after="0" w:line="257" w:lineRule="auto"/>
        <w:tabs>
          <w:tab w:leader="none" w:pos="292" w:val="left"/>
        </w:tabs>
        <w:numPr>
          <w:ilvl w:val="0"/>
          <w:numId w:val="23"/>
        </w:numPr>
        <w:rPr>
          <w:rFonts w:ascii="Arial" w:cs="Arial" w:eastAsia="Arial" w:hAnsi="Arial"/>
          <w:sz w:val="17"/>
          <w:szCs w:val="17"/>
          <w:color w:val="auto"/>
        </w:rPr>
      </w:pPr>
      <w:r>
        <w:rPr>
          <w:rFonts w:ascii="Arial" w:cs="Arial" w:eastAsia="Arial" w:hAnsi="Arial"/>
          <w:sz w:val="17"/>
          <w:szCs w:val="17"/>
          <w:color w:val="auto"/>
        </w:rPr>
        <w:t>of the Securities Act for complying with new or revised accounting standards. In other words, an “emerging growth company” can delay the adoption of certain accounting standards until those standards would otherwise apply to private companies. Section 107 of the JOBS Act provides that any decision to opt out of the extended transition period for complying with new or revised accounting standards is irrevocable. We have elected to use this extended transition period under the JOBS Act.</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See Note 2 to our condensed consolidated financial statements included herein.</w:t>
      </w:r>
    </w:p>
    <w:p>
      <w:pPr>
        <w:spacing w:after="0" w:line="211"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3.</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120"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We have operations both within the United States and in foreign jurisdictions, and we are exposed to market risks in the ordinary course of our business, including the effects of foreign currency fluctuations, interest rate changes and inflation. Information relating to quantitative and qualitative disclosures about these market risks is set forth below.</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Fluctuation Risk</w:t>
      </w:r>
    </w:p>
    <w:p>
      <w:pPr>
        <w:spacing w:after="0" w:line="114"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We consider all highly liquid investments with an original maturity of three months or less to be cash equivalents. As of September 30, 2021, we did not have any cash equivalents.</w:t>
      </w:r>
    </w:p>
    <w:p>
      <w:pPr>
        <w:spacing w:after="0" w:line="61"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The primary objective of our investment activities is to preserve principal while maximizing income without significantly increasing risk. Because our cash and cash equivalents have a relatively short maturity, our portfolio’s fair value is relatively insensitive to interest rate changes. In future periods, we will continue to evaluate our investment policy in order to ensure that we continue to meet our overall objectives.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Inflation</w:t>
      </w:r>
    </w:p>
    <w:p>
      <w:pPr>
        <w:spacing w:after="0" w:line="114"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We do not believe that inflation has had a material effect on our business, financial condition or results of operations. We continue to monitor the impact of inflation in order to minimize its effects through pricing strategies, productivity improvements and cost reductions.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172"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Disclosure controls are procedures that are designed with the objective of ensuring that information required to be disclosed in our reports filed under the Exchange Act,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In connection with Silver Spike’s amendment to its annual report on Form 10-K, management re-evaluated, with the participation of Silver Spike’s then-current chief executive officer and chief financial officer (Silver Spike’s “Certifying Officers”), the effectiveness of Silver Spike’s disclosure controls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ectPr>
          <w:pgSz w:w="11900" w:h="16838" w:orient="portrait"/>
          <w:cols w:equalWidth="0" w:num="1">
            <w:col w:w="11240"/>
          </w:cols>
          <w:pgMar w:left="320" w:top="230"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and procedures as of December 31, 2020, pursuant to Rule 13a-15(b) under the Exchange Act. Based upon that evaluation, Silver Spike’s Certifying Officers concluded that, solely due to the material weakness in Silver Spike’s internal control over financial reporting that led to Silver Spike’s restatement of its financial statements to reclassify its Public Warrants and Private Placement Warrants as described in the Explanatory Note to Silver Spike’s amendment to its annual report on Form 10-K, Silver Spike’s disclosure controls and procedures were not effective as December 31, 2020. Based on the evaluation, and in light of the material weakness in internal controls described above, our Chief Executive Officer and Chief Financial Officer have concluded that during the period covered by this report, our disclosure controls and procedures were not effective.</w:t>
      </w:r>
    </w:p>
    <w:p>
      <w:pPr>
        <w:spacing w:after="0" w:line="8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20" w:lineRule="exact"/>
        <w:rPr>
          <w:sz w:val="20"/>
          <w:szCs w:val="20"/>
          <w:color w:val="auto"/>
        </w:rPr>
      </w:pPr>
    </w:p>
    <w:p>
      <w:pPr>
        <w:jc w:val="both"/>
        <w:ind w:firstLine="464"/>
        <w:spacing w:after="0" w:line="257" w:lineRule="auto"/>
        <w:rPr>
          <w:sz w:val="20"/>
          <w:szCs w:val="20"/>
          <w:color w:val="auto"/>
        </w:rPr>
      </w:pPr>
      <w:r>
        <w:rPr>
          <w:rFonts w:ascii="Arial" w:cs="Arial" w:eastAsia="Arial" w:hAnsi="Arial"/>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 In light of the restatement of financial statements as described in the Explanatory Note to Silver Spike’s amendment to its annual report on Form 10-K, we plan to enhance our processes to identify and appropriately apply applicable accounting requirements to better evaluate and understand the nuances of the complex accounting standards that apply to our financial statements. Our plans at this time include providing enhanced access to accounting literature, research materials and documents and increased communication among our personnel and third-party professionals with whom we consult regarding complex accounting applications. The elements of our remediation plan can only be accomplished over time, and we can offer no assurance that these initiatives will ultimately have the intended effects.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ectPr>
          <w:pgSz w:w="11900" w:h="16838" w:orient="portrait"/>
          <w:cols w:equalWidth="0" w:num="1">
            <w:col w:w="11240"/>
          </w:cols>
          <w:pgMar w:left="320" w:top="230"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II - Other Information</w:t>
      </w:r>
    </w:p>
    <w:p>
      <w:pPr>
        <w:spacing w:after="0" w:line="200" w:lineRule="exact"/>
        <w:rPr>
          <w:sz w:val="20"/>
          <w:szCs w:val="20"/>
          <w:color w:val="auto"/>
        </w:rPr>
      </w:pPr>
    </w:p>
    <w:p>
      <w:pPr>
        <w:spacing w:after="0" w:line="249"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1.</w:t>
      </w:r>
      <w:r>
        <w:rPr>
          <w:sz w:val="20"/>
          <w:szCs w:val="20"/>
          <w:color w:val="auto"/>
        </w:rPr>
        <w:tab/>
      </w:r>
      <w:r>
        <w:rPr>
          <w:rFonts w:ascii="Arial" w:cs="Arial" w:eastAsia="Arial" w:hAnsi="Arial"/>
          <w:sz w:val="14"/>
          <w:szCs w:val="14"/>
          <w:b w:val="1"/>
          <w:bCs w:val="1"/>
          <w:color w:val="auto"/>
        </w:rPr>
        <w:t>Legal Proceedings</w:t>
      </w:r>
    </w:p>
    <w:p>
      <w:pPr>
        <w:spacing w:after="0" w:line="249" w:lineRule="exact"/>
        <w:rPr>
          <w:sz w:val="20"/>
          <w:szCs w:val="20"/>
          <w:color w:val="auto"/>
        </w:rPr>
      </w:pPr>
    </w:p>
    <w:p>
      <w:pPr>
        <w:jc w:val="both"/>
        <w:ind w:firstLine="464"/>
        <w:spacing w:after="0" w:line="302" w:lineRule="auto"/>
        <w:rPr>
          <w:sz w:val="20"/>
          <w:szCs w:val="20"/>
          <w:color w:val="auto"/>
        </w:rPr>
      </w:pPr>
      <w:r>
        <w:rPr>
          <w:rFonts w:ascii="Arial" w:cs="Arial" w:eastAsia="Arial" w:hAnsi="Arial"/>
          <w:sz w:val="15"/>
          <w:szCs w:val="15"/>
          <w:color w:val="auto"/>
        </w:rPr>
        <w:t>In September 2019, we received a grand jury subpoena prepared by the United States Attorney’s Office for the Eastern District of California (“DOJ”). The subpoena demanded certain categories of information from us, some of which we have already provided. Management believes that the outcome of such inquiry will not have a material adverse impact of our financial position, results of operations, or cash flow. On August 4, 2021, the DOJ notified the Company that the DOJ was withdrawing the subpoena issued in September 2019, and that it had no present plan to exercise its discretion to proceed further in the matter. The DOJ cautioned that its decision not to proceed further did not constitute a grant of immunity, and that its plans could change in the future without notice.</w:t>
      </w:r>
    </w:p>
    <w:p>
      <w:pPr>
        <w:spacing w:after="0" w:line="178" w:lineRule="exact"/>
        <w:rPr>
          <w:sz w:val="20"/>
          <w:szCs w:val="20"/>
          <w:color w:val="auto"/>
        </w:rPr>
      </w:pPr>
    </w:p>
    <w:p>
      <w:pPr>
        <w:jc w:val="both"/>
        <w:ind w:firstLine="464"/>
        <w:spacing w:after="0" w:line="292" w:lineRule="auto"/>
        <w:rPr>
          <w:sz w:val="20"/>
          <w:szCs w:val="20"/>
          <w:color w:val="auto"/>
        </w:rPr>
      </w:pPr>
      <w:r>
        <w:rPr>
          <w:rFonts w:ascii="Arial" w:cs="Arial" w:eastAsia="Arial" w:hAnsi="Arial"/>
          <w:sz w:val="15"/>
          <w:szCs w:val="15"/>
          <w:color w:val="auto"/>
        </w:rPr>
        <w:t>Beginning on January 27, 2021, purported stockholders of Silver Spike filed or threatened to file lawsuits in connection with the Merger, including two actions filed in the Supreme Court of the State of New York, captioned, Brait v. Silver Spike Acquisition Corp., et al., Index No. 650629/2021 (N.Y. Sup. Ct.), and Stout v. Silver Spike Acquisition Corp., et al., No. 650686/2021 (N.Y. Sup. Ct.). The operative complaints in the Brait and Stout actions allege that the Registration Statement issued in connection with the Merger omits material information related to the proposed transaction, and asserts claims for breach of fiduciary duty against certain of Silver Spike’s then officers and directors and for aiding and abetting breach of fiduciary duty against Silver Spike. The Stout complaint also asserts aiding and abetting claims against Legacy WMH and Merger Sub. Plaintiffs seek injunctive relief to enjoin the Merger and to require defendants to issue supplemental disclosures as outlined in the complaints or, in the event the transaction is consummated in the absence of such supplemental disclosures, an order rescinding the transaction and awarding rescissory damages. Plaintiffs also seek an award of attorneys’ fees and costs. We have received similar demands from other purported shareholders of Silver Spike, including one that attached a draft complaint, styled Fusco v. Silver Spike Acquisition Corp., et al., asserting similar fiduciary duty claims as in the Brait and Stout actions, as well as separate claims for violations of Sections 14(a) and 20(a) of the Securities Exchange Act of 1934; the draft complaint seeks an injunction of the Merger, pending dissemination of supplemental disclosures, unspecified damages and attorneys’ fees and costs. The Brait action was voluntarily discontinued on June 29, 2021.We believe that these allegations are without merit. These matters are in the early stages and we are unable to reasonably determine the outcome or estimate the loss, if any, and as such, have not recorded a loss contingency.</w:t>
      </w:r>
    </w:p>
    <w:p>
      <w:pPr>
        <w:spacing w:after="0" w:line="154"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49" w:lineRule="exact"/>
        <w:rPr>
          <w:sz w:val="20"/>
          <w:szCs w:val="20"/>
          <w:color w:val="auto"/>
        </w:rPr>
      </w:pPr>
    </w:p>
    <w:p>
      <w:pPr>
        <w:jc w:val="both"/>
        <w:ind w:firstLine="464"/>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Quarterly Report on Form 10-Q for the quarter ended June 30, 2021.</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Except as set forth below, there have been no material changes to our risk factors since our Quarterly Report on Form 10-Q for the quarter ended June 30,</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2021.</w:t>
      </w:r>
    </w:p>
    <w:p>
      <w:pPr>
        <w:spacing w:after="0" w:line="21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Additional Risks Related to the Cannabis Industry</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may be subject to Telephone Consumer Protections Act (TCPA) risks for our communications with customers.</w:t>
      </w:r>
    </w:p>
    <w:p>
      <w:pPr>
        <w:spacing w:after="0" w:line="230" w:lineRule="exact"/>
        <w:rPr>
          <w:sz w:val="20"/>
          <w:szCs w:val="20"/>
          <w:color w:val="auto"/>
        </w:rPr>
      </w:pPr>
    </w:p>
    <w:p>
      <w:pPr>
        <w:jc w:val="both"/>
        <w:ind w:firstLine="464"/>
        <w:spacing w:after="0" w:line="258" w:lineRule="auto"/>
        <w:rPr>
          <w:sz w:val="20"/>
          <w:szCs w:val="20"/>
          <w:color w:val="auto"/>
        </w:rPr>
      </w:pPr>
      <w:r>
        <w:rPr>
          <w:rFonts w:ascii="Arial" w:cs="Arial" w:eastAsia="Arial" w:hAnsi="Arial"/>
          <w:sz w:val="17"/>
          <w:szCs w:val="17"/>
          <w:color w:val="auto"/>
        </w:rPr>
        <w:t>Our acquisitions of Cannveya and Sprout will put us directly into contact with customers and their data. The Telephone Consumer Protections Act (TCPA) restricts calls or text messages to cellphones made using an “automatic telephone dialing system” without first obtaining the prior express consent of the called or texted party, in addition to other restrictions on contacting customers directly. Cannveya provides a means for our clients to communicate directly with their customers, and may expose us to potential lawsuits under the TCPA, if those third party clients do not adhere to TCPA restrictions. Even if the third party clients do adhere to the TCPA, we still run the risk of private lawsuits against us. While we have in place systems and policies for TCPA compliance, our direct communications with customers may put us at risk of a TCPA lawsuit.</w:t>
      </w:r>
    </w:p>
    <w:p>
      <w:pPr>
        <w:spacing w:after="0" w:line="177"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2.</w:t>
        <w:tab/>
        <w:t>UNREGISTERED SALES OF EQUITY SECURITIES AND USE OF PROCEEDS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Unregistered Sales of Equity Securities</w:t>
      </w:r>
    </w:p>
    <w:p>
      <w:pPr>
        <w:spacing w:after="0" w:line="249" w:lineRule="exact"/>
        <w:rPr>
          <w:sz w:val="20"/>
          <w:szCs w:val="20"/>
          <w:color w:val="auto"/>
        </w:rPr>
      </w:pPr>
    </w:p>
    <w:p>
      <w:pPr>
        <w:jc w:val="both"/>
        <w:ind w:firstLine="464"/>
        <w:spacing w:after="0" w:line="266" w:lineRule="auto"/>
        <w:rPr>
          <w:sz w:val="20"/>
          <w:szCs w:val="20"/>
          <w:color w:val="auto"/>
        </w:rPr>
      </w:pPr>
      <w:r>
        <w:rPr>
          <w:rFonts w:ascii="Arial" w:cs="Arial" w:eastAsia="Arial" w:hAnsi="Arial"/>
          <w:sz w:val="17"/>
          <w:szCs w:val="17"/>
          <w:color w:val="auto"/>
        </w:rPr>
        <w:t>On September 3, 2021, the Company entered into the Asset Purchase Agreement with Sprout, Text Ripple, WM Loyalty, LLC, certain equity holders of Sprout and Text Ripple, and Jaret Christopher, as sellers’ representative pursuant to which the Company acquired certain assets of Sprout for a total consideration of approximately $31.2 million, including the issuance by</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ectPr>
          <w:pgSz w:w="11900" w:h="16838" w:orient="portrait"/>
          <w:cols w:equalWidth="0" w:num="1">
            <w:col w:w="11240"/>
          </w:cols>
          <w:pgMar w:left="320" w:top="230"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3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of 1,244,258 shares of Class A Common Stock. The shares were issued in reliance on the exemption from registration in Section 4(a)(2) under the Securities Act.</w:t>
      </w:r>
    </w:p>
    <w:p>
      <w:pPr>
        <w:spacing w:after="0" w:line="190" w:lineRule="exact"/>
        <w:rPr>
          <w:sz w:val="20"/>
          <w:szCs w:val="20"/>
          <w:color w:val="auto"/>
        </w:rPr>
      </w:pPr>
    </w:p>
    <w:p>
      <w:pPr>
        <w:jc w:val="both"/>
        <w:ind w:firstLine="464"/>
        <w:spacing w:after="0" w:line="262" w:lineRule="auto"/>
        <w:rPr>
          <w:sz w:val="20"/>
          <w:szCs w:val="20"/>
          <w:color w:val="auto"/>
        </w:rPr>
      </w:pPr>
      <w:r>
        <w:rPr>
          <w:rFonts w:ascii="Arial" w:cs="Arial" w:eastAsia="Arial" w:hAnsi="Arial"/>
          <w:sz w:val="17"/>
          <w:szCs w:val="17"/>
          <w:color w:val="auto"/>
        </w:rPr>
        <w:t>On September 28, 2021, Ghost Management Group, LLC, a subsidiary of the Company, entered into the Equity Interest Purchase Agreement with TLH, certain security holders of TLH, and Justin Morris, as sellers’ representative, pursuant to which the Company acquired all of the equity interests of TLH for total consideration of approximately $15.1 million, including the issuance by the Company of 694,540 shares of shares of Class A Common Stock. The shares were issued in reliance on the exemption from registration in Section 4(a)(2) under the Securities Act.</w:t>
      </w:r>
    </w:p>
    <w:p>
      <w:pPr>
        <w:spacing w:after="0" w:line="172" w:lineRule="exact"/>
        <w:rPr>
          <w:sz w:val="20"/>
          <w:szCs w:val="20"/>
          <w:color w:val="auto"/>
        </w:rPr>
      </w:pPr>
    </w:p>
    <w:p>
      <w:pPr>
        <w:spacing w:after="0"/>
        <w:tabs>
          <w:tab w:leader="none" w:pos="820" w:val="left"/>
        </w:tabs>
        <w:rPr>
          <w:sz w:val="20"/>
          <w:szCs w:val="20"/>
          <w:color w:val="auto"/>
        </w:rPr>
      </w:pPr>
      <w:r>
        <w:rPr>
          <w:rFonts w:ascii="Arial" w:cs="Arial" w:eastAsia="Arial" w:hAnsi="Arial"/>
          <w:sz w:val="17"/>
          <w:szCs w:val="17"/>
          <w:b w:val="1"/>
          <w:bCs w:val="1"/>
          <w:color w:val="auto"/>
        </w:rPr>
        <w:t>ITEM 3.</w:t>
        <w:tab/>
        <w:t>DEFAULTS UPON SENIOR SECURITIES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4.</w:t>
        <w:tab/>
        <w:t>MINE SAFETY DISCLOSURES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 applicable.</w:t>
      </w:r>
    </w:p>
    <w:p>
      <w:pPr>
        <w:spacing w:after="0" w:line="211" w:lineRule="exact"/>
        <w:rPr>
          <w:sz w:val="20"/>
          <w:szCs w:val="20"/>
          <w:color w:val="auto"/>
        </w:rPr>
      </w:pPr>
    </w:p>
    <w:p>
      <w:pPr>
        <w:spacing w:after="0"/>
        <w:tabs>
          <w:tab w:leader="none" w:pos="780" w:val="left"/>
        </w:tabs>
        <w:rPr>
          <w:sz w:val="20"/>
          <w:szCs w:val="20"/>
          <w:color w:val="auto"/>
        </w:rPr>
      </w:pPr>
      <w:r>
        <w:rPr>
          <w:rFonts w:ascii="Arial" w:cs="Arial" w:eastAsia="Arial" w:hAnsi="Arial"/>
          <w:sz w:val="17"/>
          <w:szCs w:val="17"/>
          <w:b w:val="1"/>
          <w:bCs w:val="1"/>
          <w:color w:val="auto"/>
        </w:rPr>
        <w:t>ITEM 5.</w:t>
        <w:tab/>
        <w:t>OTHER INFORMATION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ectPr>
          <w:pgSz w:w="11900" w:h="16838" w:orient="portrait"/>
          <w:cols w:equalWidth="0" w:num="1">
            <w:col w:w="11240"/>
          </w:cols>
          <w:pgMar w:left="320" w:top="230"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0" w:type="dxa"/>
            <w:vAlign w:val="bottom"/>
            <w:gridSpan w:val="4"/>
          </w:tcPr>
          <w:p>
            <w:pPr>
              <w:spacing w:after="0"/>
              <w:rPr>
                <w:sz w:val="20"/>
                <w:szCs w:val="20"/>
                <w:color w:val="auto"/>
              </w:rPr>
            </w:pPr>
            <w:r>
              <w:rPr>
                <w:rFonts w:ascii="Arial" w:cs="Arial" w:eastAsia="Arial" w:hAnsi="Arial"/>
                <w:sz w:val="17"/>
                <w:szCs w:val="17"/>
                <w:b w:val="1"/>
                <w:bCs w:val="1"/>
                <w:color w:val="auto"/>
              </w:rPr>
              <w:t>ITEM 6.</w:t>
            </w:r>
          </w:p>
        </w:tc>
        <w:tc>
          <w:tcPr>
            <w:tcW w:w="10540" w:type="dxa"/>
            <w:vAlign w:val="bottom"/>
            <w:gridSpan w:val="8"/>
          </w:tcPr>
          <w:p>
            <w:pPr>
              <w:ind w:left="60"/>
              <w:spacing w:after="0"/>
              <w:rPr>
                <w:sz w:val="20"/>
                <w:szCs w:val="20"/>
                <w:color w:val="auto"/>
              </w:rPr>
            </w:pPr>
            <w:r>
              <w:rPr>
                <w:rFonts w:ascii="Arial" w:cs="Arial" w:eastAsia="Arial" w:hAnsi="Arial"/>
                <w:sz w:val="17"/>
                <w:szCs w:val="17"/>
                <w:b w:val="1"/>
                <w:bCs w:val="1"/>
                <w:color w:val="auto"/>
              </w:rPr>
              <w:t>EXHIBITS</w:t>
            </w: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80" w:type="dxa"/>
            <w:vAlign w:val="bottom"/>
            <w:gridSpan w:val="9"/>
          </w:tcPr>
          <w:p>
            <w:pPr>
              <w:ind w:left="60"/>
              <w:spacing w:after="0"/>
              <w:rPr>
                <w:sz w:val="20"/>
                <w:szCs w:val="20"/>
                <w:color w:val="auto"/>
              </w:rPr>
            </w:pPr>
            <w:r>
              <w:rPr>
                <w:rFonts w:ascii="Arial" w:cs="Arial" w:eastAsia="Arial" w:hAnsi="Arial"/>
                <w:sz w:val="17"/>
                <w:szCs w:val="17"/>
                <w:color w:val="auto"/>
              </w:rPr>
              <w:t>The following exhibits are filed as part of, or incorporated by reference into, this Quarterly Report on Form 10-Q.</w:t>
            </w:r>
          </w:p>
        </w:tc>
        <w:tc>
          <w:tcPr>
            <w:tcW w:w="0" w:type="dxa"/>
            <w:vAlign w:val="bottom"/>
          </w:tcPr>
          <w:p>
            <w:pPr>
              <w:spacing w:after="0"/>
              <w:rPr>
                <w:sz w:val="1"/>
                <w:szCs w:val="1"/>
                <w:color w:val="auto"/>
              </w:rPr>
            </w:pPr>
          </w:p>
        </w:tc>
      </w:tr>
      <w:tr>
        <w:trPr>
          <w:trHeight w:val="305"/>
        </w:trPr>
        <w:tc>
          <w:tcPr>
            <w:tcW w:w="740" w:type="dxa"/>
            <w:vAlign w:val="bottom"/>
            <w:tcBorders>
              <w:bottom w:val="single" w:sz="8" w:color="CCEEFF"/>
            </w:tcBorders>
            <w:gridSpan w:val="4"/>
          </w:tcPr>
          <w:p>
            <w:pPr>
              <w:ind w:left="20"/>
              <w:spacing w:after="0"/>
              <w:rPr>
                <w:sz w:val="20"/>
                <w:szCs w:val="20"/>
                <w:color w:val="auto"/>
              </w:rPr>
            </w:pPr>
            <w:r>
              <w:rPr>
                <w:rFonts w:ascii="Arial" w:cs="Arial" w:eastAsia="Arial" w:hAnsi="Arial"/>
                <w:sz w:val="14"/>
                <w:szCs w:val="14"/>
                <w:b w:val="1"/>
                <w:bCs w:val="1"/>
                <w:color w:val="auto"/>
                <w:w w:val="95"/>
              </w:rPr>
              <w:t>Exhibit No.</w:t>
            </w:r>
          </w:p>
        </w:tc>
        <w:tc>
          <w:tcPr>
            <w:tcW w:w="440" w:type="dxa"/>
            <w:vAlign w:val="bottom"/>
            <w:tcBorders>
              <w:bottom w:val="single" w:sz="8" w:color="CCEEFF"/>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2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231"/>
        </w:trPr>
        <w:tc>
          <w:tcPr>
            <w:tcW w:w="4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w w:val="84"/>
              </w:rPr>
              <w:t>10.1#</w:t>
            </w:r>
          </w:p>
        </w:tc>
        <w:tc>
          <w:tcPr>
            <w:tcW w:w="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Non-Employee Director Compensation Policy</w:t>
            </w:r>
          </w:p>
        </w:tc>
        <w:tc>
          <w:tcPr>
            <w:tcW w:w="0" w:type="dxa"/>
            <w:vAlign w:val="bottom"/>
          </w:tcPr>
          <w:p>
            <w:pPr>
              <w:spacing w:after="0"/>
              <w:rPr>
                <w:sz w:val="1"/>
                <w:szCs w:val="1"/>
                <w:color w:val="auto"/>
              </w:rPr>
            </w:pPr>
          </w:p>
        </w:tc>
      </w:tr>
      <w:tr>
        <w:trPr>
          <w:trHeight w:val="180"/>
        </w:trPr>
        <w:tc>
          <w:tcPr>
            <w:tcW w:w="20" w:type="dxa"/>
            <w:vAlign w:val="bottom"/>
            <w:vMerge w:val="restart"/>
          </w:tcPr>
          <w:p>
            <w:pPr>
              <w:spacing w:after="0"/>
              <w:rPr>
                <w:sz w:val="15"/>
                <w:szCs w:val="15"/>
                <w:color w:val="auto"/>
              </w:rPr>
            </w:pPr>
          </w:p>
        </w:tc>
        <w:tc>
          <w:tcPr>
            <w:tcW w:w="380" w:type="dxa"/>
            <w:vAlign w:val="bottom"/>
            <w:gridSpan w:val="2"/>
            <w:vMerge w:val="restart"/>
          </w:tcPr>
          <w:p>
            <w:pPr>
              <w:spacing w:after="0"/>
              <w:rPr>
                <w:sz w:val="20"/>
                <w:szCs w:val="20"/>
                <w:color w:val="auto"/>
              </w:rPr>
            </w:pPr>
            <w:r>
              <w:rPr>
                <w:rFonts w:ascii="Arial" w:cs="Arial" w:eastAsia="Arial" w:hAnsi="Arial"/>
                <w:sz w:val="17"/>
                <w:szCs w:val="17"/>
                <w:color w:val="auto"/>
              </w:rPr>
              <w:t>31.</w:t>
            </w:r>
            <w:r>
              <w:rPr>
                <w:rFonts w:ascii="Arial" w:cs="Arial" w:eastAsia="Arial" w:hAnsi="Arial"/>
                <w:sz w:val="17"/>
                <w:szCs w:val="17"/>
                <w:u w:val="single" w:color="auto"/>
                <w:color w:val="auto"/>
              </w:rPr>
              <w:t>1</w:t>
            </w: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80" w:type="dxa"/>
            <w:vAlign w:val="bottom"/>
            <w:gridSpan w:val="6"/>
          </w:tcPr>
          <w:p>
            <w:pPr>
              <w:spacing w:after="0" w:line="180" w:lineRule="exact"/>
              <w:rPr>
                <w:sz w:val="20"/>
                <w:szCs w:val="20"/>
                <w:color w:val="auto"/>
              </w:rPr>
            </w:pPr>
            <w:r>
              <w:rPr>
                <w:rFonts w:ascii="Arial" w:cs="Arial" w:eastAsia="Arial" w:hAnsi="Arial"/>
                <w:sz w:val="17"/>
                <w:szCs w:val="17"/>
                <w:color w:val="auto"/>
                <w:w w:val="92"/>
              </w:rPr>
              <w:t>Certification of the Principal Executive Officer pursuant to Rules 13a-14(a) and 15d-14(a) under the Securities Exchange Act of 1934, as adopted</w:t>
            </w:r>
          </w:p>
        </w:tc>
        <w:tc>
          <w:tcPr>
            <w:tcW w:w="0" w:type="dxa"/>
            <w:vAlign w:val="bottom"/>
          </w:tcPr>
          <w:p>
            <w:pPr>
              <w:spacing w:after="0"/>
              <w:rPr>
                <w:sz w:val="1"/>
                <w:szCs w:val="1"/>
                <w:color w:val="auto"/>
              </w:rPr>
            </w:pPr>
          </w:p>
        </w:tc>
      </w:tr>
      <w:tr>
        <w:trPr>
          <w:trHeight w:val="160"/>
        </w:trPr>
        <w:tc>
          <w:tcPr>
            <w:tcW w:w="20" w:type="dxa"/>
            <w:vAlign w:val="bottom"/>
            <w:vMerge w:val="continue"/>
          </w:tcPr>
          <w:p>
            <w:pPr>
              <w:spacing w:after="0"/>
              <w:rPr>
                <w:sz w:val="13"/>
                <w:szCs w:val="13"/>
                <w:color w:val="auto"/>
              </w:rPr>
            </w:pPr>
          </w:p>
        </w:tc>
        <w:tc>
          <w:tcPr>
            <w:tcW w:w="38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20" w:type="dxa"/>
            <w:vAlign w:val="bottom"/>
            <w:tcBorders>
              <w:top w:val="single" w:sz="8" w:color="auto"/>
            </w:tcBorders>
            <w:gridSpan w:val="3"/>
          </w:tcPr>
          <w:p>
            <w:pPr>
              <w:spacing w:after="0" w:line="148" w:lineRule="exact"/>
              <w:rPr>
                <w:sz w:val="20"/>
                <w:szCs w:val="20"/>
                <w:color w:val="auto"/>
              </w:rPr>
            </w:pPr>
            <w:r>
              <w:rPr>
                <w:rFonts w:ascii="Arial" w:cs="Arial" w:eastAsia="Arial" w:hAnsi="Arial"/>
                <w:sz w:val="17"/>
                <w:szCs w:val="17"/>
                <w:color w:val="auto"/>
              </w:rPr>
              <w:t>pursuant to Section 302 of the Sarbanes-Oxley Act of 2002</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vMerge w:val="restart"/>
            <w:shd w:val="clear" w:color="auto" w:fill="CCEEFF"/>
          </w:tcPr>
          <w:p>
            <w:pPr>
              <w:spacing w:after="0"/>
              <w:rPr>
                <w:sz w:val="16"/>
                <w:szCs w:val="16"/>
                <w:color w:val="auto"/>
              </w:rPr>
            </w:pPr>
          </w:p>
        </w:tc>
        <w:tc>
          <w:tcPr>
            <w:tcW w:w="380" w:type="dxa"/>
            <w:vAlign w:val="bottom"/>
            <w:gridSpan w:val="2"/>
            <w:vMerge w:val="restart"/>
            <w:shd w:val="clear" w:color="auto" w:fill="CCEEFF"/>
          </w:tcPr>
          <w:p>
            <w:pPr>
              <w:spacing w:after="0"/>
              <w:rPr>
                <w:sz w:val="20"/>
                <w:szCs w:val="20"/>
                <w:color w:val="auto"/>
              </w:rPr>
            </w:pPr>
            <w:r>
              <w:rPr>
                <w:rFonts w:ascii="Arial" w:cs="Arial" w:eastAsia="Arial" w:hAnsi="Arial"/>
                <w:sz w:val="17"/>
                <w:szCs w:val="17"/>
                <w:color w:val="auto"/>
              </w:rPr>
              <w:t>31.</w:t>
            </w:r>
            <w:r>
              <w:rPr>
                <w:rFonts w:ascii="Arial" w:cs="Arial" w:eastAsia="Arial" w:hAnsi="Arial"/>
                <w:sz w:val="17"/>
                <w:szCs w:val="17"/>
                <w:u w:val="single" w:color="auto"/>
                <w:color w:val="auto"/>
              </w:rPr>
              <w:t>2</w:t>
            </w:r>
          </w:p>
        </w:tc>
        <w:tc>
          <w:tcPr>
            <w:tcW w:w="3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80" w:type="dxa"/>
            <w:vAlign w:val="bottom"/>
            <w:gridSpan w:val="6"/>
            <w:shd w:val="clear" w:color="auto" w:fill="CCEEFF"/>
          </w:tcPr>
          <w:p>
            <w:pPr>
              <w:spacing w:after="0" w:line="192" w:lineRule="exact"/>
              <w:rPr>
                <w:sz w:val="20"/>
                <w:szCs w:val="20"/>
                <w:color w:val="auto"/>
              </w:rPr>
            </w:pPr>
            <w:r>
              <w:rPr>
                <w:rFonts w:ascii="Arial" w:cs="Arial" w:eastAsia="Arial" w:hAnsi="Arial"/>
                <w:sz w:val="17"/>
                <w:szCs w:val="17"/>
                <w:color w:val="auto"/>
                <w:w w:val="92"/>
              </w:rPr>
              <w:t>Certification of the Principal Financial Officer pursuant to Rules 13a-14(a) and 15d-14(a) under the Securities Exchange Act of 1934, as adopted</w:t>
            </w:r>
          </w:p>
        </w:tc>
        <w:tc>
          <w:tcPr>
            <w:tcW w:w="0" w:type="dxa"/>
            <w:vAlign w:val="bottom"/>
          </w:tcPr>
          <w:p>
            <w:pPr>
              <w:spacing w:after="0"/>
              <w:rPr>
                <w:sz w:val="1"/>
                <w:szCs w:val="1"/>
                <w:color w:val="auto"/>
              </w:rPr>
            </w:pPr>
          </w:p>
        </w:tc>
      </w:tr>
      <w:tr>
        <w:trPr>
          <w:trHeight w:val="180"/>
        </w:trPr>
        <w:tc>
          <w:tcPr>
            <w:tcW w:w="20" w:type="dxa"/>
            <w:vAlign w:val="bottom"/>
            <w:tcBorders>
              <w:top w:val="single" w:sz="8" w:color="CCEEFF"/>
            </w:tcBorders>
            <w:vMerge w:val="continue"/>
            <w:shd w:val="clear" w:color="auto" w:fill="CCEEFF"/>
          </w:tcPr>
          <w:p>
            <w:pPr>
              <w:spacing w:after="0"/>
              <w:rPr>
                <w:sz w:val="15"/>
                <w:szCs w:val="15"/>
                <w:color w:val="auto"/>
              </w:rPr>
            </w:pPr>
          </w:p>
        </w:tc>
        <w:tc>
          <w:tcPr>
            <w:tcW w:w="380" w:type="dxa"/>
            <w:vAlign w:val="bottom"/>
            <w:tcBorders>
              <w:top w:val="single" w:sz="8" w:color="CCEEFF"/>
            </w:tcBorders>
            <w:gridSpan w:val="2"/>
            <w:vMerge w:val="continue"/>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40" w:type="dxa"/>
            <w:vAlign w:val="bottom"/>
            <w:tcBorders>
              <w:top w:val="single" w:sz="8" w:color="auto"/>
            </w:tcBorders>
            <w:gridSpan w:val="4"/>
            <w:shd w:val="clear" w:color="auto" w:fill="CCEEFF"/>
          </w:tcPr>
          <w:p>
            <w:pPr>
              <w:spacing w:after="0" w:line="148" w:lineRule="exact"/>
              <w:rPr>
                <w:sz w:val="20"/>
                <w:szCs w:val="20"/>
                <w:color w:val="auto"/>
              </w:rPr>
            </w:pPr>
            <w:r>
              <w:rPr>
                <w:rFonts w:ascii="Arial" w:cs="Arial" w:eastAsia="Arial" w:hAnsi="Arial"/>
                <w:sz w:val="17"/>
                <w:szCs w:val="17"/>
                <w:color w:val="auto"/>
              </w:rPr>
              <w:t>pursuant to Section 302 of the Sarbanes-Oxley Act of 2002</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auto"/>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CCEEFF"/>
          </w:tcPr>
          <w:p>
            <w:pPr>
              <w:spacing w:after="0" w:line="20" w:lineRule="exact"/>
              <w:rPr>
                <w:sz w:val="1"/>
                <w:szCs w:val="1"/>
                <w:color w:val="auto"/>
              </w:rPr>
            </w:pPr>
          </w:p>
        </w:tc>
        <w:tc>
          <w:tcPr>
            <w:tcW w:w="59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vMerge w:val="restart"/>
          </w:tcPr>
          <w:p>
            <w:pPr>
              <w:spacing w:after="0"/>
              <w:rPr>
                <w:sz w:val="14"/>
                <w:szCs w:val="14"/>
                <w:color w:val="auto"/>
              </w:rPr>
            </w:pPr>
          </w:p>
        </w:tc>
        <w:tc>
          <w:tcPr>
            <w:tcW w:w="380" w:type="dxa"/>
            <w:vAlign w:val="bottom"/>
            <w:gridSpan w:val="2"/>
            <w:vMerge w:val="restart"/>
          </w:tcPr>
          <w:p>
            <w:pPr>
              <w:spacing w:after="0"/>
              <w:rPr>
                <w:sz w:val="20"/>
                <w:szCs w:val="20"/>
                <w:color w:val="auto"/>
              </w:rPr>
            </w:pPr>
            <w:r>
              <w:rPr>
                <w:rFonts w:ascii="Arial" w:cs="Arial" w:eastAsia="Arial" w:hAnsi="Arial"/>
                <w:sz w:val="17"/>
                <w:szCs w:val="17"/>
                <w:color w:val="auto"/>
                <w:w w:val="90"/>
              </w:rPr>
              <w:t>32.</w:t>
            </w:r>
            <w:r>
              <w:rPr>
                <w:rFonts w:ascii="Arial" w:cs="Arial" w:eastAsia="Arial" w:hAnsi="Arial"/>
                <w:sz w:val="17"/>
                <w:szCs w:val="17"/>
                <w:u w:val="single" w:color="auto"/>
                <w:color w:val="auto"/>
                <w:w w:val="90"/>
              </w:rPr>
              <w:t>1*</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80" w:type="dxa"/>
            <w:vAlign w:val="bottom"/>
            <w:gridSpan w:val="6"/>
          </w:tcPr>
          <w:p>
            <w:pPr>
              <w:spacing w:after="0" w:line="172" w:lineRule="exact"/>
              <w:rPr>
                <w:sz w:val="20"/>
                <w:szCs w:val="20"/>
                <w:color w:val="auto"/>
              </w:rPr>
            </w:pPr>
            <w:r>
              <w:rPr>
                <w:rFonts w:ascii="Arial" w:cs="Arial" w:eastAsia="Arial" w:hAnsi="Arial"/>
                <w:sz w:val="17"/>
                <w:szCs w:val="17"/>
                <w:color w:val="auto"/>
                <w:w w:val="97"/>
              </w:rPr>
              <w:t>Certifications of the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 w:type="dxa"/>
            <w:vAlign w:val="bottom"/>
            <w:tcBorders>
              <w:bottom w:val="single" w:sz="8" w:color="auto"/>
            </w:tcBorders>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60" w:type="dxa"/>
            <w:vAlign w:val="bottom"/>
            <w:tcBorders>
              <w:top w:val="single" w:sz="8" w:color="auto"/>
              <w:bottom w:val="single" w:sz="8" w:color="auto"/>
            </w:tcBorders>
          </w:tcPr>
          <w:p>
            <w:pPr>
              <w:spacing w:after="0" w:line="148" w:lineRule="exact"/>
              <w:rPr>
                <w:sz w:val="20"/>
                <w:szCs w:val="20"/>
                <w:color w:val="auto"/>
              </w:rPr>
            </w:pPr>
            <w:r>
              <w:rPr>
                <w:rFonts w:ascii="Arial" w:cs="Arial" w:eastAsia="Arial" w:hAnsi="Arial"/>
                <w:sz w:val="17"/>
                <w:szCs w:val="17"/>
                <w:color w:val="auto"/>
                <w:w w:val="91"/>
              </w:rPr>
              <w:t>Section 906 of the Sarbanes-Oxley Act of 2002</w:t>
            </w:r>
          </w:p>
        </w:tc>
        <w:tc>
          <w:tcPr>
            <w:tcW w:w="6800" w:type="dxa"/>
            <w:vAlign w:val="bottom"/>
            <w:tcBorders>
              <w:top w:val="single" w:sz="8" w:color="auto"/>
            </w:tcBorders>
            <w:gridSpan w:val="4"/>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40" w:type="dxa"/>
            <w:vAlign w:val="bottom"/>
            <w:gridSpan w:val="4"/>
            <w:vMerge w:val="restart"/>
            <w:shd w:val="clear" w:color="auto" w:fill="CCEEFF"/>
          </w:tcPr>
          <w:p>
            <w:pPr>
              <w:ind w:left="20"/>
              <w:spacing w:after="0"/>
              <w:rPr>
                <w:sz w:val="20"/>
                <w:szCs w:val="20"/>
                <w:color w:val="auto"/>
              </w:rPr>
            </w:pPr>
            <w:r>
              <w:rPr>
                <w:rFonts w:ascii="Arial" w:cs="Arial" w:eastAsia="Arial" w:hAnsi="Arial"/>
                <w:sz w:val="17"/>
                <w:szCs w:val="17"/>
                <w:color w:val="auto"/>
              </w:rPr>
              <w:t>101.INS</w:t>
            </w: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80" w:type="dxa"/>
            <w:vAlign w:val="bottom"/>
            <w:gridSpan w:val="6"/>
            <w:shd w:val="clear" w:color="auto" w:fill="CCEEFF"/>
          </w:tcPr>
          <w:p>
            <w:pPr>
              <w:spacing w:after="0" w:line="180" w:lineRule="exact"/>
              <w:rPr>
                <w:sz w:val="20"/>
                <w:szCs w:val="20"/>
                <w:color w:val="auto"/>
              </w:rPr>
            </w:pPr>
            <w:r>
              <w:rPr>
                <w:rFonts w:ascii="Arial" w:cs="Arial" w:eastAsia="Arial" w:hAnsi="Arial"/>
                <w:sz w:val="17"/>
                <w:szCs w:val="17"/>
                <w:color w:val="auto"/>
                <w:w w:val="92"/>
              </w:rPr>
              <w:t>Inline XBRL Instance Document (the instance document does not appear in the Interactive Data File because its XBRL tags are embedded within</w:t>
            </w:r>
          </w:p>
        </w:tc>
        <w:tc>
          <w:tcPr>
            <w:tcW w:w="0" w:type="dxa"/>
            <w:vAlign w:val="bottom"/>
          </w:tcPr>
          <w:p>
            <w:pPr>
              <w:spacing w:after="0"/>
              <w:rPr>
                <w:sz w:val="1"/>
                <w:szCs w:val="1"/>
                <w:color w:val="auto"/>
              </w:rPr>
            </w:pPr>
          </w:p>
        </w:tc>
      </w:tr>
      <w:tr>
        <w:trPr>
          <w:trHeight w:val="219"/>
        </w:trPr>
        <w:tc>
          <w:tcPr>
            <w:tcW w:w="740" w:type="dxa"/>
            <w:vAlign w:val="bottom"/>
            <w:gridSpan w:val="4"/>
            <w:vMerge w:val="continue"/>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the Inline XBRL document)</w:t>
            </w:r>
          </w:p>
        </w:tc>
        <w:tc>
          <w:tcPr>
            <w:tcW w:w="0" w:type="dxa"/>
            <w:vAlign w:val="bottom"/>
          </w:tcPr>
          <w:p>
            <w:pPr>
              <w:spacing w:after="0"/>
              <w:rPr>
                <w:sz w:val="1"/>
                <w:szCs w:val="1"/>
                <w:color w:val="auto"/>
              </w:rPr>
            </w:pPr>
          </w:p>
        </w:tc>
      </w:tr>
      <w:tr>
        <w:trPr>
          <w:trHeight w:val="218"/>
        </w:trPr>
        <w:tc>
          <w:tcPr>
            <w:tcW w:w="740" w:type="dxa"/>
            <w:vAlign w:val="bottom"/>
            <w:gridSpan w:val="4"/>
          </w:tcPr>
          <w:p>
            <w:pPr>
              <w:ind w:left="20"/>
              <w:spacing w:after="0"/>
              <w:rPr>
                <w:sz w:val="20"/>
                <w:szCs w:val="20"/>
                <w:color w:val="auto"/>
              </w:rPr>
            </w:pPr>
            <w:r>
              <w:rPr>
                <w:rFonts w:ascii="Arial" w:cs="Arial" w:eastAsia="Arial" w:hAnsi="Arial"/>
                <w:sz w:val="17"/>
                <w:szCs w:val="17"/>
                <w:color w:val="auto"/>
              </w:rPr>
              <w:t>101.SCH</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Inline XBRL Taxonomy Extension Schema Document</w:t>
            </w:r>
          </w:p>
        </w:tc>
        <w:tc>
          <w:tcPr>
            <w:tcW w:w="0" w:type="dxa"/>
            <w:vAlign w:val="bottom"/>
          </w:tcPr>
          <w:p>
            <w:pPr>
              <w:spacing w:after="0"/>
              <w:rPr>
                <w:sz w:val="1"/>
                <w:szCs w:val="1"/>
                <w:color w:val="auto"/>
              </w:rPr>
            </w:pPr>
          </w:p>
        </w:tc>
      </w:tr>
      <w:tr>
        <w:trPr>
          <w:trHeight w:val="220"/>
        </w:trPr>
        <w:tc>
          <w:tcPr>
            <w:tcW w:w="7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101.CAL</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Calculation Linkbase Document</w:t>
            </w:r>
          </w:p>
        </w:tc>
        <w:tc>
          <w:tcPr>
            <w:tcW w:w="0" w:type="dxa"/>
            <w:vAlign w:val="bottom"/>
          </w:tcPr>
          <w:p>
            <w:pPr>
              <w:spacing w:after="0"/>
              <w:rPr>
                <w:sz w:val="1"/>
                <w:szCs w:val="1"/>
                <w:color w:val="auto"/>
              </w:rPr>
            </w:pPr>
          </w:p>
        </w:tc>
      </w:tr>
      <w:tr>
        <w:trPr>
          <w:trHeight w:val="218"/>
        </w:trPr>
        <w:tc>
          <w:tcPr>
            <w:tcW w:w="740" w:type="dxa"/>
            <w:vAlign w:val="bottom"/>
            <w:gridSpan w:val="4"/>
          </w:tcPr>
          <w:p>
            <w:pPr>
              <w:ind w:left="20"/>
              <w:spacing w:after="0"/>
              <w:rPr>
                <w:sz w:val="20"/>
                <w:szCs w:val="20"/>
                <w:color w:val="auto"/>
              </w:rPr>
            </w:pPr>
            <w:r>
              <w:rPr>
                <w:rFonts w:ascii="Arial" w:cs="Arial" w:eastAsia="Arial" w:hAnsi="Arial"/>
                <w:sz w:val="17"/>
                <w:szCs w:val="17"/>
                <w:color w:val="auto"/>
              </w:rPr>
              <w:t>101.DEF</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Inline XBRL Taxonomy Extension Definition Linkbase Document</w:t>
            </w:r>
          </w:p>
        </w:tc>
        <w:tc>
          <w:tcPr>
            <w:tcW w:w="0" w:type="dxa"/>
            <w:vAlign w:val="bottom"/>
          </w:tcPr>
          <w:p>
            <w:pPr>
              <w:spacing w:after="0"/>
              <w:rPr>
                <w:sz w:val="1"/>
                <w:szCs w:val="1"/>
                <w:color w:val="auto"/>
              </w:rPr>
            </w:pPr>
          </w:p>
        </w:tc>
      </w:tr>
      <w:tr>
        <w:trPr>
          <w:trHeight w:val="220"/>
        </w:trPr>
        <w:tc>
          <w:tcPr>
            <w:tcW w:w="740" w:type="dxa"/>
            <w:vAlign w:val="bottom"/>
            <w:gridSpan w:val="4"/>
            <w:shd w:val="clear" w:color="auto" w:fill="CCEEFF"/>
          </w:tcPr>
          <w:p>
            <w:pPr>
              <w:ind w:left="20"/>
              <w:spacing w:after="0"/>
              <w:rPr>
                <w:sz w:val="20"/>
                <w:szCs w:val="20"/>
                <w:color w:val="auto"/>
              </w:rPr>
            </w:pPr>
            <w:r>
              <w:rPr>
                <w:rFonts w:ascii="Arial" w:cs="Arial" w:eastAsia="Arial" w:hAnsi="Arial"/>
                <w:sz w:val="17"/>
                <w:szCs w:val="17"/>
                <w:color w:val="auto"/>
              </w:rPr>
              <w:t>101.LAB</w:t>
            </w: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218"/>
        </w:trPr>
        <w:tc>
          <w:tcPr>
            <w:tcW w:w="740" w:type="dxa"/>
            <w:vAlign w:val="bottom"/>
            <w:gridSpan w:val="4"/>
          </w:tcPr>
          <w:p>
            <w:pPr>
              <w:ind w:left="20"/>
              <w:spacing w:after="0"/>
              <w:rPr>
                <w:sz w:val="20"/>
                <w:szCs w:val="20"/>
                <w:color w:val="auto"/>
              </w:rPr>
            </w:pPr>
            <w:r>
              <w:rPr>
                <w:rFonts w:ascii="Arial" w:cs="Arial" w:eastAsia="Arial" w:hAnsi="Arial"/>
                <w:sz w:val="17"/>
                <w:szCs w:val="17"/>
                <w:color w:val="auto"/>
              </w:rPr>
              <w:t>101.PRE</w:t>
            </w: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80" w:type="dxa"/>
            <w:vAlign w:val="bottom"/>
            <w:gridSpan w:val="6"/>
          </w:tcPr>
          <w:p>
            <w:pPr>
              <w:spacing w:after="0"/>
              <w:rPr>
                <w:sz w:val="20"/>
                <w:szCs w:val="20"/>
                <w:color w:val="auto"/>
              </w:rPr>
            </w:pPr>
            <w:r>
              <w:rPr>
                <w:rFonts w:ascii="Arial" w:cs="Arial" w:eastAsia="Arial" w:hAnsi="Arial"/>
                <w:sz w:val="17"/>
                <w:szCs w:val="17"/>
                <w:color w:val="auto"/>
              </w:rPr>
              <w:t>Inline XBRL Taxonomy Extension Presentation Linkbase Document</w:t>
            </w:r>
          </w:p>
        </w:tc>
        <w:tc>
          <w:tcPr>
            <w:tcW w:w="0" w:type="dxa"/>
            <w:vAlign w:val="bottom"/>
          </w:tcPr>
          <w:p>
            <w:pPr>
              <w:spacing w:after="0"/>
              <w:rPr>
                <w:sz w:val="1"/>
                <w:szCs w:val="1"/>
                <w:color w:val="auto"/>
              </w:rPr>
            </w:pPr>
          </w:p>
        </w:tc>
      </w:tr>
      <w:tr>
        <w:trPr>
          <w:trHeight w:val="220"/>
        </w:trPr>
        <w:tc>
          <w:tcPr>
            <w:tcW w:w="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104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80" w:type="dxa"/>
            <w:vAlign w:val="bottom"/>
            <w:gridSpan w:val="6"/>
            <w:shd w:val="clear" w:color="auto" w:fill="CCEEFF"/>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270"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Indicates management contract or compensatory plan, contract or agreement.</w:t>
      </w:r>
    </w:p>
    <w:p>
      <w:pPr>
        <w:spacing w:after="0" w:line="37" w:lineRule="exact"/>
        <w:rPr>
          <w:sz w:val="20"/>
          <w:szCs w:val="20"/>
          <w:color w:val="auto"/>
        </w:rPr>
      </w:pPr>
    </w:p>
    <w:p>
      <w:pPr>
        <w:jc w:val="both"/>
        <w:ind w:left="1200" w:right="20" w:hanging="217"/>
        <w:spacing w:after="0" w:line="257" w:lineRule="auto"/>
        <w:tabs>
          <w:tab w:leader="none" w:pos="12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certifications attached as Exhibit 32.1 that accompany this Quarterly Report on Form 10-Q are deemed furnished and not filed with the SEC and are not to be incorporated by reference into any filing of the Company under the Securities Act or the Exchange Act,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ectPr>
          <w:pgSz w:w="11900" w:h="16838" w:orient="portrait"/>
          <w:cols w:equalWidth="0" w:num="1">
            <w:col w:w="11240"/>
          </w:cols>
          <w:pgMar w:left="320" w:top="230"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20" w:lineRule="exact"/>
        <w:rPr>
          <w:sz w:val="20"/>
          <w:szCs w:val="20"/>
          <w:color w:val="auto"/>
        </w:rPr>
      </w:pPr>
    </w:p>
    <w:p>
      <w:pPr>
        <w:ind w:firstLine="464"/>
        <w:spacing w:after="0" w:line="279" w:lineRule="auto"/>
        <w:rPr>
          <w:sz w:val="20"/>
          <w:szCs w:val="20"/>
          <w:color w:val="auto"/>
        </w:rPr>
      </w:pPr>
      <w:r>
        <w:rPr>
          <w:rFonts w:ascii="Arial" w:cs="Arial" w:eastAsia="Arial" w:hAnsi="Arial"/>
          <w:sz w:val="17"/>
          <w:szCs w:val="17"/>
          <w:color w:val="auto"/>
        </w:rPr>
        <w:t>Pursuant to the requirements of Securities Exchange Act of 1934, the registrant has duly caused this report to be signed on its behalf by the undersigned, thereunto duly authorized.</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7480" w:type="dxa"/>
            <w:vAlign w:val="bottom"/>
            <w:gridSpan w:val="3"/>
          </w:tcPr>
          <w:p>
            <w:pPr>
              <w:ind w:left="2220"/>
              <w:spacing w:after="0"/>
              <w:rPr>
                <w:sz w:val="20"/>
                <w:szCs w:val="20"/>
                <w:color w:val="auto"/>
              </w:rPr>
            </w:pPr>
            <w:r>
              <w:rPr>
                <w:rFonts w:ascii="Arial" w:cs="Arial" w:eastAsia="Arial" w:hAnsi="Arial"/>
                <w:sz w:val="17"/>
                <w:szCs w:val="17"/>
                <w:b w:val="1"/>
                <w:bCs w:val="1"/>
                <w:color w:val="auto"/>
              </w:rPr>
              <w:t>WM TECHNOLOGY, INC.</w:t>
            </w:r>
          </w:p>
        </w:tc>
      </w:tr>
      <w:tr>
        <w:trPr>
          <w:trHeight w:val="710"/>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120"/>
              <w:spacing w:after="0"/>
              <w:rPr>
                <w:sz w:val="20"/>
                <w:szCs w:val="20"/>
                <w:color w:val="auto"/>
              </w:rPr>
            </w:pPr>
            <w:r>
              <w:rPr>
                <w:rFonts w:ascii="Arial" w:cs="Arial" w:eastAsia="Arial" w:hAnsi="Arial"/>
                <w:sz w:val="17"/>
                <w:szCs w:val="17"/>
                <w:color w:val="auto"/>
              </w:rPr>
              <w:t>November 12, 2021</w:t>
            </w:r>
          </w:p>
        </w:tc>
        <w:tc>
          <w:tcPr>
            <w:tcW w:w="2660" w:type="dxa"/>
            <w:vAlign w:val="bottom"/>
          </w:tcPr>
          <w:p>
            <w:pPr>
              <w:ind w:left="222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Christopher Beals</w:t>
            </w:r>
          </w:p>
        </w:tc>
      </w:tr>
      <w:tr>
        <w:trPr>
          <w:trHeight w:val="211"/>
        </w:trPr>
        <w:tc>
          <w:tcPr>
            <w:tcW w:w="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220" w:type="dxa"/>
            <w:vAlign w:val="bottom"/>
          </w:tcPr>
          <w:p>
            <w:pPr>
              <w:ind w:left="120"/>
              <w:spacing w:after="0"/>
              <w:rPr>
                <w:sz w:val="20"/>
                <w:szCs w:val="20"/>
                <w:color w:val="auto"/>
              </w:rPr>
            </w:pPr>
            <w:r>
              <w:rPr>
                <w:rFonts w:ascii="Arial" w:cs="Arial" w:eastAsia="Arial" w:hAnsi="Arial"/>
                <w:sz w:val="17"/>
                <w:szCs w:val="17"/>
                <w:color w:val="auto"/>
              </w:rPr>
              <w:t>Christopher Beals</w:t>
            </w:r>
          </w:p>
        </w:tc>
      </w:tr>
      <w:tr>
        <w:trPr>
          <w:trHeight w:val="219"/>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ind w:left="120"/>
              <w:spacing w:after="0"/>
              <w:rPr>
                <w:sz w:val="20"/>
                <w:szCs w:val="20"/>
                <w:color w:val="auto"/>
              </w:rPr>
            </w:pPr>
            <w:r>
              <w:rPr>
                <w:rFonts w:ascii="Arial" w:cs="Arial" w:eastAsia="Arial" w:hAnsi="Arial"/>
                <w:sz w:val="17"/>
                <w:szCs w:val="17"/>
                <w:color w:val="auto"/>
              </w:rPr>
              <w:t>Chief Executive Officer</w:t>
            </w:r>
          </w:p>
        </w:tc>
      </w:tr>
      <w:tr>
        <w:trPr>
          <w:trHeight w:val="219"/>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7"/>
                <w:szCs w:val="17"/>
                <w:i w:val="1"/>
                <w:iCs w:val="1"/>
                <w:color w:val="auto"/>
              </w:rPr>
              <w:t>(Principal Executive Officer)</w:t>
            </w:r>
          </w:p>
        </w:tc>
      </w:tr>
      <w:tr>
        <w:trPr>
          <w:trHeight w:val="568"/>
        </w:trPr>
        <w:tc>
          <w:tcPr>
            <w:tcW w:w="480" w:type="dxa"/>
            <w:vAlign w:val="bottom"/>
          </w:tcPr>
          <w:p>
            <w:pPr>
              <w:spacing w:after="0"/>
              <w:rPr>
                <w:sz w:val="20"/>
                <w:szCs w:val="20"/>
                <w:color w:val="auto"/>
              </w:rPr>
            </w:pPr>
            <w:r>
              <w:rPr>
                <w:rFonts w:ascii="Arial" w:cs="Arial" w:eastAsia="Arial" w:hAnsi="Arial"/>
                <w:sz w:val="17"/>
                <w:szCs w:val="17"/>
                <w:color w:val="auto"/>
              </w:rPr>
              <w:t>Date:</w:t>
            </w:r>
          </w:p>
        </w:tc>
        <w:tc>
          <w:tcPr>
            <w:tcW w:w="3260" w:type="dxa"/>
            <w:vAlign w:val="bottom"/>
          </w:tcPr>
          <w:p>
            <w:pPr>
              <w:ind w:left="120"/>
              <w:spacing w:after="0"/>
              <w:rPr>
                <w:sz w:val="20"/>
                <w:szCs w:val="20"/>
                <w:color w:val="auto"/>
              </w:rPr>
            </w:pPr>
            <w:r>
              <w:rPr>
                <w:rFonts w:ascii="Arial" w:cs="Arial" w:eastAsia="Arial" w:hAnsi="Arial"/>
                <w:sz w:val="17"/>
                <w:szCs w:val="17"/>
                <w:color w:val="auto"/>
              </w:rPr>
              <w:t>November 12, 2021</w:t>
            </w:r>
          </w:p>
        </w:tc>
        <w:tc>
          <w:tcPr>
            <w:tcW w:w="2660" w:type="dxa"/>
            <w:vAlign w:val="bottom"/>
          </w:tcPr>
          <w:p>
            <w:pPr>
              <w:ind w:left="2220"/>
              <w:spacing w:after="0"/>
              <w:rPr>
                <w:sz w:val="20"/>
                <w:szCs w:val="20"/>
                <w:color w:val="auto"/>
              </w:rPr>
            </w:pPr>
            <w:r>
              <w:rPr>
                <w:rFonts w:ascii="Arial" w:cs="Arial" w:eastAsia="Arial" w:hAnsi="Arial"/>
                <w:sz w:val="17"/>
                <w:szCs w:val="17"/>
                <w:color w:val="auto"/>
              </w:rPr>
              <w:t>By:</w:t>
            </w:r>
          </w:p>
        </w:tc>
        <w:tc>
          <w:tcPr>
            <w:tcW w:w="48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/s/ Arden Lee</w:t>
            </w:r>
          </w:p>
        </w:tc>
      </w:tr>
      <w:tr>
        <w:trPr>
          <w:trHeight w:val="211"/>
        </w:trPr>
        <w:tc>
          <w:tcPr>
            <w:tcW w:w="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Name:</w:t>
            </w:r>
          </w:p>
        </w:tc>
        <w:tc>
          <w:tcPr>
            <w:tcW w:w="4220" w:type="dxa"/>
            <w:vAlign w:val="bottom"/>
          </w:tcPr>
          <w:p>
            <w:pPr>
              <w:ind w:left="120"/>
              <w:spacing w:after="0"/>
              <w:rPr>
                <w:sz w:val="20"/>
                <w:szCs w:val="20"/>
                <w:color w:val="auto"/>
              </w:rPr>
            </w:pPr>
            <w:r>
              <w:rPr>
                <w:rFonts w:ascii="Arial" w:cs="Arial" w:eastAsia="Arial" w:hAnsi="Arial"/>
                <w:sz w:val="17"/>
                <w:szCs w:val="17"/>
                <w:color w:val="auto"/>
              </w:rPr>
              <w:t>Arden Lee</w:t>
            </w:r>
          </w:p>
        </w:tc>
      </w:tr>
      <w:tr>
        <w:trPr>
          <w:trHeight w:val="219"/>
        </w:trPr>
        <w:tc>
          <w:tcPr>
            <w:tcW w:w="48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Pr>
          <w:p>
            <w:pPr>
              <w:spacing w:after="0"/>
              <w:rPr>
                <w:sz w:val="20"/>
                <w:szCs w:val="20"/>
                <w:color w:val="auto"/>
              </w:rPr>
            </w:pPr>
            <w:r>
              <w:rPr>
                <w:rFonts w:ascii="Arial" w:cs="Arial" w:eastAsia="Arial" w:hAnsi="Arial"/>
                <w:sz w:val="17"/>
                <w:szCs w:val="17"/>
                <w:color w:val="auto"/>
              </w:rPr>
              <w:t>Title:</w:t>
            </w:r>
          </w:p>
        </w:tc>
        <w:tc>
          <w:tcPr>
            <w:tcW w:w="4220" w:type="dxa"/>
            <w:vAlign w:val="bottom"/>
          </w:tcPr>
          <w:p>
            <w:pPr>
              <w:ind w:left="120"/>
              <w:spacing w:after="0"/>
              <w:rPr>
                <w:sz w:val="20"/>
                <w:szCs w:val="20"/>
                <w:color w:val="auto"/>
              </w:rPr>
            </w:pPr>
            <w:r>
              <w:rPr>
                <w:rFonts w:ascii="Arial" w:cs="Arial" w:eastAsia="Arial" w:hAnsi="Arial"/>
                <w:sz w:val="17"/>
                <w:szCs w:val="17"/>
                <w:color w:val="auto"/>
              </w:rPr>
              <w:t>Chief Financial Officer</w:t>
            </w:r>
          </w:p>
        </w:tc>
      </w:tr>
      <w:tr>
        <w:trPr>
          <w:trHeight w:val="170"/>
        </w:trPr>
        <w:tc>
          <w:tcPr>
            <w:tcW w:w="48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20" w:type="dxa"/>
            <w:vAlign w:val="bottom"/>
          </w:tcPr>
          <w:p>
            <w:pPr>
              <w:ind w:left="120"/>
              <w:spacing w:after="0" w:line="170" w:lineRule="exact"/>
              <w:rPr>
                <w:sz w:val="20"/>
                <w:szCs w:val="20"/>
                <w:color w:val="auto"/>
              </w:rPr>
            </w:pPr>
            <w:r>
              <w:rPr>
                <w:rFonts w:ascii="Arial" w:cs="Arial" w:eastAsia="Arial" w:hAnsi="Arial"/>
                <w:sz w:val="17"/>
                <w:szCs w:val="17"/>
                <w:i w:val="1"/>
                <w:iCs w:val="1"/>
                <w:color w:val="auto"/>
              </w:rPr>
              <w:t>(Principal Financial Officer and Principal Accounting</w:t>
            </w:r>
          </w:p>
        </w:tc>
      </w:tr>
      <w:tr>
        <w:trPr>
          <w:trHeight w:val="217"/>
        </w:trPr>
        <w:tc>
          <w:tcPr>
            <w:tcW w:w="48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220" w:type="dxa"/>
            <w:vAlign w:val="bottom"/>
          </w:tcPr>
          <w:p>
            <w:pPr>
              <w:ind w:left="120"/>
              <w:spacing w:after="0"/>
              <w:rPr>
                <w:sz w:val="20"/>
                <w:szCs w:val="20"/>
                <w:color w:val="auto"/>
              </w:rPr>
            </w:pPr>
            <w:r>
              <w:rPr>
                <w:rFonts w:ascii="Arial" w:cs="Arial" w:eastAsia="Arial" w:hAnsi="Arial"/>
                <w:sz w:val="17"/>
                <w:szCs w:val="17"/>
                <w:i w:val="1"/>
                <w:iCs w:val="1"/>
                <w:color w:val="auto"/>
              </w:rPr>
              <w:t>Officer)</w:t>
            </w:r>
          </w:p>
        </w:tc>
      </w:tr>
      <w:tr>
        <w:trPr>
          <w:trHeight w:val="864"/>
        </w:trPr>
        <w:tc>
          <w:tcPr>
            <w:tcW w:w="4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660" w:type="dxa"/>
            <w:vAlign w:val="bottom"/>
          </w:tcPr>
          <w:p>
            <w:pPr>
              <w:jc w:val="right"/>
              <w:ind w:right="634"/>
              <w:spacing w:after="0"/>
              <w:rPr>
                <w:sz w:val="20"/>
                <w:szCs w:val="20"/>
                <w:color w:val="auto"/>
              </w:rPr>
            </w:pPr>
            <w:r>
              <w:rPr>
                <w:rFonts w:ascii="Arial" w:cs="Arial" w:eastAsia="Arial" w:hAnsi="Arial"/>
                <w:sz w:val="17"/>
                <w:szCs w:val="17"/>
                <w:color w:val="auto"/>
              </w:rPr>
              <w:t>52</w:t>
            </w:r>
          </w:p>
        </w:tc>
        <w:tc>
          <w:tcPr>
            <w:tcW w:w="600" w:type="dxa"/>
            <w:vAlign w:val="bottom"/>
          </w:tcPr>
          <w:p>
            <w:pPr>
              <w:spacing w:after="0"/>
              <w:rPr>
                <w:sz w:val="24"/>
                <w:szCs w:val="24"/>
                <w:color w:val="auto"/>
              </w:rPr>
            </w:pPr>
          </w:p>
        </w:tc>
        <w:tc>
          <w:tcPr>
            <w:tcW w:w="42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23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¹"/>
      <w:numFmt w:val="bullet"/>
      <w:start w:val="1"/>
    </w:lvl>
  </w:abstractNum>
  <w:abstractNum w:abstractNumId="2">
    <w:nsid w:val="109CF92E"/>
    <w:multiLevelType w:val="hybridMultilevel"/>
    <w:lvl w:ilvl="0">
      <w:lvlJc w:val="left"/>
      <w:lvlText w:val="%1."/>
      <w:numFmt w:val="decimal"/>
      <w:start w:val="2"/>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Roman"/>
      <w:start w:val="2"/>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6"/>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7"/>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1."/>
      <w:numFmt w:val="decimal"/>
      <w:start w:val="9"/>
    </w:lvl>
  </w:abstractNum>
  <w:abstractNum w:abstractNumId="13">
    <w:nsid w:val="7C83E458"/>
    <w:multiLevelType w:val="hybridMultilevel"/>
    <w:lvl w:ilvl="0">
      <w:lvlJc w:val="left"/>
      <w:lvlText w:val="%1."/>
      <w:numFmt w:val="decimal"/>
      <w:start w:val="10"/>
    </w:lvl>
  </w:abstractNum>
  <w:abstractNum w:abstractNumId="14">
    <w:nsid w:val="257130A3"/>
    <w:multiLevelType w:val="hybridMultilevel"/>
    <w:lvl w:ilvl="0">
      <w:lvlJc w:val="left"/>
      <w:lvlText w:val="%1."/>
      <w:numFmt w:val="decimal"/>
      <w:start w:val="11"/>
    </w:lvl>
  </w:abstractNum>
  <w:abstractNum w:abstractNumId="15">
    <w:nsid w:val="62BBD95A"/>
    <w:multiLevelType w:val="hybridMultilevel"/>
    <w:lvl w:ilvl="0">
      <w:lvlJc w:val="left"/>
      <w:lvlText w:val="%1."/>
      <w:numFmt w:val="decimal"/>
      <w:start w:val="12"/>
    </w:lvl>
  </w:abstractNum>
  <w:abstractNum w:abstractNumId="16">
    <w:nsid w:val="436C6125"/>
    <w:multiLevelType w:val="hybridMultilevel"/>
    <w:lvl w:ilvl="0">
      <w:lvlJc w:val="left"/>
      <w:lvlText w:val="%1."/>
      <w:numFmt w:val="decimal"/>
      <w:start w:val="13"/>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¹"/>
      <w:numFmt w:val="bullet"/>
      <w:start w:val="1"/>
    </w:lvl>
  </w:abstractNum>
  <w:abstractNum w:abstractNumId="20">
    <w:nsid w:val="2443A858"/>
    <w:multiLevelType w:val="hybridMultilevel"/>
    <w:lvl w:ilvl="0">
      <w:lvlJc w:val="left"/>
      <w:lvlText w:val="¹"/>
      <w:numFmt w:val="bullet"/>
      <w:start w:val="1"/>
    </w:lvl>
  </w:abstractNum>
  <w:abstractNum w:abstractNumId="21">
    <w:nsid w:val="2D1D5AE9"/>
    <w:multiLevelType w:val="hybridMultilevel"/>
    <w:lvl w:ilvl="0">
      <w:lvlJc w:val="left"/>
      <w:lvlText w:val="¹"/>
      <w:numFmt w:val="bullet"/>
      <w:start w:val="1"/>
    </w:lvl>
  </w:abstractNum>
  <w:abstractNum w:abstractNumId="22">
    <w:nsid w:val="6763845E"/>
    <w:multiLevelType w:val="hybridMultilevel"/>
    <w:lvl w:ilvl="0">
      <w:lvlJc w:val="left"/>
      <w:lvlText w:val="(%1)"/>
      <w:numFmt w:val="upperLetter"/>
      <w:start w:val="2"/>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2021-11-12T19:41:36Z</dcterms:created>
  <dcterms:modified xsi:type="dcterms:W3CDTF">2021-11-12T19:41:36Z</dcterms:modified>
</cp:coreProperties>
</file>