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3"/>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2822575</wp:posOffset>
            </wp:positionH>
            <wp:positionV relativeFrom="page">
              <wp:posOffset>517525</wp:posOffset>
            </wp:positionV>
            <wp:extent cx="19113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11350" cy="8255"/>
                    </a:xfrm>
                    <a:prstGeom prst="rect">
                      <a:avLst/>
                    </a:prstGeom>
                    <a:noFill/>
                  </pic:spPr>
                </pic:pic>
              </a:graphicData>
            </a:graphic>
          </wp:anchor>
        </w:drawing>
        <w:drawing>
          <wp:anchor simplePos="0" relativeHeight="251657728" behindDoc="1" locked="0" layoutInCell="0" allowOverlap="1">
            <wp:simplePos x="0" y="0"/>
            <wp:positionH relativeFrom="page">
              <wp:posOffset>2822575</wp:posOffset>
            </wp:positionH>
            <wp:positionV relativeFrom="page">
              <wp:posOffset>397510</wp:posOffset>
            </wp:positionV>
            <wp:extent cx="191135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135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93"/>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3"/>
        <w:spacing w:after="0"/>
        <w:rPr>
          <w:sz w:val="20"/>
          <w:szCs w:val="20"/>
          <w:color w:val="auto"/>
        </w:rPr>
      </w:pPr>
      <w:r>
        <w:rPr>
          <w:rFonts w:ascii="Arial" w:cs="Arial" w:eastAsia="Arial" w:hAnsi="Arial"/>
          <w:sz w:val="22"/>
          <w:szCs w:val="22"/>
          <w:b w:val="1"/>
          <w:bCs w:val="1"/>
          <w:color w:val="auto"/>
        </w:rPr>
        <w:t>Washington, D.C. 20549</w:t>
      </w:r>
    </w:p>
    <w:p>
      <w:pPr>
        <w:spacing w:after="0" w:line="224" w:lineRule="exact"/>
        <w:rPr>
          <w:sz w:val="24"/>
          <w:szCs w:val="24"/>
          <w:color w:val="auto"/>
        </w:rPr>
      </w:pPr>
    </w:p>
    <w:p>
      <w:pPr>
        <w:jc w:val="center"/>
        <w:ind w:right="-193"/>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1"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Date of Report (Date of earliest event reported):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246380</wp:posOffset>
            </wp:positionV>
            <wp:extent cx="3094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93"/>
        <w:spacing w:after="0"/>
        <w:rPr>
          <w:sz w:val="20"/>
          <w:szCs w:val="20"/>
          <w:color w:val="auto"/>
        </w:rPr>
      </w:pPr>
      <w:r>
        <w:rPr>
          <w:rFonts w:ascii="Arial" w:cs="Arial" w:eastAsia="Arial" w:hAnsi="Arial"/>
          <w:sz w:val="40"/>
          <w:szCs w:val="40"/>
          <w:b w:val="1"/>
          <w:bCs w:val="1"/>
          <w:color w:val="auto"/>
        </w:rPr>
        <w:t>WM TECHNOLOGY, INC.</w:t>
      </w:r>
    </w:p>
    <w:p>
      <w:pPr>
        <w:spacing w:after="0" w:line="48"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150495</wp:posOffset>
            </wp:positionV>
            <wp:extent cx="3094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left="2674"/>
        <w:spacing w:after="0"/>
        <w:tabs>
          <w:tab w:leader="none" w:pos="5334" w:val="left"/>
          <w:tab w:leader="none" w:pos="785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001-39021</w:t>
      </w:r>
      <w:r>
        <w:rPr>
          <w:sz w:val="20"/>
          <w:szCs w:val="20"/>
          <w:color w:val="auto"/>
        </w:rPr>
        <w:tab/>
      </w:r>
      <w:r>
        <w:rPr>
          <w:rFonts w:ascii="Arial" w:cs="Arial" w:eastAsia="Arial" w:hAnsi="Arial"/>
          <w:sz w:val="16"/>
          <w:szCs w:val="16"/>
          <w:b w:val="1"/>
          <w:bCs w:val="1"/>
          <w:color w:val="auto"/>
        </w:rPr>
        <w:t>98-1605615</w:t>
      </w:r>
    </w:p>
    <w:p>
      <w:pPr>
        <w:spacing w:after="0" w:line="67" w:lineRule="exact"/>
        <w:rPr>
          <w:sz w:val="24"/>
          <w:szCs w:val="24"/>
          <w:color w:val="auto"/>
        </w:rPr>
      </w:pPr>
    </w:p>
    <w:p>
      <w:pPr>
        <w:ind w:left="1954"/>
        <w:spacing w:after="0"/>
        <w:tabs>
          <w:tab w:leader="none" w:pos="4734" w:val="left"/>
          <w:tab w:leader="none" w:pos="7174" w:val="left"/>
        </w:tabs>
        <w:rPr>
          <w:sz w:val="20"/>
          <w:szCs w:val="20"/>
          <w:color w:val="auto"/>
        </w:rPr>
      </w:pPr>
      <w:r>
        <w:rPr>
          <w:rFonts w:ascii="Arial" w:cs="Arial" w:eastAsia="Arial" w:hAnsi="Arial"/>
          <w:sz w:val="18"/>
          <w:szCs w:val="18"/>
          <w:color w:val="auto"/>
        </w:rPr>
        <w:t>(State or Other Jurisdiction of</w:t>
      </w:r>
      <w:r>
        <w:rPr>
          <w:sz w:val="20"/>
          <w:szCs w:val="20"/>
          <w:color w:val="auto"/>
        </w:rPr>
        <w:tab/>
      </w:r>
      <w:r>
        <w:rPr>
          <w:rFonts w:ascii="Arial" w:cs="Arial" w:eastAsia="Arial" w:hAnsi="Arial"/>
          <w:sz w:val="18"/>
          <w:szCs w:val="18"/>
          <w:color w:val="auto"/>
        </w:rPr>
        <w:t>(Commission File Number)</w:t>
      </w:r>
      <w:r>
        <w:rPr>
          <w:sz w:val="20"/>
          <w:szCs w:val="20"/>
          <w:color w:val="auto"/>
        </w:rPr>
        <w:tab/>
      </w:r>
      <w:r>
        <w:rPr>
          <w:rFonts w:ascii="Arial" w:cs="Arial" w:eastAsia="Arial" w:hAnsi="Arial"/>
          <w:sz w:val="16"/>
          <w:szCs w:val="16"/>
          <w:color w:val="auto"/>
        </w:rPr>
        <w:t>(I.R.S. Employer Identification</w:t>
      </w:r>
    </w:p>
    <w:p>
      <w:pPr>
        <w:spacing w:after="0" w:line="23" w:lineRule="exact"/>
        <w:rPr>
          <w:sz w:val="24"/>
          <w:szCs w:val="24"/>
          <w:color w:val="auto"/>
        </w:rPr>
      </w:pPr>
    </w:p>
    <w:p>
      <w:pPr>
        <w:ind w:left="2514"/>
        <w:spacing w:after="0"/>
        <w:tabs>
          <w:tab w:leader="none" w:pos="8134"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No.)</w:t>
      </w:r>
    </w:p>
    <w:p>
      <w:pPr>
        <w:spacing w:after="0" w:line="396" w:lineRule="exact"/>
        <w:rPr>
          <w:sz w:val="24"/>
          <w:szCs w:val="24"/>
          <w:color w:val="auto"/>
        </w:rPr>
      </w:pPr>
    </w:p>
    <w:p>
      <w:pPr>
        <w:ind w:left="2234"/>
        <w:spacing w:after="0"/>
        <w:rPr>
          <w:sz w:val="20"/>
          <w:szCs w:val="20"/>
          <w:color w:val="auto"/>
        </w:rPr>
      </w:pPr>
      <w:r>
        <w:rPr>
          <w:rFonts w:ascii="Arial" w:cs="Arial" w:eastAsia="Arial" w:hAnsi="Arial"/>
          <w:sz w:val="18"/>
          <w:szCs w:val="18"/>
          <w:b w:val="1"/>
          <w:bCs w:val="1"/>
          <w:color w:val="auto"/>
        </w:rPr>
        <w:t>41 Discovery</w:t>
      </w:r>
    </w:p>
    <w:p>
      <w:pPr>
        <w:spacing w:after="0" w:line="27" w:lineRule="exact"/>
        <w:rPr>
          <w:sz w:val="24"/>
          <w:szCs w:val="24"/>
          <w:color w:val="auto"/>
        </w:rPr>
      </w:pPr>
    </w:p>
    <w:p>
      <w:pPr>
        <w:ind w:left="2054"/>
        <w:spacing w:after="0"/>
        <w:tabs>
          <w:tab w:leader="none" w:pos="8194" w:val="left"/>
        </w:tabs>
        <w:rPr>
          <w:sz w:val="20"/>
          <w:szCs w:val="20"/>
          <w:color w:val="auto"/>
        </w:rPr>
      </w:pPr>
      <w:r>
        <w:rPr>
          <w:rFonts w:ascii="Arial" w:cs="Arial" w:eastAsia="Arial" w:hAnsi="Arial"/>
          <w:sz w:val="18"/>
          <w:szCs w:val="18"/>
          <w:b w:val="1"/>
          <w:bCs w:val="1"/>
          <w:color w:val="auto"/>
        </w:rPr>
        <w:t>Irvine, California</w:t>
      </w:r>
      <w:r>
        <w:rPr>
          <w:sz w:val="20"/>
          <w:szCs w:val="20"/>
          <w:color w:val="auto"/>
        </w:rPr>
        <w:tab/>
      </w:r>
      <w:r>
        <w:rPr>
          <w:rFonts w:ascii="Arial" w:cs="Arial" w:eastAsia="Arial" w:hAnsi="Arial"/>
          <w:sz w:val="16"/>
          <w:szCs w:val="16"/>
          <w:b w:val="1"/>
          <w:bCs w:val="1"/>
          <w:color w:val="auto"/>
        </w:rPr>
        <w:t>92618</w:t>
      </w:r>
    </w:p>
    <w:p>
      <w:pPr>
        <w:spacing w:after="0" w:line="49" w:lineRule="exact"/>
        <w:rPr>
          <w:sz w:val="24"/>
          <w:szCs w:val="24"/>
          <w:color w:val="auto"/>
        </w:rPr>
      </w:pPr>
    </w:p>
    <w:p>
      <w:pPr>
        <w:ind w:left="1294"/>
        <w:spacing w:after="0"/>
        <w:tabs>
          <w:tab w:leader="none" w:pos="8014" w:val="left"/>
        </w:tabs>
        <w:rPr>
          <w:sz w:val="20"/>
          <w:szCs w:val="20"/>
          <w:color w:val="auto"/>
        </w:rPr>
      </w:pPr>
      <w:r>
        <w:rPr>
          <w:rFonts w:ascii="Arial" w:cs="Arial" w:eastAsia="Arial" w:hAnsi="Arial"/>
          <w:sz w:val="18"/>
          <w:szCs w:val="18"/>
          <w:color w:val="auto"/>
        </w:rPr>
        <w:t>(Address of principal executive offices)</w:t>
      </w:r>
      <w:r>
        <w:rPr>
          <w:sz w:val="20"/>
          <w:szCs w:val="20"/>
          <w:color w:val="auto"/>
        </w:rPr>
        <w:tab/>
      </w:r>
      <w:r>
        <w:rPr>
          <w:rFonts w:ascii="Arial" w:cs="Arial" w:eastAsia="Arial" w:hAnsi="Arial"/>
          <w:sz w:val="16"/>
          <w:szCs w:val="16"/>
          <w:color w:val="auto"/>
        </w:rPr>
        <w:t>(Zip Code)</w:t>
      </w:r>
    </w:p>
    <w:p>
      <w:pPr>
        <w:spacing w:after="0" w:line="235" w:lineRule="exact"/>
        <w:rPr>
          <w:sz w:val="24"/>
          <w:szCs w:val="24"/>
          <w:color w:val="auto"/>
        </w:rPr>
      </w:pPr>
    </w:p>
    <w:p>
      <w:pPr>
        <w:ind w:left="5034"/>
        <w:spacing w:after="0"/>
        <w:rPr>
          <w:sz w:val="20"/>
          <w:szCs w:val="20"/>
          <w:color w:val="auto"/>
        </w:rPr>
      </w:pPr>
      <w:r>
        <w:rPr>
          <w:rFonts w:ascii="Arial" w:cs="Arial" w:eastAsia="Arial" w:hAnsi="Arial"/>
          <w:sz w:val="18"/>
          <w:szCs w:val="18"/>
          <w:b w:val="1"/>
          <w:bCs w:val="1"/>
          <w:color w:val="auto"/>
        </w:rPr>
        <w:t>(844) 933-3627</w:t>
      </w:r>
    </w:p>
    <w:p>
      <w:pPr>
        <w:spacing w:after="0" w:line="27" w:lineRule="exact"/>
        <w:rPr>
          <w:sz w:val="24"/>
          <w:szCs w:val="24"/>
          <w:color w:val="auto"/>
        </w:rPr>
      </w:pPr>
    </w:p>
    <w:p>
      <w:pPr>
        <w:ind w:left="3694"/>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ind w:right="-193"/>
        <w:spacing w:after="0"/>
        <w:rPr>
          <w:sz w:val="20"/>
          <w:szCs w:val="20"/>
          <w:color w:val="auto"/>
        </w:rPr>
      </w:pPr>
      <w:r>
        <w:rPr>
          <w:rFonts w:ascii="Arial" w:cs="Arial" w:eastAsia="Arial" w:hAnsi="Arial"/>
          <w:sz w:val="18"/>
          <w:szCs w:val="18"/>
          <w:b w:val="1"/>
          <w:bCs w:val="1"/>
          <w:color w:val="auto"/>
        </w:rPr>
        <w:t>N/A</w:t>
      </w:r>
    </w:p>
    <w:p>
      <w:pPr>
        <w:spacing w:after="0" w:line="9" w:lineRule="exact"/>
        <w:rPr>
          <w:sz w:val="24"/>
          <w:szCs w:val="24"/>
          <w:color w:val="auto"/>
        </w:rPr>
      </w:pPr>
    </w:p>
    <w:p>
      <w:pPr>
        <w:jc w:val="center"/>
        <w:ind w:right="-193"/>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65" w:lineRule="exact"/>
        <w:rPr>
          <w:sz w:val="24"/>
          <w:szCs w:val="24"/>
          <w:color w:val="auto"/>
        </w:rPr>
      </w:pPr>
    </w:p>
    <w:p>
      <w:pPr>
        <w:ind w:left="23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251" w:lineRule="exact"/>
        <w:rPr>
          <w:sz w:val="24"/>
          <w:szCs w:val="24"/>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54" w:hanging="454"/>
        <w:spacing w:after="0"/>
        <w:tabs>
          <w:tab w:leader="none" w:pos="45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ind w:left="23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02" w:lineRule="exact"/>
        <w:rPr>
          <w:sz w:val="24"/>
          <w:szCs w:val="24"/>
          <w:color w:val="auto"/>
        </w:rPr>
      </w:pPr>
    </w:p>
    <w:p>
      <w:pPr>
        <w:ind w:left="1834"/>
        <w:spacing w:after="0"/>
        <w:tabs>
          <w:tab w:leader="none" w:pos="5254" w:val="left"/>
          <w:tab w:leader="none" w:pos="7354" w:val="left"/>
        </w:tabs>
        <w:rPr>
          <w:sz w:val="20"/>
          <w:szCs w:val="20"/>
          <w:color w:val="auto"/>
        </w:rPr>
      </w:pPr>
      <w:r>
        <w:rPr>
          <w:rFonts w:ascii="Arial" w:cs="Arial" w:eastAsia="Arial" w:hAnsi="Arial"/>
          <w:sz w:val="18"/>
          <w:szCs w:val="18"/>
          <w:b w:val="1"/>
          <w:bCs w:val="1"/>
          <w:color w:val="auto"/>
        </w:rPr>
        <w:t>Title of each class</w:t>
      </w:r>
      <w:r>
        <w:rPr>
          <w:sz w:val="20"/>
          <w:szCs w:val="20"/>
          <w:color w:val="auto"/>
        </w:rPr>
        <w:tab/>
      </w:r>
      <w:r>
        <w:rPr>
          <w:rFonts w:ascii="Arial" w:cs="Arial" w:eastAsia="Arial" w:hAnsi="Arial"/>
          <w:sz w:val="18"/>
          <w:szCs w:val="18"/>
          <w:b w:val="1"/>
          <w:bCs w:val="1"/>
          <w:color w:val="auto"/>
        </w:rPr>
        <w:t>Trading symbol(s)</w:t>
      </w:r>
      <w:r>
        <w:rPr>
          <w:sz w:val="20"/>
          <w:szCs w:val="20"/>
          <w:color w:val="auto"/>
        </w:rPr>
        <w:tab/>
      </w:r>
      <w:r>
        <w:rPr>
          <w:rFonts w:ascii="Arial" w:cs="Arial" w:eastAsia="Arial" w:hAnsi="Arial"/>
          <w:sz w:val="15"/>
          <w:szCs w:val="15"/>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151130</wp:posOffset>
            </wp:positionH>
            <wp:positionV relativeFrom="paragraph">
              <wp:posOffset>34290</wp:posOffset>
            </wp:positionV>
            <wp:extent cx="6780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0530" cy="8890"/>
                    </a:xfrm>
                    <a:prstGeom prst="rect">
                      <a:avLst/>
                    </a:prstGeom>
                    <a:noFill/>
                  </pic:spPr>
                </pic:pic>
              </a:graphicData>
            </a:graphic>
          </wp:anchor>
        </w:drawing>
      </w:r>
    </w:p>
    <w:p>
      <w:pPr>
        <w:sectPr>
          <w:pgSz w:w="11900" w:h="16838" w:orient="portrait"/>
          <w:cols w:equalWidth="0" w:num="1">
            <w:col w:w="11014"/>
          </w:cols>
          <w:pgMar w:left="346" w:top="1143" w:right="539" w:bottom="1103" w:gutter="0" w:footer="0" w:header="0"/>
        </w:sectPr>
      </w:pPr>
    </w:p>
    <w:p>
      <w:pPr>
        <w:spacing w:after="0" w:line="81" w:lineRule="exact"/>
        <w:rPr>
          <w:sz w:val="24"/>
          <w:szCs w:val="24"/>
          <w:color w:val="auto"/>
        </w:rPr>
      </w:pPr>
    </w:p>
    <w:p>
      <w:pPr>
        <w:ind w:left="594"/>
        <w:spacing w:after="0"/>
        <w:rPr>
          <w:sz w:val="20"/>
          <w:szCs w:val="20"/>
          <w:color w:val="auto"/>
        </w:rPr>
      </w:pPr>
      <w:r>
        <w:rPr>
          <w:rFonts w:ascii="Arial" w:cs="Arial" w:eastAsia="Arial" w:hAnsi="Arial"/>
          <w:sz w:val="16"/>
          <w:szCs w:val="16"/>
          <w:color w:val="auto"/>
        </w:rPr>
        <w:t>Class A Common Stock, $0.0001 par value per share</w:t>
      </w:r>
    </w:p>
    <w:p>
      <w:pPr>
        <w:spacing w:after="0" w:line="86" w:lineRule="exact"/>
        <w:rPr>
          <w:sz w:val="24"/>
          <w:szCs w:val="24"/>
          <w:color w:val="auto"/>
        </w:rPr>
      </w:pPr>
    </w:p>
    <w:p>
      <w:pPr>
        <w:jc w:val="both"/>
        <w:ind w:left="254" w:right="500"/>
        <w:spacing w:after="0" w:line="263" w:lineRule="auto"/>
        <w:rPr>
          <w:sz w:val="20"/>
          <w:szCs w:val="20"/>
          <w:color w:val="auto"/>
        </w:rPr>
      </w:pPr>
      <w:r>
        <w:rPr>
          <w:rFonts w:ascii="Arial" w:cs="Arial" w:eastAsia="Arial" w:hAnsi="Arial"/>
          <w:sz w:val="18"/>
          <w:szCs w:val="18"/>
          <w:color w:val="auto"/>
        </w:rPr>
        <w:t>Warrants, each whole warrant exercisable for one share of Class A Common Stock at an exercise price of $11.50 per share</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ind w:left="80"/>
        <w:spacing w:after="0"/>
        <w:tabs>
          <w:tab w:leader="none" w:pos="1860" w:val="left"/>
        </w:tabs>
        <w:rPr>
          <w:sz w:val="20"/>
          <w:szCs w:val="20"/>
          <w:color w:val="auto"/>
        </w:rPr>
      </w:pPr>
      <w:r>
        <w:rPr>
          <w:rFonts w:ascii="Arial" w:cs="Arial" w:eastAsia="Arial" w:hAnsi="Arial"/>
          <w:sz w:val="16"/>
          <w:szCs w:val="16"/>
          <w:color w:val="auto"/>
        </w:rPr>
        <w:t>MAPS</w:t>
      </w:r>
      <w:r>
        <w:rPr>
          <w:sz w:val="20"/>
          <w:szCs w:val="20"/>
          <w:color w:val="auto"/>
        </w:rPr>
        <w:tab/>
      </w:r>
      <w:r>
        <w:rPr>
          <w:rFonts w:ascii="Arial" w:cs="Arial" w:eastAsia="Arial" w:hAnsi="Arial"/>
          <w:sz w:val="16"/>
          <w:szCs w:val="16"/>
          <w:color w:val="auto"/>
        </w:rPr>
        <w:t>The Nasdaq Global Select Market</w:t>
      </w:r>
    </w:p>
    <w:p>
      <w:pPr>
        <w:spacing w:after="0" w:line="86" w:lineRule="exact"/>
        <w:rPr>
          <w:sz w:val="24"/>
          <w:szCs w:val="24"/>
          <w:color w:val="auto"/>
        </w:rPr>
      </w:pPr>
    </w:p>
    <w:p>
      <w:pPr>
        <w:spacing w:after="0"/>
        <w:tabs>
          <w:tab w:leader="none" w:pos="1860" w:val="left"/>
        </w:tabs>
        <w:rPr>
          <w:sz w:val="20"/>
          <w:szCs w:val="20"/>
          <w:color w:val="auto"/>
        </w:rPr>
      </w:pPr>
      <w:r>
        <w:rPr>
          <w:rFonts w:ascii="Arial" w:cs="Arial" w:eastAsia="Arial" w:hAnsi="Arial"/>
          <w:sz w:val="16"/>
          <w:szCs w:val="16"/>
          <w:color w:val="auto"/>
        </w:rPr>
        <w:t>MAPSW</w:t>
      </w:r>
      <w:r>
        <w:rPr>
          <w:sz w:val="20"/>
          <w:szCs w:val="20"/>
          <w:color w:val="auto"/>
        </w:rPr>
        <w:tab/>
      </w:r>
      <w:r>
        <w:rPr>
          <w:rFonts w:ascii="Arial" w:cs="Arial" w:eastAsia="Arial" w:hAnsi="Arial"/>
          <w:sz w:val="16"/>
          <w:szCs w:val="16"/>
          <w:color w:val="auto"/>
        </w:rPr>
        <w:t>The Nasdaq Global Select Market</w:t>
      </w:r>
    </w:p>
    <w:p>
      <w:pPr>
        <w:spacing w:after="0" w:line="709" w:lineRule="exact"/>
        <w:rPr>
          <w:sz w:val="24"/>
          <w:szCs w:val="24"/>
          <w:color w:val="auto"/>
        </w:rPr>
      </w:pPr>
    </w:p>
    <w:p>
      <w:pPr>
        <w:sectPr>
          <w:pgSz w:w="11900" w:h="16838" w:orient="portrait"/>
          <w:cols w:equalWidth="0" w:num="2">
            <w:col w:w="4934" w:space="720"/>
            <w:col w:w="5360"/>
          </w:cols>
          <w:pgMar w:left="346" w:top="1143" w:right="539" w:bottom="1103" w:gutter="0" w:footer="0" w:header="0"/>
          <w:type w:val="continuous"/>
        </w:sectPr>
      </w:pPr>
    </w:p>
    <w:p>
      <w:pPr>
        <w:spacing w:after="0" w:line="267" w:lineRule="exact"/>
        <w:rPr>
          <w:sz w:val="24"/>
          <w:szCs w:val="24"/>
          <w:color w:val="auto"/>
        </w:rPr>
      </w:pPr>
    </w:p>
    <w:p>
      <w:pPr>
        <w:ind w:left="234"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ind w:left="881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left="234"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-23495</wp:posOffset>
            </wp:positionH>
            <wp:positionV relativeFrom="paragraph">
              <wp:posOffset>318135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14"/>
          </w:cols>
          <w:pgMar w:left="346" w:top="1143" w:right="539" w:bottom="1103"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440690</wp:posOffset>
            </wp:positionV>
            <wp:extent cx="64636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646366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34290"/>
                    </a:xfrm>
                    <a:prstGeom prst="rect">
                      <a:avLst/>
                    </a:prstGeom>
                    <a:noFill/>
                  </pic:spPr>
                </pic:pic>
              </a:graphicData>
            </a:graphic>
          </wp:anchor>
        </w:drawing>
        <w:t>Item 2.02 Results of Operations and Financial Conditions</w:t>
      </w:r>
    </w:p>
    <w:p>
      <w:pPr>
        <w:spacing w:after="0" w:line="283" w:lineRule="exact"/>
        <w:rPr>
          <w:sz w:val="20"/>
          <w:szCs w:val="20"/>
          <w:color w:val="auto"/>
        </w:rPr>
      </w:pPr>
    </w:p>
    <w:p>
      <w:pPr>
        <w:jc w:val="both"/>
        <w:ind w:left="260"/>
        <w:spacing w:after="0" w:line="342" w:lineRule="auto"/>
        <w:rPr>
          <w:sz w:val="20"/>
          <w:szCs w:val="20"/>
          <w:color w:val="auto"/>
        </w:rPr>
      </w:pPr>
      <w:r>
        <w:rPr>
          <w:rFonts w:ascii="Arial" w:cs="Arial" w:eastAsia="Arial" w:hAnsi="Arial"/>
          <w:sz w:val="16"/>
          <w:szCs w:val="16"/>
          <w:color w:val="auto"/>
        </w:rPr>
        <w:t>On May 4, 2022 WM Technology, Inc. announced its financial results for the first quarter ended March 31, 2022. The full text of the press release issued in connection with the announcement is furnished as Exhibit 99.1 to this Current Report on Form 8-K and is incorporated by reference.</w:t>
      </w:r>
    </w:p>
    <w:p>
      <w:pPr>
        <w:spacing w:after="0" w:line="205" w:lineRule="exact"/>
        <w:rPr>
          <w:sz w:val="20"/>
          <w:szCs w:val="20"/>
          <w:color w:val="auto"/>
        </w:rPr>
      </w:pPr>
    </w:p>
    <w:p>
      <w:pPr>
        <w:jc w:val="both"/>
        <w:ind w:left="260"/>
        <w:spacing w:after="0" w:line="259" w:lineRule="auto"/>
        <w:rPr>
          <w:sz w:val="20"/>
          <w:szCs w:val="20"/>
          <w:color w:val="auto"/>
        </w:rPr>
      </w:pPr>
      <w:r>
        <w:rPr>
          <w:rFonts w:ascii="Arial" w:cs="Arial" w:eastAsia="Arial" w:hAnsi="Arial"/>
          <w:sz w:val="18"/>
          <w:szCs w:val="18"/>
          <w:color w:val="auto"/>
        </w:rPr>
        <w:t>The information in Item 2.02 and in the accompanying Exhibit 99.1 is being furnished and shall not be deemed "filed" for purposes of Section 18 of the Securities Exchange Act of 1934 (the "Exchange Act"), or otherwise subject to the liabilities of that section, nor shall they be deemed incorporated by reference in any filing under the Securities Act of 1933, as amended, or the Exchange Act, regardless of any general incorporation language in such filing, except as expressly set forth by specific reference in such a filing.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0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140"/>
        <w:spacing w:after="0"/>
        <w:tabs>
          <w:tab w:leader="none" w:pos="1020" w:val="left"/>
        </w:tabs>
        <w:rPr>
          <w:sz w:val="20"/>
          <w:szCs w:val="20"/>
          <w:color w:val="auto"/>
        </w:rPr>
      </w:pPr>
      <w:r>
        <w:rPr>
          <w:rFonts w:ascii="Arial" w:cs="Arial" w:eastAsia="Arial" w:hAnsi="Arial"/>
          <w:sz w:val="18"/>
          <w:szCs w:val="18"/>
          <w:b w:val="1"/>
          <w:bCs w:val="1"/>
          <w:color w:val="auto"/>
        </w:rPr>
        <w:t>Number</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6240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0780" cy="8255"/>
                    </a:xfrm>
                    <a:prstGeom prst="rect">
                      <a:avLst/>
                    </a:prstGeom>
                    <a:noFill/>
                  </pic:spPr>
                </pic:pic>
              </a:graphicData>
            </a:graphic>
          </wp:anchor>
        </w:drawing>
      </w:r>
    </w:p>
    <w:p>
      <w:pPr>
        <w:spacing w:after="0" w:line="42" w:lineRule="exact"/>
        <w:rPr>
          <w:sz w:val="20"/>
          <w:szCs w:val="20"/>
          <w:color w:val="auto"/>
        </w:rPr>
      </w:pPr>
    </w:p>
    <w:p>
      <w:pPr>
        <w:ind w:left="300"/>
        <w:spacing w:after="0"/>
        <w:tabs>
          <w:tab w:leader="none" w:pos="102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May 4,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39" w:right="55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SIGNATURE</w:t>
      </w:r>
    </w:p>
    <w:p>
      <w:pPr>
        <w:spacing w:after="0" w:line="270" w:lineRule="exact"/>
        <w:rPr>
          <w:sz w:val="20"/>
          <w:szCs w:val="20"/>
          <w:color w:val="auto"/>
        </w:rPr>
      </w:pPr>
    </w:p>
    <w:p>
      <w:pPr>
        <w:ind w:left="2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Dated: May 4, 2022</w:t>
      </w:r>
    </w:p>
    <w:p>
      <w:pPr>
        <w:spacing w:after="0" w:line="200" w:lineRule="exact"/>
        <w:rPr>
          <w:sz w:val="20"/>
          <w:szCs w:val="20"/>
          <w:color w:val="auto"/>
        </w:rPr>
      </w:pPr>
    </w:p>
    <w:p>
      <w:pPr>
        <w:spacing w:after="0" w:line="291" w:lineRule="exact"/>
        <w:rPr>
          <w:sz w:val="20"/>
          <w:szCs w:val="20"/>
          <w:color w:val="auto"/>
        </w:rPr>
      </w:pPr>
    </w:p>
    <w:p>
      <w:pPr>
        <w:ind w:left="7440"/>
        <w:spacing w:after="0"/>
        <w:rPr>
          <w:sz w:val="20"/>
          <w:szCs w:val="20"/>
          <w:color w:val="auto"/>
        </w:rPr>
      </w:pPr>
      <w:r>
        <w:rPr>
          <w:rFonts w:ascii="Arial" w:cs="Arial" w:eastAsia="Arial" w:hAnsi="Arial"/>
          <w:sz w:val="18"/>
          <w:szCs w:val="18"/>
          <w:b w:val="1"/>
          <w:bCs w:val="1"/>
          <w:color w:val="auto"/>
        </w:rPr>
        <w:t>WM TECHNOLOGY, INC.</w:t>
      </w:r>
    </w:p>
    <w:p>
      <w:pPr>
        <w:spacing w:after="0" w:line="297" w:lineRule="exact"/>
        <w:rPr>
          <w:sz w:val="20"/>
          <w:szCs w:val="20"/>
          <w:color w:val="auto"/>
        </w:rPr>
      </w:pPr>
    </w:p>
    <w:p>
      <w:pPr>
        <w:ind w:left="7440"/>
        <w:spacing w:after="0"/>
        <w:tabs>
          <w:tab w:leader="none" w:pos="8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31750</wp:posOffset>
            </wp:positionV>
            <wp:extent cx="1885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57"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Arden Lee</w:t>
      </w:r>
    </w:p>
    <w:p>
      <w:pPr>
        <w:spacing w:after="0" w:line="63" w:lineRule="exact"/>
        <w:rPr>
          <w:sz w:val="20"/>
          <w:szCs w:val="20"/>
          <w:color w:val="auto"/>
        </w:rPr>
      </w:pPr>
    </w:p>
    <w:p>
      <w:pPr>
        <w:ind w:left="80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134620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0"/>
          </w:cols>
          <w:pgMar w:left="340" w:top="661" w:right="5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2143125" cy="6686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WM Technology, Inc. Reports First Quarter 2022 Financial Results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First Quarter Revenue increased to $57.5 million representing growth of 40% year-over-year</w:t>
      </w:r>
    </w:p>
    <w:p>
      <w:pPr>
        <w:spacing w:after="0" w:line="200" w:lineRule="exact"/>
        <w:rPr>
          <w:sz w:val="20"/>
          <w:szCs w:val="20"/>
          <w:color w:val="auto"/>
        </w:rPr>
      </w:pPr>
    </w:p>
    <w:p>
      <w:pPr>
        <w:spacing w:after="0" w:line="27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Irvine, Calif. -- May 4, 2022 -- </w:t>
      </w:r>
      <w:r>
        <w:rPr>
          <w:rFonts w:ascii="Arial" w:cs="Arial" w:eastAsia="Arial" w:hAnsi="Arial"/>
          <w:sz w:val="18"/>
          <w:szCs w:val="18"/>
          <w:color w:val="auto"/>
        </w:rPr>
        <w:t>WM Technology, Inc. (“WM Technology” or the “Company”) (Nasdaq: MAPS), a leading technology and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infrastructure provider to the cannabis industry, today announced its financial results for the first quarter ended March 31, 2022.</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first quarter results demonstrate how we’re playing offense and continuing to drive outsized growth as well as creating distance from the pack as the leading cannabis technology provider and commerce-driven marketplace. We grew our revenue 40% year-over-year to reach $57.5 million for the quarter, which was above the top end of our guidance, as we continued to grow our user and client base,” said Chris Beals, CEO of WM Technology. “We continue to deliver what we believe is outsized value to our clients and this allows us to grow faster than our end markets as businesses rely on our marketplace and solutions to grow their own businesses. At the same time, we are accelerating the pace of new features and integrations throughout our WM Business software platform. We are driving innovation in ways that will be more visible over the course of this year as we invest in large opportunities designed to</w:t>
      </w:r>
    </w:p>
    <w:p>
      <w:pPr>
        <w:spacing w:after="0" w:line="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accelerate growth. Our team remains hard at work and focused on executing against driving deep client engagement, establishing Weedmaps as the center of commerce for Cannabis consumers and expanding the adoption of our products.”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Financial Highlights</w:t>
      </w:r>
    </w:p>
    <w:p>
      <w:pPr>
        <w:spacing w:after="0" w:line="260"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Arial" w:cs="Arial" w:eastAsia="Arial" w:hAnsi="Arial"/>
          <w:sz w:val="18"/>
          <w:szCs w:val="18"/>
          <w:color w:val="auto"/>
        </w:rPr>
        <w:t>Revenue increased to $57.5 million, up 40% from the first quarter of 2021.</w:t>
      </w:r>
    </w:p>
    <w:p>
      <w:pPr>
        <w:spacing w:after="0" w:line="34" w:lineRule="exact"/>
        <w:rPr>
          <w:rFonts w:ascii="Arial" w:cs="Arial" w:eastAsia="Arial" w:hAnsi="Arial"/>
          <w:sz w:val="22"/>
          <w:szCs w:val="22"/>
          <w:color w:val="auto"/>
        </w:rPr>
      </w:pPr>
    </w:p>
    <w:p>
      <w:pPr>
        <w:ind w:left="1300" w:hanging="320"/>
        <w:spacing w:after="0"/>
        <w:tabs>
          <w:tab w:leader="none" w:pos="1300" w:val="left"/>
        </w:tabs>
        <w:numPr>
          <w:ilvl w:val="1"/>
          <w:numId w:val="2"/>
        </w:numPr>
        <w:rPr>
          <w:rFonts w:ascii="Arial" w:cs="Arial" w:eastAsia="Arial" w:hAnsi="Arial"/>
          <w:sz w:val="18"/>
          <w:szCs w:val="18"/>
          <w:b w:val="1"/>
          <w:bCs w:val="1"/>
          <w:color w:val="auto"/>
        </w:rPr>
      </w:pPr>
      <w:r>
        <w:rPr>
          <w:rFonts w:ascii="Arial" w:cs="Arial" w:eastAsia="Arial" w:hAnsi="Arial"/>
          <w:sz w:val="18"/>
          <w:szCs w:val="18"/>
          <w:color w:val="auto"/>
        </w:rPr>
        <w:t>Monthly active users (“MAUs”)</w:t>
      </w:r>
      <w:r>
        <w:rPr>
          <w:rFonts w:ascii="Arial" w:cs="Arial" w:eastAsia="Arial" w:hAnsi="Arial"/>
          <w:sz w:val="23"/>
          <w:szCs w:val="23"/>
          <w:color w:val="auto"/>
          <w:vertAlign w:val="superscript"/>
        </w:rPr>
        <w:t>(1)(2)</w:t>
      </w:r>
      <w:r>
        <w:rPr>
          <w:rFonts w:ascii="Arial" w:cs="Arial" w:eastAsia="Arial" w:hAnsi="Arial"/>
          <w:sz w:val="18"/>
          <w:szCs w:val="18"/>
          <w:color w:val="auto"/>
        </w:rPr>
        <w:t xml:space="preserve"> increased to 16.4 million at March 31, 2022, up 52% compared to the prior year period</w:t>
      </w:r>
    </w:p>
    <w:p>
      <w:pPr>
        <w:spacing w:after="0" w:line="26" w:lineRule="exact"/>
        <w:rPr>
          <w:rFonts w:ascii="Arial" w:cs="Arial" w:eastAsia="Arial" w:hAnsi="Arial"/>
          <w:sz w:val="18"/>
          <w:szCs w:val="18"/>
          <w:b w:val="1"/>
          <w:bCs w:val="1"/>
          <w:color w:val="auto"/>
        </w:rPr>
      </w:pPr>
    </w:p>
    <w:p>
      <w:pPr>
        <w:ind w:left="1960" w:hanging="332"/>
        <w:spacing w:after="0" w:line="258" w:lineRule="auto"/>
        <w:tabs>
          <w:tab w:leader="none" w:pos="1956" w:val="left"/>
        </w:tabs>
        <w:numPr>
          <w:ilvl w:val="2"/>
          <w:numId w:val="2"/>
        </w:numPr>
        <w:rPr>
          <w:rFonts w:ascii="Arial" w:cs="Arial" w:eastAsia="Arial" w:hAnsi="Arial"/>
          <w:sz w:val="18"/>
          <w:szCs w:val="18"/>
          <w:color w:val="auto"/>
        </w:rPr>
      </w:pPr>
      <w:r>
        <w:rPr>
          <w:rFonts w:ascii="Arial" w:cs="Arial" w:eastAsia="Arial" w:hAnsi="Arial"/>
          <w:sz w:val="18"/>
          <w:szCs w:val="18"/>
          <w:color w:val="auto"/>
        </w:rPr>
        <w:t>MAU growth of 73% when adjusting the current period to exclude the MAUs attributed to the Learn section of weedmaps.com that we were not able to track during the prior period.</w:t>
      </w:r>
    </w:p>
    <w:p>
      <w:pPr>
        <w:spacing w:after="0" w:line="60" w:lineRule="exact"/>
        <w:rPr>
          <w:rFonts w:ascii="Arial" w:cs="Arial" w:eastAsia="Arial" w:hAnsi="Arial"/>
          <w:sz w:val="18"/>
          <w:szCs w:val="18"/>
          <w:color w:val="auto"/>
        </w:rPr>
      </w:pPr>
    </w:p>
    <w:p>
      <w:pPr>
        <w:ind w:left="1300" w:hanging="320"/>
        <w:spacing w:after="0"/>
        <w:tabs>
          <w:tab w:leader="none" w:pos="1300"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revenue per paying client</w:t>
      </w:r>
      <w:r>
        <w:rPr>
          <w:rFonts w:ascii="Arial" w:cs="Arial" w:eastAsia="Arial" w:hAnsi="Arial"/>
          <w:sz w:val="23"/>
          <w:szCs w:val="23"/>
          <w:color w:val="auto"/>
          <w:vertAlign w:val="superscript"/>
        </w:rPr>
        <w:t>(1)(3)</w:t>
      </w:r>
      <w:r>
        <w:rPr>
          <w:rFonts w:ascii="Arial" w:cs="Arial" w:eastAsia="Arial" w:hAnsi="Arial"/>
          <w:sz w:val="18"/>
          <w:szCs w:val="18"/>
          <w:color w:val="auto"/>
        </w:rPr>
        <w:t xml:space="preserve"> increased to $3,810, a 9% increase compared to the prior year period.</w:t>
      </w:r>
    </w:p>
    <w:p>
      <w:pPr>
        <w:spacing w:after="0" w:line="45" w:lineRule="exact"/>
        <w:rPr>
          <w:rFonts w:ascii="Arial" w:cs="Arial" w:eastAsia="Arial" w:hAnsi="Arial"/>
          <w:sz w:val="22"/>
          <w:szCs w:val="22"/>
          <w:color w:val="auto"/>
        </w:rPr>
      </w:pPr>
    </w:p>
    <w:p>
      <w:pPr>
        <w:ind w:left="1300" w:hanging="320"/>
        <w:spacing w:after="0"/>
        <w:tabs>
          <w:tab w:leader="none" w:pos="1300" w:val="left"/>
        </w:tabs>
        <w:numPr>
          <w:ilvl w:val="1"/>
          <w:numId w:val="2"/>
        </w:numPr>
        <w:rPr>
          <w:rFonts w:ascii="Arial" w:cs="Arial" w:eastAsia="Arial" w:hAnsi="Arial"/>
          <w:sz w:val="22"/>
          <w:szCs w:val="22"/>
          <w:color w:val="auto"/>
        </w:rPr>
      </w:pPr>
      <w:r>
        <w:rPr>
          <w:rFonts w:ascii="Arial" w:cs="Arial" w:eastAsia="Arial" w:hAnsi="Arial"/>
          <w:sz w:val="18"/>
          <w:szCs w:val="18"/>
          <w:color w:val="auto"/>
        </w:rPr>
        <w:t>Average monthly paying clients</w:t>
      </w:r>
      <w:r>
        <w:rPr>
          <w:rFonts w:ascii="Arial" w:cs="Arial" w:eastAsia="Arial" w:hAnsi="Arial"/>
          <w:sz w:val="23"/>
          <w:szCs w:val="23"/>
          <w:color w:val="auto"/>
          <w:vertAlign w:val="superscript"/>
        </w:rPr>
        <w:t>(1)(4)</w:t>
      </w:r>
      <w:r>
        <w:rPr>
          <w:rFonts w:ascii="Arial" w:cs="Arial" w:eastAsia="Arial" w:hAnsi="Arial"/>
          <w:sz w:val="18"/>
          <w:szCs w:val="18"/>
          <w:color w:val="auto"/>
        </w:rPr>
        <w:t xml:space="preserve"> increased to 5,026, a 28% increase compared to the prior year period.</w:t>
      </w:r>
    </w:p>
    <w:p>
      <w:pPr>
        <w:ind w:left="660" w:hanging="328"/>
        <w:spacing w:after="0" w:line="258"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Profit was $53.7 million implying a 93% margin rate, which reflects a 200bps margin reduction from the prior year given previously discussed growth investments and initiatives.</w:t>
      </w:r>
    </w:p>
    <w:p>
      <w:pPr>
        <w:spacing w:after="0" w:line="5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was $(31.2) million as compared to net income of $7.7 million from the prior year period.</w:t>
      </w:r>
    </w:p>
    <w:p>
      <w:pPr>
        <w:spacing w:after="0" w:line="7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was $(1.0) million as compared to $9.0 million from the prior year period.</w:t>
      </w:r>
    </w:p>
    <w:p>
      <w:pPr>
        <w:spacing w:after="0" w:line="3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7"/>
          <w:szCs w:val="17"/>
          <w:b w:val="1"/>
          <w:bCs w:val="1"/>
          <w:color w:val="auto"/>
        </w:rPr>
      </w:pPr>
      <w:r>
        <w:rPr>
          <w:rFonts w:ascii="Arial" w:cs="Arial" w:eastAsia="Arial" w:hAnsi="Arial"/>
          <w:sz w:val="17"/>
          <w:szCs w:val="17"/>
          <w:color w:val="auto"/>
        </w:rPr>
        <w:t>Basic and diluted net loss per share was $(0.19) based on 72.5 million of Class A Common Stock weighted average shares outstanding.</w:t>
      </w:r>
    </w:p>
    <w:p>
      <w:pPr>
        <w:spacing w:after="0" w:line="85" w:lineRule="exact"/>
        <w:rPr>
          <w:rFonts w:ascii="Arial" w:cs="Arial" w:eastAsia="Arial" w:hAnsi="Arial"/>
          <w:sz w:val="17"/>
          <w:szCs w:val="17"/>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shares outstanding across Class A and Class V Common Stock is 144.3 million.</w:t>
      </w:r>
    </w:p>
    <w:p>
      <w:pPr>
        <w:spacing w:after="0" w:line="7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Cash totaled $55.9 million as of March 31, 2022 and the Company remains debt-free.</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Reconciliations of GAAP to non-GAAP financial measures have been provided in the tables included in this release.</w:t>
      </w:r>
    </w:p>
    <w:p>
      <w:pPr>
        <w:spacing w:after="0" w:line="238" w:lineRule="auto"/>
        <w:rPr>
          <w:sz w:val="20"/>
          <w:szCs w:val="20"/>
          <w:color w:val="auto"/>
        </w:rPr>
      </w:pPr>
      <w:r>
        <w:rPr>
          <w:rFonts w:ascii="Arial" w:cs="Arial" w:eastAsia="Arial" w:hAnsi="Arial"/>
          <w:sz w:val="18"/>
          <w:szCs w:val="18"/>
          <w:color w:val="auto"/>
        </w:rPr>
        <w:t>______________________________</w:t>
      </w:r>
    </w:p>
    <w:p>
      <w:pPr>
        <w:ind w:left="320" w:hanging="312"/>
        <w:spacing w:after="0"/>
        <w:tabs>
          <w:tab w:leader="none" w:pos="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have modified the definition and calculation of three of our Key Operating and Financial Metrics: (a) average monthly revenue per paying client, (b) average monthly paying clients, and</w:t>
      </w:r>
    </w:p>
    <w:p>
      <w:pPr>
        <w:ind w:left="340" w:right="20"/>
        <w:spacing w:after="0" w:line="237" w:lineRule="auto"/>
        <w:rPr>
          <w:rFonts w:ascii="Arial" w:cs="Arial" w:eastAsia="Arial" w:hAnsi="Arial"/>
          <w:sz w:val="13"/>
          <w:szCs w:val="13"/>
          <w:color w:val="auto"/>
        </w:rPr>
      </w:pPr>
      <w:r>
        <w:rPr>
          <w:rFonts w:ascii="Arial" w:cs="Arial" w:eastAsia="Arial" w:hAnsi="Arial"/>
          <w:sz w:val="14"/>
          <w:szCs w:val="14"/>
          <w:color w:val="auto"/>
        </w:rPr>
        <w:t>(c) MAUs. We made these modifications in order to better reflect our performance during a reporting period and to make these key metrics more easily comparable on a period-to-period basis. For comparison of these metrics to previous calculations see “Selected Current and Previous Operating Key Metrics” below.</w:t>
      </w:r>
    </w:p>
    <w:p>
      <w:pPr>
        <w:sectPr>
          <w:pgSz w:w="11900" w:h="16838" w:orient="portrait"/>
          <w:cols w:equalWidth="0" w:num="1">
            <w:col w:w="11240"/>
          </w:cols>
          <w:pgMar w:left="320" w:top="1039" w:right="339" w:bottom="1440" w:gutter="0" w:footer="0" w:header="0"/>
        </w:sectPr>
      </w:pPr>
    </w:p>
    <w:bookmarkStart w:id="4" w:name="page5"/>
    <w:bookmarkEnd w:id="4"/>
    <w:p>
      <w:pPr>
        <w:jc w:val="both"/>
        <w:ind w:left="340" w:hanging="332"/>
        <w:spacing w:after="0" w:line="227"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MAUs are defined as the number of unique users opening our Weedmaps mobile app or accessing our weedmaps.com website over the course of a calendar month. This metric previously excluded the MAUs attributed to the Learn section of weedmaps.com, which we began tracking in March 2021. See “Selected Current and Previous Operating Metrics” below for a description of how we used to calculate MAUs and what our MAUs would have been using our prior definition for the applicable periods.</w:t>
      </w:r>
    </w:p>
    <w:p>
      <w:pPr>
        <w:jc w:val="both"/>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 See “Selected Current and Previous Operating Metrics” below for a description of how we used to calculate average monthly revenue per paying client and what our average monthly revenue per paying client would have been using our prior definition for the applicable periods.</w:t>
      </w:r>
    </w:p>
    <w:p>
      <w:pPr>
        <w:jc w:val="both"/>
        <w:ind w:left="340" w:hanging="332"/>
        <w:spacing w:after="0" w:line="221"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Average monthly paying clients are defined as the average of the number of paying clients billed in a month across a particular period (and for which services were provided). See “Selected Current and Previous Operating Metrics” below for a description of how we used to calculate average monthly paying clients and what our average monthly paying clients would have been using our prior definition for the applicable periods.</w:t>
      </w:r>
    </w:p>
    <w:p>
      <w:pPr>
        <w:ind w:left="340" w:hanging="332"/>
        <w:spacing w:after="0" w:line="237" w:lineRule="auto"/>
        <w:tabs>
          <w:tab w:leader="none" w:pos="332"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their use and a reconciliation of EBITDA and Adjusted EBITDA to net income (loss), see “Reconciliation of Net (Loss) Income to EBITDA and Adjusted EBITDA” below.</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2022 Operational Highlights</w:t>
      </w:r>
    </w:p>
    <w:p>
      <w:pPr>
        <w:spacing w:after="0" w:line="256" w:lineRule="exact"/>
        <w:rPr>
          <w:sz w:val="20"/>
          <w:szCs w:val="20"/>
          <w:color w:val="auto"/>
        </w:rPr>
      </w:pPr>
    </w:p>
    <w:p>
      <w:pPr>
        <w:ind w:left="660" w:right="20" w:hanging="328"/>
        <w:spacing w:after="0" w:line="258"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Added over 250 Average Monthly Paying clients in the quarter including in new states like Montana, which opened for recreational sales in January.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the roll-out of our Admin 2.0 portal. This surface includes a data and analytics dashboard to help our paying clients understand the significant value they derive from their spending on Weedmaps as well as local market trends. Admin 2.0 also lays the groundwork for future updates like our self-serve toolset, which will automate onboarding of new clients onto our marketplace and enable cross-product adoption and purchase upsell opportunities.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to improve our Deals offering with new enablement features to allow clients to publish deals at scale across their listings. We also created a new “Promotions Hub” within Admin 2.0, allowing clients to create and manage all promotions including online promo codes, in-store deals, and online deals from one place. We also rolled out new Promotions features within our WM Store eCom embed allowing clients to showcase promotions more easily on their own channels powered by WM Store.</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the acquisition of Eyechronic, LLC (“Enlighten”). Enlighten’s ‘SmartHub’ subscription offering powers in-store digital menus and kiosks, and its ‘AdSuite’ in-store digital solution allows brands to reach consumers at the point of purchase. Enlighten adds to the value included in our WM Business platform.</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Expanded our available Menu and Order integrations. We now have Menu integrations in live or beta state with the key point-of-sale systems serving Cannabis and are continuing to roll-out Orders integrations with these same partners.</w:t>
      </w:r>
    </w:p>
    <w:p>
      <w:pPr>
        <w:jc w:val="both"/>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Piloted several promising new user enhancements, including ‘express reorder’ and ‘order again’ features, along with ‘order-type’ preferences, allowing users to more easily filter through available delivery versus pickup options. We also continue to test menu personalization leveraging our first-party user affinity data.</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part of our efforts to stitch our solutions more closely together, we launched an in-app messaging feature beta where businesses using our Sprout CRM solution are able to directly reach and message their followers on the Weedmaps marketplace.</w:t>
      </w:r>
    </w:p>
    <w:p>
      <w:pPr>
        <w:ind w:left="660" w:right="20" w:hanging="328"/>
        <w:spacing w:after="0" w:line="260"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to invest in headcount, with over 150 new hires in Q1, mostly in our Engineering, Product &amp; Design teams as well as across our regional go-to-market teams.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Business Outlook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Based on current business trends and conditions, our outlook for the second quarter ending June 30, 2022, is as follows:</w:t>
      </w:r>
    </w:p>
    <w:p>
      <w:pPr>
        <w:spacing w:after="0" w:line="117"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is estimated to be between $60 million and $63 million, which represents 28-34% growth over the second quarter of 2021</w:t>
      </w:r>
    </w:p>
    <w:p>
      <w:pPr>
        <w:spacing w:after="0" w:line="117"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continue to expect our Adj. EBITDA margins for the First Half will be breakeven to slightly positive as we front-load previously discussed investments against growth opportunities for the back half of this year and FY23 strategic opportunities</w:t>
      </w:r>
    </w:p>
    <w:p>
      <w:pPr>
        <w:spacing w:after="0" w:line="184"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The guidance provided above is only an estimate of what we believe is realizable as of the date of this release. We are not readily able to provide a reconciliation of projected Adjusted EBITDA to projected net income without unreasonable effort. This guidance assumes that no business acquisitions, investments, restructurings, or legal settlements are concluded in the quarter. Our results are based on assumptions that we believe to be reasonable as of this date, but may be materially affected by many factors, as discussed below in “Forward-Looking Statements.” Actual results may vary from the guidance and the variations may be material. We undertake no intent or obligation to publicly update or revise any of these projections,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039"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Investor Conference Call and Webcasts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a conference call and webcast today, Wednesday, May 4, 2022, at 2:00 p.m. Pacific Time (5:00 p.m. Eastern Time) by dialing (833)</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855-0799 (United States and Canada) or (409) 937-8921 (International) and providing Conference ID 9292726. A live webcast of the call will also be available on the WM Technology investor relations website at ir.weedmaps.com.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WM Technology</w:t>
      </w:r>
    </w:p>
    <w:p>
      <w:pPr>
        <w:spacing w:after="0" w:line="2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Founded in 2008, WM Technology operates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WM Technology holds a strong belief in the power of cannabis and the importance of enabling safe, legal access to consumers worldwide. Since inception, WM Technology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Headquartered in Irvine, California, WM Technology supports remote work for all eligible employees. Visit us at www.weedmaps.com.</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This press release includes “forward-looking statements” regarding our future business expectations which involve risks and uncertainties.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and</w:t>
      </w:r>
    </w:p>
    <w:p>
      <w:pPr>
        <w:jc w:val="both"/>
        <w:spacing w:after="0" w:line="249" w:lineRule="auto"/>
        <w:rPr>
          <w:sz w:val="20"/>
          <w:szCs w:val="20"/>
          <w:color w:val="auto"/>
        </w:rPr>
      </w:pPr>
      <w:r>
        <w:rPr>
          <w:rFonts w:ascii="Arial" w:cs="Arial" w:eastAsia="Arial" w:hAnsi="Arial"/>
          <w:sz w:val="16"/>
          <w:szCs w:val="16"/>
          <w:color w:val="auto"/>
        </w:rPr>
        <w:t>projections of market opportunity and market share. These statements are based on various assumptions, whether or not identified in this press release, and on the current expectations of the Company’s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the Company. These forward-looking statements are subject to a number of risks and uncertainties, including the Company’s financial and business performance, including key business metrics and any underlying assumptions thereunder; market opportunity and the Company’s ability to acquire new customers and retain existing customers; expectations and timing related to commercial product launches; success of the Company’s go-to-market strategy; ability to scale its business and expand its offerings; the Company’s competitive advantages and growth strategies; the Company’s future capital requirements and sources and uses of cash; the Company’s ability to obtain funding for our future operations; the outcome of any known and unknown litigation and regulatory proceedings; changes in domestic and foreign business, market, financial, political and legal conditions; risks relating to the uncertainty of the projected financial information with respect to the Company; future global, regional or local economic and market conditions affecting the cannabis industry; the development, effects and enforcement of and changes to laws and regulations, including with respect to the cannabis industry; the Company’s ability to successfully capitalize on new and existing cannabis markets, including its ability to successfully monetize its solutions in those markets; the Company’s ability to manage future growth; the Company’s ability to develop new products and solutions, bring them to market in a timely manner, and make enhancements to its platform and the Company’s ability to maintain and grow its two-sided digital network, including its ability to acquire and retain paying customers; the effects of competition on the Company’s future business; the Company’s success in retaining or recruiting, or changes required in, officers, key employees or directors; the possibility that we may be adversely affected by other economic, business or competitive factors; that the Company identified a material weakness in its internal control over financial reporting which, if not corrected, could affect the reliability of its consolidated financial statements; the possibility that the Company may be adversely affected by other economic, business or competitive and those factors discussed in the Company’s 2021 Annual Report on Form 10-K filed with Securities and Exchange Commission (the “SEC”) and subsequent Form 10-Qs or Form 8-Ks filed with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039" w:right="339" w:bottom="1440" w:gutter="0" w:footer="0" w:header="0"/>
        </w:sectPr>
      </w:pPr>
    </w:p>
    <w:bookmarkStart w:id="6" w:name="page7"/>
    <w:bookmarkEnd w:id="6"/>
    <w:p>
      <w:pPr>
        <w:jc w:val="both"/>
        <w:spacing w:after="0" w:line="238" w:lineRule="auto"/>
        <w:rPr>
          <w:sz w:val="20"/>
          <w:szCs w:val="20"/>
          <w:color w:val="auto"/>
        </w:rPr>
      </w:pPr>
      <w:r>
        <w:rPr>
          <w:rFonts w:ascii="Arial" w:cs="Arial" w:eastAsia="Arial" w:hAnsi="Arial"/>
          <w:sz w:val="17"/>
          <w:szCs w:val="17"/>
          <w:color w:val="auto"/>
        </w:rPr>
        <w:t>the SEC. If any of these risks materialize or these assumptions prove incorrect, actual results could differ materially from the results implied by these forward-looking statements. There may be additional risks that the Company does not presently know or that the Company currently believes are immaterial that could also cause actual results to differ from those contained in the forward looking statements. In addition, forward-looking statements reflect the Company’s expectations, plans or forecasts of future events and views as of the date of this press release. The Company anticipates that subsequent events and developments will cause the Company’s assessments to change. However, while the Company may elect to update these forward-looking statements at some point in the future, the Company specifically disclaims any obligation to do so, except as required by law. These forward-looking statements should not be relied upon as representing the Company’s assessments as of any date subsequent to the date of this press release. Accordingly, undue reliance should not be placed upon the forward-looking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(loss) before interest, taxes and depreciation and amortization in the case of EBITDA and further adjusted to exclude stock-based compensation, change in fair value of warrant liability, transaction related bonuses, transaction costs, legal settlements and other non-cash, unusual and/or infrequent costs in the case of Adjusted EBITDA. Below we have provided a reconciliation of net (loss) income (the most directly comparable GAAP financial measure) to EBITDA and from EBITDA to Adjusted EBITDA.</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197" w:lineRule="exact"/>
        <w:rPr>
          <w:sz w:val="20"/>
          <w:szCs w:val="20"/>
          <w:color w:val="auto"/>
        </w:rPr>
      </w:pPr>
    </w:p>
    <w:p>
      <w:pPr>
        <w:jc w:val="both"/>
        <w:ind w:left="66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(loss) and our other GAAP results.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Key Operating and Financial Metrics</w:t>
      </w:r>
    </w:p>
    <w:p>
      <w:pPr>
        <w:spacing w:after="0" w:line="225" w:lineRule="exact"/>
        <w:rPr>
          <w:sz w:val="20"/>
          <w:szCs w:val="20"/>
          <w:color w:val="auto"/>
        </w:rPr>
      </w:pPr>
    </w:p>
    <w:p>
      <w:pPr>
        <w:jc w:val="both"/>
        <w:ind w:left="660" w:hanging="328"/>
        <w:spacing w:after="0" w:line="236" w:lineRule="auto"/>
        <w:tabs>
          <w:tab w:leader="none" w:pos="656" w:val="left"/>
        </w:tabs>
        <w:numPr>
          <w:ilvl w:val="0"/>
          <w:numId w:val="8"/>
        </w:numPr>
        <w:rPr>
          <w:rFonts w:ascii="Arial" w:cs="Arial" w:eastAsia="Arial" w:hAnsi="Arial"/>
          <w:sz w:val="14"/>
          <w:szCs w:val="14"/>
          <w:b w:val="1"/>
          <w:bCs w:val="1"/>
          <w:color w:val="auto"/>
        </w:rPr>
      </w:pPr>
      <w:r>
        <w:rPr>
          <w:rFonts w:ascii="Arial" w:cs="Arial" w:eastAsia="Arial" w:hAnsi="Arial"/>
          <w:sz w:val="18"/>
          <w:szCs w:val="18"/>
          <w:b w:val="1"/>
          <w:bCs w:val="1"/>
          <w:color w:val="auto"/>
        </w:rPr>
        <w:t xml:space="preserve">MAUs: </w:t>
      </w:r>
      <w:r>
        <w:rPr>
          <w:rFonts w:ascii="Arial" w:cs="Arial" w:eastAsia="Arial" w:hAnsi="Arial"/>
          <w:sz w:val="18"/>
          <w:szCs w:val="18"/>
          <w:color w:val="auto"/>
        </w:rPr>
        <w:t>We define MAUs as the number of unique users opening our Weedmaps mobile app or accessing our weedmaps.com website over the</w:t>
      </w:r>
      <w:r>
        <w:rPr>
          <w:rFonts w:ascii="Arial" w:cs="Arial" w:eastAsia="Arial" w:hAnsi="Arial"/>
          <w:sz w:val="18"/>
          <w:szCs w:val="18"/>
          <w:b w:val="1"/>
          <w:bCs w:val="1"/>
          <w:color w:val="auto"/>
        </w:rPr>
        <w:t xml:space="preserve"> </w:t>
      </w:r>
      <w:r>
        <w:rPr>
          <w:rFonts w:ascii="Arial" w:cs="Arial" w:eastAsia="Arial" w:hAnsi="Arial"/>
          <w:sz w:val="18"/>
          <w:szCs w:val="18"/>
          <w:color w:val="auto"/>
        </w:rPr>
        <w:t>course of a calendar month. In any particular period, we determine our number of MAUs by counting the total number of users who have engaged with the weedmaps.com site during the final calendar month of the given period.</w:t>
      </w:r>
    </w:p>
    <w:p>
      <w:pPr>
        <w:spacing w:after="0" w:line="199" w:lineRule="exact"/>
        <w:rPr>
          <w:rFonts w:ascii="Arial" w:cs="Arial" w:eastAsia="Arial" w:hAnsi="Arial"/>
          <w:sz w:val="14"/>
          <w:szCs w:val="14"/>
          <w:b w:val="1"/>
          <w:bCs w:val="1"/>
          <w:color w:val="auto"/>
        </w:rPr>
      </w:pPr>
    </w:p>
    <w:p>
      <w:pPr>
        <w:jc w:val="both"/>
        <w:ind w:left="660" w:hanging="328"/>
        <w:spacing w:after="0" w:line="229" w:lineRule="auto"/>
        <w:tabs>
          <w:tab w:leader="none" w:pos="655"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Average Monthly Revenue Per Paying Client</w:t>
      </w:r>
      <w:r>
        <w:rPr>
          <w:rFonts w:ascii="Arial" w:cs="Arial" w:eastAsia="Arial" w:hAnsi="Arial"/>
          <w:sz w:val="18"/>
          <w:szCs w:val="18"/>
          <w:color w:val="auto"/>
        </w:rPr>
        <w:t>: Average monthly revenue per paying client measures how much clients, for the period of</w:t>
      </w:r>
      <w:r>
        <w:rPr>
          <w:rFonts w:ascii="Arial" w:cs="Arial" w:eastAsia="Arial" w:hAnsi="Arial"/>
          <w:sz w:val="18"/>
          <w:szCs w:val="18"/>
          <w:b w:val="1"/>
          <w:bCs w:val="1"/>
          <w:color w:val="auto"/>
        </w:rPr>
        <w:t xml:space="preserve"> </w:t>
      </w:r>
      <w:r>
        <w:rPr>
          <w:rFonts w:ascii="Arial" w:cs="Arial" w:eastAsia="Arial" w:hAnsi="Arial"/>
          <w:sz w:val="18"/>
          <w:szCs w:val="18"/>
          <w:color w:val="auto"/>
        </w:rPr>
        <w:t>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The calculation of monthly revenue includes revenue from any clients that cease to be paying clients during the applicable month.</w:t>
      </w:r>
    </w:p>
    <w:p>
      <w:pPr>
        <w:spacing w:after="0" w:line="200" w:lineRule="exact"/>
        <w:rPr>
          <w:rFonts w:ascii="Arial" w:cs="Arial" w:eastAsia="Arial" w:hAnsi="Arial"/>
          <w:sz w:val="18"/>
          <w:szCs w:val="18"/>
          <w:b w:val="1"/>
          <w:bCs w:val="1"/>
          <w:color w:val="auto"/>
        </w:rPr>
      </w:pPr>
    </w:p>
    <w:p>
      <w:pPr>
        <w:ind w:left="660" w:hanging="328"/>
        <w:spacing w:after="0" w:line="25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Average Monthly Paying Clients</w:t>
      </w:r>
      <w:r>
        <w:rPr>
          <w:rFonts w:ascii="Arial" w:cs="Arial" w:eastAsia="Arial" w:hAnsi="Arial"/>
          <w:sz w:val="18"/>
          <w:szCs w:val="18"/>
          <w:color w:val="auto"/>
        </w:rPr>
        <w:t>: We define average monthly paying clients as the monthly average of clients billed each month over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particular period (and for which services were provided).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30" w:right="339" w:bottom="1440" w:gutter="0" w:footer="0" w:header="0"/>
        </w:sectPr>
      </w:pPr>
    </w:p>
    <w:bookmarkStart w:id="7" w:name="page8"/>
    <w:bookmarkEnd w:id="7"/>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2022</w:t>
            </w:r>
          </w:p>
        </w:tc>
        <w:tc>
          <w:tcPr>
            <w:tcW w:w="18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09"/>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67,777</w:t>
            </w:r>
          </w:p>
        </w:tc>
        <w:tc>
          <w:tcPr>
            <w:tcW w:w="0" w:type="dxa"/>
            <w:vAlign w:val="bottom"/>
          </w:tcPr>
          <w:p>
            <w:pPr>
              <w:spacing w:after="0"/>
              <w:rPr>
                <w:sz w:val="1"/>
                <w:szCs w:val="1"/>
                <w:color w:val="auto"/>
              </w:rPr>
            </w:pPr>
          </w:p>
        </w:tc>
      </w:tr>
      <w:tr>
        <w:trPr>
          <w:trHeight w:val="229"/>
        </w:trPr>
        <w:tc>
          <w:tcPr>
            <w:tcW w:w="7240" w:type="dxa"/>
            <w:vAlign w:val="bottom"/>
          </w:tcPr>
          <w:p>
            <w:pPr>
              <w:ind w:left="240"/>
              <w:spacing w:after="0"/>
              <w:rPr>
                <w:sz w:val="20"/>
                <w:szCs w:val="20"/>
                <w:color w:val="auto"/>
              </w:rPr>
            </w:pPr>
            <w:r>
              <w:rPr>
                <w:rFonts w:ascii="Arial" w:cs="Arial" w:eastAsia="Arial" w:hAnsi="Arial"/>
                <w:sz w:val="18"/>
                <w:szCs w:val="18"/>
                <w:color w:val="auto"/>
              </w:rPr>
              <w:t>Accounts receivable, net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23,657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17,550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13,607</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91,545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98,934</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65,722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45,295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w:t>
            </w:r>
          </w:p>
        </w:tc>
        <w:tc>
          <w:tcPr>
            <w:tcW w:w="0" w:type="dxa"/>
            <w:vAlign w:val="bottom"/>
          </w:tcPr>
          <w:p>
            <w:pPr>
              <w:spacing w:after="0"/>
              <w:rPr>
                <w:sz w:val="1"/>
                <w:szCs w:val="1"/>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35,404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36,549</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171,021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152,097</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10,687</w:t>
            </w:r>
          </w:p>
        </w:tc>
        <w:tc>
          <w:tcPr>
            <w:tcW w:w="0" w:type="dxa"/>
            <w:vAlign w:val="bottom"/>
          </w:tcPr>
          <w:p>
            <w:pPr>
              <w:spacing w:after="0"/>
              <w:rPr>
                <w:sz w:val="1"/>
                <w:szCs w:val="1"/>
                <w:color w:val="auto"/>
              </w:rPr>
            </w:pPr>
          </w:p>
        </w:tc>
      </w:tr>
      <w:tr>
        <w:trPr>
          <w:trHeight w:val="248"/>
        </w:trPr>
        <w:tc>
          <w:tcPr>
            <w:tcW w:w="72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2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22,355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23,155</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8,057</w:t>
            </w:r>
          </w:p>
        </w:tc>
        <w:tc>
          <w:tcPr>
            <w:tcW w:w="0" w:type="dxa"/>
            <w:vAlign w:val="bottom"/>
          </w:tcPr>
          <w:p>
            <w:pPr>
              <w:spacing w:after="0"/>
              <w:rPr>
                <w:sz w:val="1"/>
                <w:szCs w:val="1"/>
                <w:color w:val="auto"/>
              </w:rPr>
            </w:pPr>
          </w:p>
        </w:tc>
      </w:tr>
      <w:tr>
        <w:trPr>
          <w:trHeight w:val="230"/>
        </w:trPr>
        <w:tc>
          <w:tcPr>
            <w:tcW w:w="7240" w:type="dxa"/>
            <w:vAlign w:val="bottom"/>
          </w:tcPr>
          <w:p>
            <w:pPr>
              <w:ind w:left="240"/>
              <w:spacing w:after="0"/>
              <w:rPr>
                <w:sz w:val="20"/>
                <w:szCs w:val="20"/>
                <w:color w:val="auto"/>
              </w:rPr>
            </w:pPr>
            <w:r>
              <w:rPr>
                <w:rFonts w:ascii="Arial" w:cs="Arial" w:eastAsia="Arial" w:hAnsi="Arial"/>
                <w:sz w:val="18"/>
                <w:szCs w:val="18"/>
                <w:color w:val="auto"/>
              </w:rPr>
              <w:t>Operating lease liabilities, current</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5,673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5,463</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0" w:type="dxa"/>
            <w:vAlign w:val="bottom"/>
          </w:tcPr>
          <w:p>
            <w:pPr>
              <w:spacing w:after="0"/>
              <w:rPr>
                <w:sz w:val="1"/>
                <w:szCs w:val="1"/>
                <w:color w:val="auto"/>
              </w:rPr>
            </w:pPr>
          </w:p>
        </w:tc>
      </w:tr>
      <w:tr>
        <w:trPr>
          <w:trHeight w:val="223"/>
        </w:trPr>
        <w:tc>
          <w:tcPr>
            <w:tcW w:w="72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36,925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37,800</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non-current</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39,377</w:t>
            </w:r>
          </w:p>
        </w:tc>
        <w:tc>
          <w:tcPr>
            <w:tcW w:w="0" w:type="dxa"/>
            <w:vAlign w:val="bottom"/>
          </w:tcPr>
          <w:p>
            <w:pPr>
              <w:spacing w:after="0"/>
              <w:rPr>
                <w:sz w:val="1"/>
                <w:szCs w:val="1"/>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Tax receivable agreement liability</w:t>
            </w: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134,118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128,567</w:t>
            </w:r>
          </w:p>
        </w:tc>
        <w:tc>
          <w:tcPr>
            <w:tcW w:w="0" w:type="dxa"/>
            <w:vAlign w:val="bottom"/>
          </w:tcPr>
          <w:p>
            <w:pPr>
              <w:spacing w:after="0"/>
              <w:rPr>
                <w:sz w:val="1"/>
                <w:szCs w:val="1"/>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 liability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27,460</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233,204</w:t>
            </w:r>
          </w:p>
        </w:tc>
        <w:tc>
          <w:tcPr>
            <w:tcW w:w="0" w:type="dxa"/>
            <w:vAlign w:val="bottom"/>
          </w:tcPr>
          <w:p>
            <w:pPr>
              <w:spacing w:after="0"/>
              <w:rPr>
                <w:sz w:val="1"/>
                <w:szCs w:val="1"/>
                <w:color w:val="auto"/>
              </w:rPr>
            </w:pPr>
          </w:p>
        </w:tc>
      </w:tr>
      <w:tr>
        <w:trPr>
          <w:trHeight w:val="257"/>
        </w:trPr>
        <w:tc>
          <w:tcPr>
            <w:tcW w:w="7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equity/Members’ equity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8"/>
              </w:rPr>
              <w:t>Preferred Stock - $0.0001 par value; 75,000,000 shares authorized; no shares issued and</w:t>
            </w:r>
          </w:p>
        </w:tc>
        <w:tc>
          <w:tcPr>
            <w:tcW w:w="240" w:type="dxa"/>
            <w:vAlign w:val="bottom"/>
          </w:tcPr>
          <w:p>
            <w:pPr>
              <w:spacing w:after="0"/>
              <w:rPr>
                <w:sz w:val="15"/>
                <w:szCs w:val="15"/>
                <w:color w:val="auto"/>
              </w:rPr>
            </w:pPr>
          </w:p>
        </w:tc>
        <w:tc>
          <w:tcPr>
            <w:tcW w:w="1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240" w:type="dxa"/>
            <w:vAlign w:val="bottom"/>
          </w:tcPr>
          <w:p>
            <w:pPr>
              <w:ind w:left="360"/>
              <w:spacing w:after="0"/>
              <w:rPr>
                <w:sz w:val="20"/>
                <w:szCs w:val="20"/>
                <w:color w:val="auto"/>
              </w:rPr>
            </w:pPr>
            <w:r>
              <w:rPr>
                <w:rFonts w:ascii="Arial" w:cs="Arial" w:eastAsia="Arial" w:hAnsi="Arial"/>
                <w:sz w:val="18"/>
                <w:szCs w:val="18"/>
                <w:color w:val="auto"/>
              </w:rPr>
              <w:t>outstanding at March 31, 2022 and December 31, 2021</w:t>
            </w:r>
          </w:p>
        </w:tc>
        <w:tc>
          <w:tcPr>
            <w:tcW w:w="240" w:type="dxa"/>
            <w:vAlign w:val="bottom"/>
          </w:tcPr>
          <w:p>
            <w:pPr>
              <w:spacing w:after="0"/>
              <w:rPr>
                <w:sz w:val="19"/>
                <w:szCs w:val="19"/>
                <w:color w:val="auto"/>
              </w:rPr>
            </w:pPr>
          </w:p>
        </w:tc>
        <w:tc>
          <w:tcPr>
            <w:tcW w:w="18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7"/>
              </w:rPr>
              <w:t>Class A Common Stock - $0.0001 par value; 1,500,000,000 shares authorized; 83,098,990</w:t>
            </w:r>
          </w:p>
        </w:tc>
        <w:tc>
          <w:tcPr>
            <w:tcW w:w="24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24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shares issued and outstanding at March 31, 2022 and 65,677,361 shares issued and</w:t>
            </w:r>
          </w:p>
        </w:tc>
        <w:tc>
          <w:tcPr>
            <w:tcW w:w="240" w:type="dxa"/>
            <w:vAlign w:val="bottom"/>
            <w:shd w:val="clear" w:color="auto" w:fill="CCEEFF"/>
          </w:tcPr>
          <w:p>
            <w:pPr>
              <w:spacing w:after="0"/>
              <w:rPr>
                <w:sz w:val="15"/>
                <w:szCs w:val="15"/>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outstanding at December 31, 2021</w:t>
            </w:r>
          </w:p>
        </w:tc>
        <w:tc>
          <w:tcPr>
            <w:tcW w:w="24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240" w:type="dxa"/>
            <w:vAlign w:val="bottom"/>
          </w:tcPr>
          <w:p>
            <w:pPr>
              <w:ind w:left="180"/>
              <w:spacing w:after="0" w:line="176" w:lineRule="exact"/>
              <w:rPr>
                <w:sz w:val="20"/>
                <w:szCs w:val="20"/>
                <w:color w:val="auto"/>
              </w:rPr>
            </w:pPr>
            <w:r>
              <w:rPr>
                <w:rFonts w:ascii="Arial" w:cs="Arial" w:eastAsia="Arial" w:hAnsi="Arial"/>
                <w:sz w:val="18"/>
                <w:szCs w:val="18"/>
                <w:color w:val="auto"/>
                <w:w w:val="91"/>
              </w:rPr>
              <w:t>Class V Common Stock - $0.0001 par value; 500,000,000 shares authorized, 61,206,773 shares</w:t>
            </w: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240" w:type="dxa"/>
            <w:vAlign w:val="bottom"/>
          </w:tcPr>
          <w:p>
            <w:pPr>
              <w:ind w:left="360"/>
              <w:spacing w:after="0" w:line="176" w:lineRule="exact"/>
              <w:rPr>
                <w:sz w:val="20"/>
                <w:szCs w:val="20"/>
                <w:color w:val="auto"/>
              </w:rPr>
            </w:pPr>
            <w:r>
              <w:rPr>
                <w:rFonts w:ascii="Arial" w:cs="Arial" w:eastAsia="Arial" w:hAnsi="Arial"/>
                <w:sz w:val="18"/>
                <w:szCs w:val="18"/>
                <w:color w:val="auto"/>
                <w:w w:val="93"/>
              </w:rPr>
              <w:t>issued and outstanding at March 31, 2022 and 65,502,347 shares issued and outstanding at</w:t>
            </w:r>
          </w:p>
        </w:tc>
        <w:tc>
          <w:tcPr>
            <w:tcW w:w="240" w:type="dxa"/>
            <w:vAlign w:val="bottom"/>
          </w:tcPr>
          <w:p>
            <w:pPr>
              <w:spacing w:after="0"/>
              <w:rPr>
                <w:sz w:val="15"/>
                <w:szCs w:val="15"/>
                <w:color w:val="auto"/>
              </w:rPr>
            </w:pPr>
          </w:p>
        </w:tc>
        <w:tc>
          <w:tcPr>
            <w:tcW w:w="17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color w:val="auto"/>
              </w:rPr>
              <w:t>December 31, 2021</w:t>
            </w:r>
          </w:p>
        </w:tc>
        <w:tc>
          <w:tcPr>
            <w:tcW w:w="240" w:type="dxa"/>
            <w:vAlign w:val="bottom"/>
          </w:tcPr>
          <w:p>
            <w:pPr>
              <w:spacing w:after="0"/>
              <w:rPr>
                <w:sz w:val="19"/>
                <w:szCs w:val="19"/>
                <w:color w:val="auto"/>
              </w:rPr>
            </w:pPr>
          </w:p>
        </w:tc>
        <w:tc>
          <w:tcPr>
            <w:tcW w:w="17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61,369</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63,556</w:t>
            </w:r>
          </w:p>
        </w:tc>
        <w:tc>
          <w:tcPr>
            <w:tcW w:w="0" w:type="dxa"/>
            <w:vAlign w:val="bottom"/>
          </w:tcPr>
          <w:p>
            <w:pPr>
              <w:spacing w:after="0"/>
              <w:rPr>
                <w:sz w:val="1"/>
                <w:szCs w:val="1"/>
                <w:color w:val="auto"/>
              </w:rPr>
            </w:pPr>
          </w:p>
        </w:tc>
      </w:tr>
      <w:tr>
        <w:trPr>
          <w:trHeight w:val="230"/>
        </w:trPr>
        <w:tc>
          <w:tcPr>
            <w:tcW w:w="72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57,511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68,384</w:t>
            </w:r>
          </w:p>
        </w:tc>
        <w:tc>
          <w:tcPr>
            <w:tcW w:w="0" w:type="dxa"/>
            <w:vAlign w:val="bottom"/>
          </w:tcPr>
          <w:p>
            <w:pPr>
              <w:spacing w:after="0"/>
              <w:rPr>
                <w:sz w:val="1"/>
                <w:szCs w:val="1"/>
                <w:color w:val="auto"/>
              </w:rPr>
            </w:pPr>
          </w:p>
        </w:tc>
      </w:tr>
      <w:tr>
        <w:trPr>
          <w:trHeight w:val="223"/>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148,971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131,940</w:t>
            </w:r>
          </w:p>
        </w:tc>
        <w:tc>
          <w:tcPr>
            <w:tcW w:w="0" w:type="dxa"/>
            <w:vAlign w:val="bottom"/>
          </w:tcPr>
          <w:p>
            <w:pPr>
              <w:spacing w:after="0"/>
              <w:rPr>
                <w:sz w:val="1"/>
                <w:szCs w:val="1"/>
                <w:color w:val="auto"/>
              </w:rPr>
            </w:pPr>
          </w:p>
        </w:tc>
      </w:tr>
      <w:tr>
        <w:trPr>
          <w:trHeight w:val="223"/>
        </w:trPr>
        <w:tc>
          <w:tcPr>
            <w:tcW w:w="724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equity/members’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405,206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365,144</w:t>
            </w:r>
          </w:p>
        </w:tc>
        <w:tc>
          <w:tcPr>
            <w:tcW w:w="0" w:type="dxa"/>
            <w:vAlign w:val="bottom"/>
          </w:tcPr>
          <w:p>
            <w:pPr>
              <w:spacing w:after="0"/>
              <w:rPr>
                <w:sz w:val="1"/>
                <w:szCs w:val="1"/>
                <w:color w:val="auto"/>
              </w:rPr>
            </w:pPr>
          </w:p>
        </w:tc>
      </w:tr>
      <w:tr>
        <w:trPr>
          <w:trHeight w:val="20"/>
        </w:trPr>
        <w:tc>
          <w:tcPr>
            <w:tcW w:w="7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8" w:name="page9"/>
    <w:bookmarkEnd w:id="8"/>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7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41,154</w:t>
            </w:r>
          </w:p>
        </w:tc>
      </w:tr>
      <w:tr>
        <w:trPr>
          <w:trHeight w:val="257"/>
        </w:trPr>
        <w:tc>
          <w:tcPr>
            <w:tcW w:w="7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Cost of revenues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3,740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1,857</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Product development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7,868</w:t>
            </w:r>
          </w:p>
        </w:tc>
      </w:tr>
      <w:tr>
        <w:trPr>
          <w:trHeight w:val="229"/>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13,366</w:t>
            </w:r>
          </w:p>
        </w:tc>
      </w:tr>
      <w:tr>
        <w:trPr>
          <w:trHeight w:val="229"/>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r>
      <w:tr>
        <w:trPr>
          <w:trHeight w:val="223"/>
        </w:trPr>
        <w:tc>
          <w:tcPr>
            <w:tcW w:w="7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33,210</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Operating (loss) income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(14,260)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7,944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14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(Loss) income before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(32,981)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7,972</w:t>
            </w: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 from) 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(31,233)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7,731</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40"/>
              <w:spacing w:after="0"/>
              <w:rPr>
                <w:sz w:val="20"/>
                <w:szCs w:val="20"/>
                <w:color w:val="auto"/>
              </w:rPr>
            </w:pPr>
            <w:r>
              <w:rPr>
                <w:rFonts w:ascii="Arial" w:cs="Arial" w:eastAsia="Arial" w:hAnsi="Arial"/>
                <w:sz w:val="18"/>
                <w:szCs w:val="18"/>
                <w:color w:val="auto"/>
              </w:rPr>
              <w:t>Net (loss) income attributable to WM Technology, Inc.</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w:t>
            </w: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23"/>
        </w:trPr>
        <w:tc>
          <w:tcPr>
            <w:tcW w:w="79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Class A Common Stock:</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 loss per share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N/A¹</w:t>
            </w:r>
          </w:p>
        </w:tc>
      </w:tr>
      <w:tr>
        <w:trPr>
          <w:trHeight w:val="257"/>
        </w:trPr>
        <w:tc>
          <w:tcPr>
            <w:tcW w:w="7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Common Stock:</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140"/>
              <w:spacing w:after="0"/>
              <w:rPr>
                <w:sz w:val="20"/>
                <w:szCs w:val="20"/>
                <w:color w:val="auto"/>
              </w:rPr>
            </w:pPr>
            <w:r>
              <w:rPr>
                <w:rFonts w:ascii="Arial" w:cs="Arial" w:eastAsia="Arial" w:hAnsi="Arial"/>
                <w:sz w:val="18"/>
                <w:szCs w:val="18"/>
                <w:color w:val="auto"/>
              </w:rPr>
              <w:t>Weighted average basic and diluted shares outstanding</w:t>
            </w: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72,450,204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N/A¹</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08" w:lineRule="exact"/>
        <w:rPr>
          <w:sz w:val="20"/>
          <w:szCs w:val="20"/>
          <w:color w:val="auto"/>
        </w:rPr>
      </w:pPr>
    </w:p>
    <w:p>
      <w:pPr>
        <w:jc w:val="both"/>
        <w:ind w:firstLine="8"/>
        <w:spacing w:after="0" w:line="286" w:lineRule="auto"/>
        <w:tabs>
          <w:tab w:leader="none" w:pos="107" w:val="left"/>
        </w:tabs>
        <w:numPr>
          <w:ilvl w:val="0"/>
          <w:numId w:val="9"/>
        </w:numPr>
        <w:rPr>
          <w:rFonts w:ascii="Arial" w:cs="Arial" w:eastAsia="Arial" w:hAnsi="Arial"/>
          <w:sz w:val="15"/>
          <w:szCs w:val="15"/>
          <w:color w:val="auto"/>
        </w:rPr>
      </w:pPr>
      <w:r>
        <w:rPr>
          <w:rFonts w:ascii="Arial" w:cs="Arial" w:eastAsia="Arial" w:hAnsi="Arial"/>
          <w:sz w:val="15"/>
          <w:szCs w:val="15"/>
          <w:color w:val="auto"/>
        </w:rPr>
        <w:t>Prior to the Business Combination on June 16, 2021,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June 16,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9" w:name="page10"/>
    <w:bookmarkEnd w:id="9"/>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79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r>
      <w:tr>
        <w:trPr>
          <w:trHeight w:val="20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(31,233)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7,731</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income to net cash (used in) provided by operating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3,945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1,002</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7,517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Provision for doubtful accounts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(7,802)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1,760</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Accounts payable and accrued expenses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1,578</w:t>
            </w: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provided by operating activities</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10,587</w:t>
            </w:r>
          </w:p>
        </w:tc>
      </w:tr>
      <w:tr>
        <w:trPr>
          <w:trHeight w:val="128"/>
        </w:trPr>
        <w:tc>
          <w:tcPr>
            <w:tcW w:w="79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79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Cash paid for acquisitions, net of cash acquired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r>
      <w:tr>
        <w:trPr>
          <w:trHeight w:val="128"/>
        </w:trPr>
        <w:tc>
          <w:tcPr>
            <w:tcW w:w="7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7980" w:type="dxa"/>
            <w:vAlign w:val="bottom"/>
          </w:tcPr>
          <w:p>
            <w:pPr>
              <w:ind w:left="240"/>
              <w:spacing w:after="0"/>
              <w:rPr>
                <w:sz w:val="20"/>
                <w:szCs w:val="20"/>
                <w:color w:val="auto"/>
              </w:rPr>
            </w:pPr>
            <w:r>
              <w:rPr>
                <w:rFonts w:ascii="Arial" w:cs="Arial" w:eastAsia="Arial" w:hAnsi="Arial"/>
                <w:sz w:val="18"/>
                <w:szCs w:val="18"/>
                <w:color w:val="auto"/>
              </w:rPr>
              <w:t>Taxes paid related to net share settlement of equity awards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Distributions to members</w:t>
            </w:r>
          </w:p>
        </w:tc>
        <w:tc>
          <w:tcPr>
            <w:tcW w:w="2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(10,513)</w:t>
            </w:r>
          </w:p>
        </w:tc>
      </w:tr>
      <w:tr>
        <w:trPr>
          <w:trHeight w:val="229"/>
        </w:trPr>
        <w:tc>
          <w:tcPr>
            <w:tcW w:w="7980" w:type="dxa"/>
            <w:vAlign w:val="bottom"/>
          </w:tcPr>
          <w:p>
            <w:pPr>
              <w:ind w:left="240"/>
              <w:spacing w:after="0"/>
              <w:rPr>
                <w:sz w:val="20"/>
                <w:szCs w:val="20"/>
                <w:color w:val="auto"/>
              </w:rPr>
            </w:pPr>
            <w:r>
              <w:rPr>
                <w:rFonts w:ascii="Arial" w:cs="Arial" w:eastAsia="Arial" w:hAnsi="Arial"/>
                <w:sz w:val="18"/>
                <w:szCs w:val="18"/>
                <w:color w:val="auto"/>
              </w:rPr>
              <w:t>Repurchase of Class B Units</w:t>
            </w:r>
          </w:p>
        </w:tc>
        <w:tc>
          <w:tcPr>
            <w:tcW w:w="26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(10,619)</w:t>
            </w:r>
          </w:p>
        </w:tc>
      </w:tr>
      <w:tr>
        <w:trPr>
          <w:trHeight w:val="129"/>
        </w:trPr>
        <w:tc>
          <w:tcPr>
            <w:tcW w:w="79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29"/>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 beginning of period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19,919</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-4139565</wp:posOffset>
            </wp:positionV>
            <wp:extent cx="596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INCOME TO EBITDA AND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6"/>
              </w:rPr>
              <w:t>Three Months Ended March 31,</w:t>
            </w:r>
          </w:p>
        </w:tc>
      </w:tr>
      <w:tr>
        <w:trPr>
          <w:trHeight w:val="223"/>
        </w:trPr>
        <w:tc>
          <w:tcPr>
            <w:tcW w:w="79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9"/>
              </w:rPr>
              <w:t>2021</w:t>
            </w:r>
          </w:p>
        </w:tc>
      </w:tr>
      <w:tr>
        <w:trPr>
          <w:trHeight w:val="223"/>
        </w:trPr>
        <w:tc>
          <w:tcPr>
            <w:tcW w:w="7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1020" w:type="dxa"/>
            <w:vAlign w:val="bottom"/>
          </w:tcPr>
          <w:p>
            <w:pPr>
              <w:spacing w:after="0"/>
              <w:rPr>
                <w:sz w:val="19"/>
                <w:szCs w:val="19"/>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(31,233)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7,731</w:t>
            </w:r>
          </w:p>
        </w:tc>
      </w:tr>
      <w:tr>
        <w:trPr>
          <w:trHeight w:val="229"/>
        </w:trPr>
        <w:tc>
          <w:tcPr>
            <w:tcW w:w="7980" w:type="dxa"/>
            <w:vAlign w:val="bottom"/>
          </w:tcPr>
          <w:p>
            <w:pPr>
              <w:ind w:left="180"/>
              <w:spacing w:after="0"/>
              <w:rPr>
                <w:sz w:val="20"/>
                <w:szCs w:val="20"/>
                <w:color w:val="auto"/>
              </w:rPr>
            </w:pPr>
            <w:r>
              <w:rPr>
                <w:rFonts w:ascii="Arial" w:cs="Arial" w:eastAsia="Arial" w:hAnsi="Arial"/>
                <w:sz w:val="18"/>
                <w:szCs w:val="18"/>
                <w:color w:val="auto"/>
              </w:rPr>
              <w:t>(Benefit from) provision for income taxes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(1,748)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w:t>
            </w: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EBITDA</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(29,036)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8,974</w:t>
            </w: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18,219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Transaction related bonuses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80" w:type="dxa"/>
            <w:vAlign w:val="bottom"/>
          </w:tcPr>
          <w:p>
            <w:pPr>
              <w:ind w:left="180"/>
              <w:spacing w:after="0"/>
              <w:rPr>
                <w:sz w:val="20"/>
                <w:szCs w:val="20"/>
                <w:color w:val="auto"/>
              </w:rPr>
            </w:pPr>
            <w:r>
              <w:rPr>
                <w:rFonts w:ascii="Arial" w:cs="Arial" w:eastAsia="Arial" w:hAnsi="Arial"/>
                <w:sz w:val="18"/>
                <w:szCs w:val="18"/>
                <w:color w:val="auto"/>
              </w:rPr>
              <w:t>Transaction costs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Legal settlements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8,974</w:t>
            </w:r>
          </w:p>
        </w:tc>
      </w:tr>
      <w:tr>
        <w:trPr>
          <w:trHeight w:val="21"/>
        </w:trPr>
        <w:tc>
          <w:tcPr>
            <w:tcW w:w="7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0" w:lineRule="exact"/>
        <w:rPr>
          <w:sz w:val="20"/>
          <w:szCs w:val="20"/>
          <w:color w:val="auto"/>
        </w:rPr>
      </w:pPr>
    </w:p>
    <w:p>
      <w:pPr>
        <w:ind w:left="340" w:hanging="332"/>
        <w:spacing w:after="0" w:line="246" w:lineRule="auto"/>
        <w:tabs>
          <w:tab w:leader="none" w:pos="341" w:val="left"/>
        </w:tabs>
        <w:numPr>
          <w:ilvl w:val="0"/>
          <w:numId w:val="10"/>
        </w:numPr>
        <w:rPr>
          <w:rFonts w:ascii="Arial" w:cs="Arial" w:eastAsia="Arial" w:hAnsi="Arial"/>
          <w:sz w:val="14"/>
          <w:szCs w:val="14"/>
          <w:color w:val="auto"/>
        </w:rPr>
      </w:pPr>
      <w:r>
        <w:rPr>
          <w:rFonts w:ascii="Arial" w:cs="Arial" w:eastAsia="Arial" w:hAnsi="Arial"/>
          <w:sz w:val="18"/>
          <w:szCs w:val="18"/>
          <w:color w:val="auto"/>
        </w:rPr>
        <w:t>Stock-based compensation expense is recorded in the following expense categories on the accompanying consolidated statements of operations for the three months ended March 31, 2022:</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Three Months Ended March</w:t>
            </w:r>
          </w:p>
        </w:tc>
        <w:tc>
          <w:tcPr>
            <w:tcW w:w="0" w:type="dxa"/>
            <w:vAlign w:val="bottom"/>
          </w:tcPr>
          <w:p>
            <w:pPr>
              <w:spacing w:after="0"/>
              <w:rPr>
                <w:sz w:val="1"/>
                <w:szCs w:val="1"/>
                <w:color w:val="auto"/>
              </w:rPr>
            </w:pPr>
          </w:p>
        </w:tc>
      </w:tr>
      <w:tr>
        <w:trPr>
          <w:trHeight w:val="230"/>
        </w:trPr>
        <w:tc>
          <w:tcPr>
            <w:tcW w:w="4260" w:type="dxa"/>
            <w:vAlign w:val="bottom"/>
            <w:tcBorders>
              <w:bottom w:val="single" w:sz="8" w:color="CCEEFF"/>
            </w:tcBorders>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31, 2022</w:t>
            </w:r>
          </w:p>
        </w:tc>
        <w:tc>
          <w:tcPr>
            <w:tcW w:w="0" w:type="dxa"/>
            <w:vAlign w:val="bottom"/>
          </w:tcPr>
          <w:p>
            <w:pPr>
              <w:spacing w:after="0"/>
              <w:rPr>
                <w:sz w:val="1"/>
                <w:szCs w:val="1"/>
                <w:color w:val="auto"/>
              </w:rPr>
            </w:pPr>
          </w:p>
        </w:tc>
      </w:tr>
      <w:tr>
        <w:trPr>
          <w:trHeight w:val="223"/>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45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0" w:type="dxa"/>
            <w:vAlign w:val="bottom"/>
          </w:tcPr>
          <w:p>
            <w:pPr>
              <w:spacing w:after="0"/>
              <w:rPr>
                <w:sz w:val="1"/>
                <w:szCs w:val="1"/>
                <w:color w:val="auto"/>
              </w:rPr>
            </w:pP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4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1,412</w:t>
            </w: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45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4,294</w:t>
            </w:r>
          </w:p>
        </w:tc>
        <w:tc>
          <w:tcPr>
            <w:tcW w:w="0" w:type="dxa"/>
            <w:vAlign w:val="bottom"/>
          </w:tcPr>
          <w:p>
            <w:pPr>
              <w:spacing w:after="0"/>
              <w:rPr>
                <w:sz w:val="1"/>
                <w:szCs w:val="1"/>
                <w:color w:val="auto"/>
              </w:rPr>
            </w:pP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4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7,517</w:t>
            </w: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560" w:type="dxa"/>
            <w:vAlign w:val="bottom"/>
            <w:vMerge w:val="restart"/>
          </w:tcPr>
          <w:p>
            <w:pPr>
              <w:jc w:val="right"/>
              <w:ind w:right="3070"/>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426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39" w:right="339" w:bottom="1440" w:gutter="0" w:footer="0" w:header="0"/>
        </w:sectPr>
      </w:pPr>
    </w:p>
    <w:bookmarkStart w:id="11" w:name="page12"/>
    <w:bookmarkEnd w:id="11"/>
    <w:p>
      <w:pPr>
        <w:jc w:val="center"/>
        <w:ind w:left="340" w:right="2740"/>
        <w:spacing w:after="0" w:line="266" w:lineRule="auto"/>
        <w:rPr>
          <w:sz w:val="20"/>
          <w:szCs w:val="20"/>
          <w:color w:val="auto"/>
        </w:rPr>
      </w:pPr>
      <w:r>
        <w:rPr>
          <w:rFonts w:ascii="Arial" w:cs="Arial" w:eastAsia="Arial" w:hAnsi="Arial"/>
          <w:sz w:val="18"/>
          <w:szCs w:val="18"/>
          <w:b w:val="1"/>
          <w:bCs w:val="1"/>
          <w:color w:val="auto"/>
        </w:rPr>
        <w:t>WM TECHNOLOGY, INC. AND SUBSIDIARIES SELECTED CURRENT AND PREVIOUS OPERATING KEY METRICS (Unaudited)</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Selected Key Operating and Financial Metrics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64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51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518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monthly paying clients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r>
      <w:tr>
        <w:trPr>
          <w:trHeight w:val="229"/>
        </w:trPr>
        <w:tc>
          <w:tcPr>
            <w:tcW w:w="8600" w:type="dxa"/>
            <w:vAlign w:val="bottom"/>
            <w:gridSpan w:val="2"/>
          </w:tcPr>
          <w:p>
            <w:pPr>
              <w:ind w:left="20"/>
              <w:spacing w:after="0"/>
              <w:rPr>
                <w:sz w:val="20"/>
                <w:szCs w:val="20"/>
                <w:color w:val="auto"/>
              </w:rPr>
            </w:pPr>
            <w:r>
              <w:rPr>
                <w:rFonts w:ascii="Arial" w:cs="Arial" w:eastAsia="Arial" w:hAnsi="Arial"/>
                <w:sz w:val="18"/>
                <w:szCs w:val="18"/>
                <w:color w:val="auto"/>
              </w:rPr>
              <w:t>Average monthly revenue per paying client</w:t>
            </w:r>
          </w:p>
        </w:tc>
        <w:tc>
          <w:tcPr>
            <w:tcW w:w="800" w:type="dxa"/>
            <w:vAlign w:val="bottom"/>
          </w:tcPr>
          <w:p>
            <w:pPr>
              <w:jc w:val="right"/>
              <w:ind w:right="62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3,810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3,503</w:t>
            </w:r>
          </w:p>
        </w:tc>
      </w:tr>
      <w:tr>
        <w:trPr>
          <w:trHeight w:val="229"/>
        </w:trPr>
        <w:tc>
          <w:tcPr>
            <w:tcW w:w="86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MAUs (in thousands)</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16,437</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r>
      <w:tr>
        <w:trPr>
          <w:trHeight w:val="729"/>
        </w:trPr>
        <w:tc>
          <w:tcPr>
            <w:tcW w:w="8600" w:type="dxa"/>
            <w:vAlign w:val="bottom"/>
            <w:gridSpan w:val="2"/>
          </w:tcPr>
          <w:p>
            <w:pPr>
              <w:spacing w:after="0"/>
              <w:rPr>
                <w:sz w:val="20"/>
                <w:szCs w:val="20"/>
                <w:color w:val="auto"/>
              </w:rPr>
            </w:pPr>
            <w:r>
              <w:rPr>
                <w:rFonts w:ascii="Arial" w:cs="Arial" w:eastAsia="Arial" w:hAnsi="Arial"/>
                <w:sz w:val="18"/>
                <w:szCs w:val="18"/>
                <w:b w:val="1"/>
                <w:bCs w:val="1"/>
                <w:color w:val="auto"/>
              </w:rPr>
              <w:t>Selected Previously Reported Key Operating and Financial Metrics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697"/>
        </w:trPr>
        <w:tc>
          <w:tcPr>
            <w:tcW w:w="518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2640" w:type="dxa"/>
            <w:vAlign w:val="bottom"/>
            <w:gridSpan w:val="4"/>
          </w:tcPr>
          <w:p>
            <w:pPr>
              <w:jc w:val="right"/>
              <w:ind w:right="255"/>
              <w:spacing w:after="0"/>
              <w:rPr>
                <w:sz w:val="20"/>
                <w:szCs w:val="20"/>
                <w:color w:val="auto"/>
              </w:rPr>
            </w:pPr>
            <w:r>
              <w:rPr>
                <w:rFonts w:ascii="Arial" w:cs="Arial" w:eastAsia="Arial" w:hAnsi="Arial"/>
                <w:sz w:val="14"/>
                <w:szCs w:val="14"/>
                <w:b w:val="1"/>
                <w:bCs w:val="1"/>
                <w:color w:val="auto"/>
              </w:rPr>
              <w:t>Three Months Ended March 31,</w:t>
            </w:r>
          </w:p>
        </w:tc>
      </w:tr>
      <w:tr>
        <w:trPr>
          <w:trHeight w:val="26"/>
        </w:trPr>
        <w:tc>
          <w:tcPr>
            <w:tcW w:w="51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1"/>
        </w:trPr>
        <w:tc>
          <w:tcPr>
            <w:tcW w:w="5180" w:type="dxa"/>
            <w:vAlign w:val="bottom"/>
            <w:tcBorders>
              <w:bottom w:val="single" w:sz="8" w:color="CCEEFF"/>
            </w:tcBorders>
          </w:tcPr>
          <w:p>
            <w:pPr>
              <w:spacing w:after="0"/>
              <w:rPr>
                <w:sz w:val="15"/>
                <w:szCs w:val="15"/>
                <w:color w:val="auto"/>
              </w:rPr>
            </w:pPr>
          </w:p>
        </w:tc>
        <w:tc>
          <w:tcPr>
            <w:tcW w:w="34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r>
      <w:tr>
        <w:trPr>
          <w:trHeight w:val="224"/>
        </w:trPr>
        <w:tc>
          <w:tcPr>
            <w:tcW w:w="860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color w:val="auto"/>
              </w:rPr>
              <w:t>Paying clients</w:t>
            </w:r>
            <w:r>
              <w:rPr>
                <w:rFonts w:ascii="Arial" w:cs="Arial" w:eastAsia="Arial" w:hAnsi="Arial"/>
                <w:sz w:val="23"/>
                <w:szCs w:val="23"/>
                <w:color w:val="auto"/>
                <w:vertAlign w:val="superscript"/>
              </w:rPr>
              <w:t>(1)</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5,141</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w:t>
            </w:r>
          </w:p>
        </w:tc>
      </w:tr>
      <w:tr>
        <w:trPr>
          <w:trHeight w:val="229"/>
        </w:trPr>
        <w:tc>
          <w:tcPr>
            <w:tcW w:w="86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Monthly revenue per paying client</w:t>
            </w:r>
            <w:r>
              <w:rPr>
                <w:rFonts w:ascii="Arial" w:cs="Arial" w:eastAsia="Arial" w:hAnsi="Arial"/>
                <w:sz w:val="23"/>
                <w:szCs w:val="23"/>
                <w:color w:val="auto"/>
                <w:vertAlign w:val="superscript"/>
              </w:rPr>
              <w:t>(2)</w:t>
            </w:r>
          </w:p>
        </w:tc>
        <w:tc>
          <w:tcPr>
            <w:tcW w:w="800" w:type="dxa"/>
            <w:vAlign w:val="bottom"/>
          </w:tcPr>
          <w:p>
            <w:pPr>
              <w:jc w:val="right"/>
              <w:ind w:right="622"/>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4,052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3,689</w:t>
            </w:r>
          </w:p>
        </w:tc>
      </w:tr>
      <w:tr>
        <w:trPr>
          <w:trHeight w:val="229"/>
        </w:trPr>
        <w:tc>
          <w:tcPr>
            <w:tcW w:w="86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MAUs (in thousands)</w:t>
            </w:r>
            <w:r>
              <w:rPr>
                <w:rFonts w:ascii="Arial" w:cs="Arial" w:eastAsia="Arial" w:hAnsi="Arial"/>
                <w:sz w:val="23"/>
                <w:szCs w:val="23"/>
                <w:color w:val="auto"/>
                <w:vertAlign w:val="superscript"/>
              </w:rPr>
              <w:t>(3)</w:t>
            </w:r>
          </w:p>
        </w:tc>
        <w:tc>
          <w:tcPr>
            <w:tcW w:w="8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15,866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9" w:lineRule="exact"/>
        <w:rPr>
          <w:sz w:val="20"/>
          <w:szCs w:val="20"/>
          <w:color w:val="auto"/>
        </w:rPr>
      </w:pPr>
    </w:p>
    <w:p>
      <w:pPr>
        <w:jc w:val="both"/>
        <w:ind w:left="340" w:hanging="332"/>
        <w:spacing w:after="0" w:line="227" w:lineRule="auto"/>
        <w:tabs>
          <w:tab w:leader="none" w:pos="33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Metric was previously defined as the number of clients billed during the last month of a particular period. We changed our definition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jc w:val="both"/>
        <w:ind w:left="340" w:hanging="332"/>
        <w:spacing w:after="0" w:line="238" w:lineRule="auto"/>
        <w:tabs>
          <w:tab w:leader="none" w:pos="346" w:val="left"/>
        </w:tabs>
        <w:numPr>
          <w:ilvl w:val="0"/>
          <w:numId w:val="11"/>
        </w:numPr>
        <w:rPr>
          <w:rFonts w:ascii="Arial" w:cs="Arial" w:eastAsia="Arial" w:hAnsi="Arial"/>
          <w:sz w:val="13"/>
          <w:szCs w:val="13"/>
          <w:color w:val="auto"/>
        </w:rPr>
      </w:pPr>
      <w:r>
        <w:rPr>
          <w:rFonts w:ascii="Arial" w:cs="Arial" w:eastAsia="Arial" w:hAnsi="Arial"/>
          <w:sz w:val="13"/>
          <w:szCs w:val="13"/>
          <w:color w:val="auto"/>
        </w:rPr>
        <w:t>Metric was previously calculated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ind w:left="340" w:right="20" w:hanging="332"/>
        <w:spacing w:after="0" w:line="237" w:lineRule="auto"/>
        <w:tabs>
          <w:tab w:leader="none" w:pos="357" w:val="left"/>
        </w:tabs>
        <w:numPr>
          <w:ilvl w:val="0"/>
          <w:numId w:val="11"/>
        </w:numPr>
        <w:rPr>
          <w:rFonts w:ascii="Arial" w:cs="Arial" w:eastAsia="Arial" w:hAnsi="Arial"/>
          <w:sz w:val="14"/>
          <w:szCs w:val="14"/>
          <w:color w:val="auto"/>
        </w:rPr>
      </w:pPr>
      <w:r>
        <w:rPr>
          <w:rFonts w:ascii="Arial" w:cs="Arial" w:eastAsia="Arial" w:hAnsi="Arial"/>
          <w:sz w:val="14"/>
          <w:szCs w:val="14"/>
          <w:color w:val="auto"/>
        </w:rPr>
        <w:t>Metric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investors@weedmaps.com</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Contract: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3051F2"/>
        </w:rPr>
        <w:t>press@weedmaps.com</w:t>
      </w:r>
    </w:p>
    <w:p>
      <w:pPr>
        <w:sectPr>
          <w:pgSz w:w="11900" w:h="16838" w:orient="portrait"/>
          <w:cols w:equalWidth="0" w:num="1">
            <w:col w:w="11240"/>
          </w:cols>
          <w:pgMar w:left="320" w:top="103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sectPr>
      <w:pgSz w:w="11900" w:h="16838" w:orient="portrait"/>
      <w:cols w:equalWidth="0" w:num="1">
        <w:col w:w="11240"/>
      </w:cols>
      <w:pgMar w:left="320" w:top="10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2"/>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¹"/>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2022-05-04T15:23:56Z</dcterms:created>
  <dcterms:modified xsi:type="dcterms:W3CDTF">2022-05-04T15:23:56Z</dcterms:modified>
</cp:coreProperties>
</file>