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8" w:after="283"/>
        <w:jc w:val="center"/>
        <w:rPr/>
      </w:pPr>
      <w:r>
        <w:rPr/>
      </w:r>
    </w:p>
    <w:p>
      <w:pPr>
        <w:pStyle w:val="TextBody"/>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7" w:after="283"/>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before="5" w:after="283"/>
        <w:jc w:val="center"/>
        <w:rPr/>
      </w:pPr>
      <w:r>
        <w:rPr/>
      </w:r>
    </w:p>
    <w:p>
      <w:pPr>
        <w:pStyle w:val="TextBody"/>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jc w:val="center"/>
        <w:rPr/>
      </w:pPr>
      <w:r>
        <w:rPr/>
      </w:r>
    </w:p>
    <w:p>
      <w:pPr>
        <w:pStyle w:val="TextBody"/>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April 19, 2023</w:t>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9042" w:type="dxa"/>
        <w:jc w:val="center"/>
        <w:tblInd w:w="0" w:type="dxa"/>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jc w:val="center"/>
        <w:rPr/>
      </w:pPr>
      <w:r>
        <w:rPr/>
      </w:r>
    </w:p>
    <w:tbl>
      <w:tblPr>
        <w:tblW w:w="4662" w:type="dxa"/>
        <w:jc w:val="left"/>
        <w:tblInd w:w="0" w:type="dxa"/>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before="10" w:after="283"/>
        <w:rPr/>
      </w:pPr>
      <w:r>
        <w:rPr/>
      </w:r>
    </w:p>
    <w:p>
      <w:pPr>
        <w:pStyle w:val="TextBody"/>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spacing w:before="1" w:after="283"/>
        <w:rPr/>
      </w:pPr>
      <w:r>
        <w:rPr/>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before="0" w:after="0"/>
        <w:rPr/>
      </w:pPr>
      <w:r>
        <w:rPr/>
      </w:r>
    </w:p>
    <w:p>
      <w:pPr>
        <w:pStyle w:val="TextBody"/>
        <w:spacing w:lineRule="auto" w:line="290"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6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before="0" w:after="0"/>
        <w:rPr/>
      </w:pPr>
      <w:r>
        <w:rPr/>
      </w:r>
    </w:p>
    <w:p>
      <w:pPr>
        <w:pStyle w:val="TextBody"/>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spacing w:before="0" w:after="0"/>
        <w:jc w:val="right"/>
        <w:rPr/>
      </w:pPr>
      <w:r>
        <w:rPr/>
      </w:r>
    </w:p>
    <w:p>
      <w:pPr>
        <w:pStyle w:val="TextBody"/>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19, 2023, WM Technology, Inc. (the “Company”) received a letter from the Listing Qualifications Department of The Nasdaq Stock Market LLC (“Nasdaq”) notifying the Company that, for the last 30 consecutive business days, the closing bid price for the Company’s Class A common stock, par value $0.0001 per share (the “Common Stock”), was below $1.00 per share, which is the minimum closing bid price required for continued listing on the Nasdaq Global Market pursuant to Nasdaq Listing Rule 5450(a)(1) (the “Notice”). This Notice is a notice of deficiency, not delisting, and has no immediate effect on the listing of the Company’s Common Stock, and the Company’s Common Stock will continue to trade on The Nasdaq Global Select Market under the symbol “MAPS” at this time, subject to the Company’s compliance with the other Nasdaq listing requirements.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5810(c)(3)(A), the Company is provided a compliance period of 180 calendar days from the date of the Notice, or until October 16, 2023, to regain compliance with the minimum closing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by effecting a reverse stock split, if necessary. If the Company does not regain compliance within the allotted compliance periods, including any extensions that may be granted by Nasdaq, the Company’s stock will be subject to delisting. The Company would have the right to appeal a determination to delist the Company’s Common Stock, and the Company’s Common Stock would remain listed on the Nasdaq Global Select Market until the completion of the appeal process.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intends to monitor the closing bid price of its stock and assess potential actions to regain compliance. While the Company plans to review all available options, there can be no assurance that the Company will regain compliance with the minimum bid price requirement during the 180-day compliance period, secure a second 180-day period to regain compliance, or maintain compliance with the other Nasdaq listing requirements.</w:t>
      </w:r>
    </w:p>
    <w:p>
      <w:pPr>
        <w:pStyle w:val="TextBody"/>
        <w:spacing w:before="0" w:after="0"/>
        <w:rPr/>
      </w:pPr>
      <w:r>
        <w:rPr/>
      </w:r>
    </w:p>
    <w:p>
      <w:pPr>
        <w:pStyle w:val="TextBody"/>
        <w:spacing w:lineRule="auto" w:line="268" w:before="0" w:after="0"/>
        <w:rPr>
          <w:rFonts w:ascii="Times New Roman;sans-serif" w:hAnsi="Times New Roman;sans-serif"/>
          <w:b/>
          <w:i/>
          <w:color w:val="000000"/>
          <w:sz w:val="22"/>
        </w:rPr>
      </w:pPr>
      <w:r>
        <w:rPr>
          <w:rFonts w:ascii="Times New Roman;sans-serif" w:hAnsi="Times New Roman;sans-serif"/>
          <w:b/>
          <w:i/>
          <w:color w:val="000000"/>
          <w:sz w:val="22"/>
        </w:rPr>
        <w:t>Forward-Looking Statements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intent or ability to regain compliance with Nasdaq’s minimum bid price requirement, including initiating a reverse stock split, Nasdaq granting the Company any relief from delisting as necessary, and whether the Company can ultimately meet applicable Nasdaq requirements for any such relief.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2022 filed with the SEC on March 16, 2023,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10" w:after="283"/>
        <w:rPr/>
      </w:pPr>
      <w:r>
        <w:rPr/>
      </w:r>
    </w:p>
    <w:p>
      <w:pPr>
        <w:pStyle w:val="TextBody"/>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5048" w:type="dxa"/>
        <w:jc w:val="left"/>
        <w:tblInd w:w="0" w:type="dxa"/>
        <w:tblCellMar>
          <w:top w:w="28" w:type="dxa"/>
          <w:left w:w="28" w:type="dxa"/>
          <w:bottom w:w="28" w:type="dxa"/>
          <w:right w:w="28" w:type="dxa"/>
        </w:tblCellMar>
      </w:tblPr>
      <w:tblGrid>
        <w:gridCol w:w="350"/>
        <w:gridCol w:w="308"/>
        <w:gridCol w:w="308"/>
        <w:gridCol w:w="308"/>
        <w:gridCol w:w="308"/>
        <w:gridCol w:w="308"/>
        <w:gridCol w:w="383"/>
        <w:gridCol w:w="383"/>
        <w:gridCol w:w="383"/>
        <w:gridCol w:w="587"/>
        <w:gridCol w:w="587"/>
        <w:gridCol w:w="835"/>
      </w:tblGrid>
      <w:tr>
        <w:trPr/>
        <w:tc>
          <w:tcPr>
            <w:tcW w:w="35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1890"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21, 2023</w:t>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Arden Lee</w:t>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Arden Lee</w:t>
            </w:r>
          </w:p>
        </w:tc>
      </w:tr>
      <w:tr>
        <w:trPr/>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96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0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1278</Words>
  <CharactersWithSpaces>8183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