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to Rule 424(b)(3)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333-261466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5715</wp:posOffset>
            </wp:positionV>
            <wp:extent cx="263144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3144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1,938,798 Shares of Class A Common Stock</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229" w:lineRule="exact"/>
        <w:rPr>
          <w:sz w:val="24"/>
          <w:szCs w:val="24"/>
          <w:color w:val="auto"/>
        </w:rPr>
      </w:pPr>
    </w:p>
    <w:p>
      <w:pPr>
        <w:jc w:val="both"/>
        <w:ind w:firstLine="324"/>
        <w:spacing w:after="0" w:line="287" w:lineRule="auto"/>
        <w:rPr>
          <w:sz w:val="20"/>
          <w:szCs w:val="20"/>
          <w:color w:val="auto"/>
        </w:rPr>
      </w:pPr>
      <w:r>
        <w:rPr>
          <w:rFonts w:ascii="Arial" w:cs="Arial" w:eastAsia="Arial" w:hAnsi="Arial"/>
          <w:sz w:val="16"/>
          <w:szCs w:val="16"/>
          <w:color w:val="auto"/>
        </w:rPr>
        <w:t>This prospectus relates to the offer and sale from time to time by the selling securityholders named in this prospectus (the “Selling Securityholders”) of up to 1,938,798 shares of our Class A Common Stock, par value $0.0001 per share (“Class A Common Stock”), consisting of (i) 1,244,258 shares of Class A Common Stock issued pursuant to that certain Asset Purchase Agreement, dated September 3, 2021 (the “Asset Purchase Agreement”), by and among MembersRSVP, LLC d/b/a Sprout (“Sprout”), Text Ripple, Inc. (“Text Ripple”), the Company, WM Loyalty, LLC, certain equityholders of Sprout and Text Ripple and Jaret Christopher, as sellers’ representative and (ii) 694,540 shares of Class A Common Stock issued pursuant to that certain Equity Interest Purchase Agreement, dated September 28, 2021 (the “Equity Interest Purchase Agreement” and together with the Asset Purchase Agreement, the “Purchase Agreements”), by and among Ghost Management Group, LLC, Transport Logistics Holding Company, LLC d/b/a Merry Go Jane (“TLHC”), certain securityholders of TLHC and Justin Morris, as sellers’ representative. We will not receive any proceeds from the sale of the shares of Class A Common Stock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172" w:lineRule="exact"/>
        <w:rPr>
          <w:sz w:val="24"/>
          <w:szCs w:val="24"/>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registration of the securities covered by this prospectus does not mean that the Selling Securityholders will offer or sell any of the shares of Class A Common Stock. The Selling Securityholders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Securityholders pursuant to this prospectus. We provide more information about how the Selling Securityholders may sell the Shares in the section entitled “Plan of Distribution.”</w:t>
      </w:r>
    </w:p>
    <w:p>
      <w:pPr>
        <w:spacing w:after="0" w:line="188" w:lineRule="exact"/>
        <w:rPr>
          <w:sz w:val="24"/>
          <w:szCs w:val="24"/>
          <w:color w:val="auto"/>
        </w:rPr>
      </w:pPr>
    </w:p>
    <w:p>
      <w:pPr>
        <w:jc w:val="both"/>
        <w:ind w:firstLine="324"/>
        <w:spacing w:after="0" w:line="308" w:lineRule="auto"/>
        <w:rPr>
          <w:sz w:val="20"/>
          <w:szCs w:val="20"/>
          <w:color w:val="auto"/>
        </w:rPr>
      </w:pPr>
      <w:r>
        <w:rPr>
          <w:rFonts w:ascii="Arial" w:cs="Arial" w:eastAsia="Arial" w:hAnsi="Arial"/>
          <w:sz w:val="17"/>
          <w:szCs w:val="17"/>
          <w:color w:val="auto"/>
        </w:rPr>
        <w:t>We are an “emerging growth company” as defined in Section 2(a) of the Securities Act of 1933, as amended, and are subject to reduced public company reporting requirements. This prospectus complies with the requirements that apply to an issuer that is an emerging growth company.</w:t>
      </w:r>
    </w:p>
    <w:p>
      <w:pPr>
        <w:spacing w:after="0" w:line="146"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Class A Common Stock is listed on The Nasdaq Global Select Market (“Nasdaq”) under the symbol “MAPS.” On December 9, 2021, the closing price of our Class A Common Stock was $6.60.</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See the section entitled “Risk Factors” beginning on page 5 of this prospectus to read about factors you should consider before buying our securities.</w:t>
      </w:r>
    </w:p>
    <w:p>
      <w:pPr>
        <w:spacing w:after="0" w:line="248"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December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9900" w:type="dxa"/>
            <w:vAlign w:val="bottom"/>
            <w:gridSpan w:val="2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80" w:type="dxa"/>
            <w:vAlign w:val="bottom"/>
            <w:gridSpan w:val="7"/>
          </w:tcPr>
          <w:p>
            <w:pPr>
              <w:ind w:left="840"/>
              <w:spacing w:after="0"/>
              <w:rPr>
                <w:sz w:val="20"/>
                <w:szCs w:val="20"/>
                <w:color w:val="auto"/>
              </w:rPr>
            </w:pPr>
            <w:r>
              <w:rPr>
                <w:rFonts w:ascii="Arial" w:cs="Arial" w:eastAsia="Arial" w:hAnsi="Arial"/>
                <w:sz w:val="18"/>
                <w:szCs w:val="18"/>
                <w:b w:val="1"/>
                <w:bCs w:val="1"/>
                <w:color w:val="auto"/>
              </w:rPr>
              <w:t>TABLE OF CONTENTS</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2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w:t>
              </w:r>
            </w:hyperlink>
          </w:p>
        </w:tc>
        <w:tc>
          <w:tcPr>
            <w:tcW w:w="7660" w:type="dxa"/>
            <w:vAlign w:val="bottom"/>
            <w:tcBorders>
              <w:bottom w:val="single" w:sz="8" w:color="CCEEFF"/>
            </w:tcBorders>
            <w:gridSpan w:val="13"/>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900" w:type="dxa"/>
            <w:vAlign w:val="bottom"/>
            <w:gridSpan w:val="24"/>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CAUTIONARY NOTE REGARDING FORWARD-LOOKING STATEMENTS</w:t>
              </w:r>
            </w:hyperlink>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PROSPECTUS SUMMARY</w:t>
              </w:r>
            </w:hyperlink>
          </w:p>
        </w:tc>
        <w:tc>
          <w:tcPr>
            <w:tcW w:w="7800" w:type="dxa"/>
            <w:vAlign w:val="bottom"/>
            <w:tcBorders>
              <w:bottom w:val="single" w:sz="8" w:color="CCEEFF"/>
            </w:tcBorders>
            <w:gridSpan w:val="14"/>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900" w:type="dxa"/>
            <w:vAlign w:val="bottom"/>
            <w:gridSpan w:val="24"/>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THE OFFERING</w:t>
              </w:r>
            </w:hyperlink>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RISK FACTORS</w:t>
              </w:r>
            </w:hyperlink>
          </w:p>
        </w:tc>
        <w:tc>
          <w:tcPr>
            <w:tcW w:w="8640" w:type="dxa"/>
            <w:vAlign w:val="bottom"/>
            <w:tcBorders>
              <w:bottom w:val="single" w:sz="8" w:color="CCEEFF"/>
            </w:tcBorders>
            <w:gridSpan w:val="20"/>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900" w:type="dxa"/>
            <w:vAlign w:val="bottom"/>
            <w:gridSpan w:val="24"/>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USE OF PROCEEDS</w:t>
              </w:r>
            </w:hyperlink>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5"/>
              </w:rPr>
            </w:pPr>
            <w:hyperlink w:anchor="page48">
              <w:r>
                <w:rPr>
                  <w:rFonts w:ascii="Arial" w:cs="Arial" w:eastAsia="Arial" w:hAnsi="Arial"/>
                  <w:sz w:val="18"/>
                  <w:szCs w:val="18"/>
                  <w:color w:val="0000EE"/>
                  <w:w w:val="95"/>
                </w:rPr>
                <w:t>DETERMINATION OF OFFERING PRICE</w:t>
              </w:r>
            </w:hyperlink>
          </w:p>
        </w:tc>
        <w:tc>
          <w:tcPr>
            <w:tcW w:w="6660" w:type="dxa"/>
            <w:vAlign w:val="bottom"/>
            <w:tcBorders>
              <w:bottom w:val="single" w:sz="8" w:color="CCEEFF"/>
            </w:tcBorders>
            <w:gridSpan w:val="8"/>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900" w:type="dxa"/>
            <w:vAlign w:val="bottom"/>
            <w:gridSpan w:val="24"/>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MARKET INFORMATION FOR COMMON STOCK AND DIVIDEND POLICY</w:t>
              </w:r>
            </w:hyperlink>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900" w:type="dxa"/>
            <w:vAlign w:val="bottom"/>
            <w:gridSpan w:val="24"/>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SELECTED HISTORICAL FINANCIAL AND OPERATING DATA</w:t>
              </w:r>
            </w:hyperlink>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900" w:type="dxa"/>
            <w:vAlign w:val="bottom"/>
            <w:gridSpan w:val="24"/>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MANAGEMENT’S DISCUSSION AND ANALYSIS OF FINANCIAL CONDITION AND RESULTS OF OPERATIONS</w:t>
              </w:r>
            </w:hyperlink>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92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BUSINESS</w:t>
              </w:r>
            </w:hyperlink>
          </w:p>
        </w:tc>
        <w:tc>
          <w:tcPr>
            <w:tcW w:w="9040" w:type="dxa"/>
            <w:vAlign w:val="bottom"/>
            <w:tcBorders>
              <w:bottom w:val="single" w:sz="8" w:color="CCEEFF"/>
            </w:tcBorders>
            <w:gridSpan w:val="22"/>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900" w:type="dxa"/>
            <w:vAlign w:val="bottom"/>
            <w:gridSpan w:val="24"/>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MANAGEMENT</w:t>
              </w:r>
            </w:hyperlink>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6"/>
              </w:rPr>
            </w:pPr>
            <w:hyperlink w:anchor="page101">
              <w:r>
                <w:rPr>
                  <w:rFonts w:ascii="Arial" w:cs="Arial" w:eastAsia="Arial" w:hAnsi="Arial"/>
                  <w:sz w:val="18"/>
                  <w:szCs w:val="18"/>
                  <w:color w:val="0000EE"/>
                  <w:w w:val="96"/>
                </w:rPr>
                <w:t>EXECUTIVE COMPENSATION</w:t>
              </w:r>
            </w:hyperlink>
          </w:p>
        </w:tc>
        <w:tc>
          <w:tcPr>
            <w:tcW w:w="7440" w:type="dxa"/>
            <w:vAlign w:val="bottom"/>
            <w:tcBorders>
              <w:bottom w:val="single" w:sz="8" w:color="CCEEFF"/>
            </w:tcBorders>
            <w:gridSpan w:val="12"/>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900" w:type="dxa"/>
            <w:vAlign w:val="bottom"/>
            <w:gridSpan w:val="24"/>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CERTAIN RELATIONSHIPS AND RELATED PARTY TRANSACTIONS</w:t>
              </w:r>
            </w:hyperlink>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5"/>
              </w:rPr>
            </w:pPr>
            <w:hyperlink w:anchor="page115">
              <w:r>
                <w:rPr>
                  <w:rFonts w:ascii="Arial" w:cs="Arial" w:eastAsia="Arial" w:hAnsi="Arial"/>
                  <w:sz w:val="18"/>
                  <w:szCs w:val="18"/>
                  <w:color w:val="0000EE"/>
                  <w:w w:val="95"/>
                </w:rPr>
                <w:t>PRINCIPAL SECURITYHOLDERS</w:t>
              </w:r>
            </w:hyperlink>
          </w:p>
        </w:tc>
        <w:tc>
          <w:tcPr>
            <w:tcW w:w="7220" w:type="dxa"/>
            <w:vAlign w:val="bottom"/>
            <w:tcBorders>
              <w:bottom w:val="single" w:sz="8" w:color="CCEEFF"/>
            </w:tcBorders>
            <w:gridSpan w:val="10"/>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900" w:type="dxa"/>
            <w:vAlign w:val="bottom"/>
            <w:gridSpan w:val="24"/>
          </w:tcPr>
          <w:p>
            <w:pPr>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SELLING SECURITYHOLDERS</w:t>
              </w:r>
            </w:hyperlink>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111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3"/>
              </w:rPr>
            </w:pPr>
            <w:hyperlink w:anchor="page119">
              <w:r>
                <w:rPr>
                  <w:rFonts w:ascii="Arial" w:cs="Arial" w:eastAsia="Arial" w:hAnsi="Arial"/>
                  <w:sz w:val="18"/>
                  <w:szCs w:val="18"/>
                  <w:color w:val="0000EE"/>
                  <w:w w:val="93"/>
                </w:rPr>
                <w:t>DESCRIPTION OF SECURITIES</w:t>
              </w:r>
            </w:hyperlink>
          </w:p>
        </w:tc>
        <w:tc>
          <w:tcPr>
            <w:tcW w:w="7380" w:type="dxa"/>
            <w:vAlign w:val="bottom"/>
            <w:tcBorders>
              <w:bottom w:val="single" w:sz="8" w:color="CCEEFF"/>
            </w:tcBorders>
            <w:gridSpan w:val="11"/>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900" w:type="dxa"/>
            <w:vAlign w:val="bottom"/>
            <w:gridSpan w:val="24"/>
          </w:tcPr>
          <w:p>
            <w:pPr>
              <w:spacing w:after="0" w:line="176" w:lineRule="exact"/>
              <w:rPr>
                <w:rFonts w:ascii="Arial" w:cs="Arial" w:eastAsia="Arial" w:hAnsi="Arial"/>
                <w:sz w:val="18"/>
                <w:szCs w:val="18"/>
                <w:color w:val="0000EE"/>
              </w:rPr>
            </w:pPr>
            <w:hyperlink w:anchor="page128">
              <w:r>
                <w:rPr>
                  <w:rFonts w:ascii="Arial" w:cs="Arial" w:eastAsia="Arial" w:hAnsi="Arial"/>
                  <w:sz w:val="18"/>
                  <w:szCs w:val="18"/>
                  <w:color w:val="0000EE"/>
                </w:rPr>
                <w:t>MATERIAL UNITED STATES FEDERAL INCOME TAX CONSEQUENCES</w:t>
              </w:r>
            </w:hyperlink>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122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7"/>
              </w:rPr>
            </w:pPr>
            <w:hyperlink w:anchor="page132">
              <w:r>
                <w:rPr>
                  <w:rFonts w:ascii="Arial" w:cs="Arial" w:eastAsia="Arial" w:hAnsi="Arial"/>
                  <w:sz w:val="18"/>
                  <w:szCs w:val="18"/>
                  <w:color w:val="0000EE"/>
                  <w:w w:val="97"/>
                </w:rPr>
                <w:t>PLAN OF DISTRIBUTION</w:t>
              </w:r>
            </w:hyperlink>
          </w:p>
        </w:tc>
        <w:tc>
          <w:tcPr>
            <w:tcW w:w="7840" w:type="dxa"/>
            <w:vAlign w:val="bottom"/>
            <w:tcBorders>
              <w:bottom w:val="single" w:sz="8" w:color="CCEEFF"/>
            </w:tcBorders>
            <w:gridSpan w:val="15"/>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900" w:type="dxa"/>
            <w:vAlign w:val="bottom"/>
            <w:gridSpan w:val="24"/>
          </w:tcPr>
          <w:p>
            <w:pPr>
              <w:spacing w:after="0" w:line="176" w:lineRule="exact"/>
              <w:rPr>
                <w:rFonts w:ascii="Arial" w:cs="Arial" w:eastAsia="Arial" w:hAnsi="Arial"/>
                <w:sz w:val="18"/>
                <w:szCs w:val="18"/>
                <w:color w:val="0000EE"/>
              </w:rPr>
            </w:pPr>
            <w:hyperlink w:anchor="page134">
              <w:r>
                <w:rPr>
                  <w:rFonts w:ascii="Arial" w:cs="Arial" w:eastAsia="Arial" w:hAnsi="Arial"/>
                  <w:sz w:val="18"/>
                  <w:szCs w:val="18"/>
                  <w:color w:val="0000EE"/>
                </w:rPr>
                <w:t>LEGAL MATTERS</w:t>
              </w:r>
            </w:hyperlink>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128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134">
              <w:r>
                <w:rPr>
                  <w:rFonts w:ascii="Arial" w:cs="Arial" w:eastAsia="Arial" w:hAnsi="Arial"/>
                  <w:sz w:val="18"/>
                  <w:szCs w:val="18"/>
                  <w:color w:val="0000EE"/>
                  <w:w w:val="90"/>
                </w:rPr>
                <w:t>EXPERTS</w:t>
              </w:r>
            </w:hyperlink>
          </w:p>
        </w:tc>
        <w:tc>
          <w:tcPr>
            <w:tcW w:w="9120" w:type="dxa"/>
            <w:vAlign w:val="bottom"/>
            <w:tcBorders>
              <w:bottom w:val="single" w:sz="8" w:color="CCEEFF"/>
            </w:tcBorders>
            <w:gridSpan w:val="23"/>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900" w:type="dxa"/>
            <w:vAlign w:val="bottom"/>
            <w:gridSpan w:val="24"/>
          </w:tcPr>
          <w:p>
            <w:pPr>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WHERE YOU CAN FIND MORE INFORMATION</w:t>
              </w:r>
            </w:hyperlink>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129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900" w:type="dxa"/>
            <w:vAlign w:val="bottom"/>
            <w:gridSpan w:val="24"/>
            <w:shd w:val="clear" w:color="auto" w:fill="CCEEFF"/>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INDEX TO FINANCIAL STATEMENTS</w:t>
              </w:r>
            </w:hyperlink>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June 16, 2021 (the “Closing Date”), Silver Spike Acquisition Corp., our predecessor company, consummated the Business Combination (as defined below),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for pre-Business Combination (as defined below) periods, “Legacy WMH” and when referred to in for post-Business Combination periods, “WMH LLC”),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WMH LLC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the context indicates otherwise, references in this prospectus to the “Company,” “WMTI,”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This prospectus contains forward-looking statements within the meaning of Section 27A of the Securities Act, and Section 21E of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 in this prospectus may include, for example, statements about:</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financial and business performance, including key business metrics and any underlying assumptions thereunder;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market opportunity and our ability to acquire new customers and retain existing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and timing related to commercial product launches;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our go-to-market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scale our business and expand our offerings;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competitive advantages and growth strategies;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capital requirements and sources and uses of cash;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funding for our future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global, regional or local economic and market conditions affecting the cannabis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development, effects and enforcement of and changes to laws and regulations, including with respect to the cannabis industry;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capitalize on new and existing cannabis markets, including our ability to successfully monetize our solutions in those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future growth;</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new products and solutions, bring them to market in a timely manner, and make enhancements to our platform and our ability to maintain and grow our two sided digital network, including our ability to acquire and retain paying customers;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 on our future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officers, key employees or directors;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we have identified a material weakness in our internal control over financial reporting which, if not corrected, could affect the reliability of our consolidated financial statements;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or competitive factors.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Should one or more of the risks or uncertainties described in this prospectus,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79310" cy="7247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9310" cy="7247890"/>
                    </a:xfrm>
                    <a:prstGeom prst="rect">
                      <a:avLst/>
                    </a:prstGeom>
                    <a:noFill/>
                  </pic:spPr>
                </pic:pic>
              </a:graphicData>
            </a:graphic>
          </wp:anchor>
        </w:drawing>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left="100" w:firstLine="324"/>
        <w:spacing w:after="0" w:line="279" w:lineRule="auto"/>
        <w:rPr>
          <w:sz w:val="20"/>
          <w:szCs w:val="20"/>
          <w:color w:val="auto"/>
        </w:rPr>
      </w:pPr>
      <w:r>
        <w:rPr>
          <w:rFonts w:ascii="Arial" w:cs="Arial" w:eastAsia="Arial" w:hAnsi="Arial"/>
          <w:sz w:val="17"/>
          <w:szCs w:val="17"/>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left="100" w:firstLine="324"/>
        <w:spacing w:after="0" w:line="288" w:lineRule="auto"/>
        <w:rPr>
          <w:sz w:val="20"/>
          <w:szCs w:val="20"/>
          <w:color w:val="auto"/>
        </w:rPr>
      </w:pPr>
      <w:r>
        <w:rPr>
          <w:rFonts w:ascii="Arial" w:cs="Arial" w:eastAsia="Arial" w:hAnsi="Arial"/>
          <w:sz w:val="16"/>
          <w:szCs w:val="16"/>
          <w:color w:val="auto"/>
        </w:rPr>
        <w:t>Founded in 2008, we operate a leading listings marketplace with SaaS subscription offerings sold to retailers and brands in the U.S. state-legal and Canadian cannabis markets. We help address the challenges facing both consumers seeking to understand cannabis products and businesses who serve cannabis users in a legally compliant fashion with our Weedmaps platform and WM Business SaaS solution. The Weedmaps listings marketplace provides consumers with information regarding cannabis retailers and brands, as well as the strain, pricing, and other information regarding locally available cannabis products, through our website and mobile apps, permitting product discovery and reservations for pickup or delivery by participating retailers. We provide consumers with discovery channels designed to improve their knowledge of the local market for cannabis products, whether they are looking by strain, price, effects or form factors. Our weedmaps.com site also has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mailing address of our principal executive office is 41 Discovery, Irvine, California 92618. Our telephone number is (844) 933-3627.</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ind w:left="100" w:firstLine="324"/>
        <w:spacing w:after="0" w:line="286" w:lineRule="auto"/>
        <w:rPr>
          <w:sz w:val="20"/>
          <w:szCs w:val="20"/>
          <w:color w:val="auto"/>
        </w:rPr>
      </w:pPr>
      <w:r>
        <w:rPr>
          <w:rFonts w:ascii="Arial" w:cs="Arial" w:eastAsia="Arial" w:hAnsi="Arial"/>
          <w:sz w:val="17"/>
          <w:szCs w:val="17"/>
          <w:color w:val="auto"/>
        </w:rPr>
        <w:t>On September 3, 2021, we entered into the Asset Purchase Agreement with Sprout, Text Ripple, WM Loyalty, LLC, certain equityholders of Sprout and Text Ripple, and Jaret Christopher, as sellers’ representative. We issued 1,244,258 shares of Class A Common Stock pursuant to the Asset Purchase Agreement , and we are required under the Asset Purchase Agreement to register such shares for resale under the Securities Act.</w:t>
      </w:r>
    </w:p>
    <w:p>
      <w:pPr>
        <w:spacing w:after="0" w:line="200" w:lineRule="exact"/>
        <w:rPr>
          <w:sz w:val="20"/>
          <w:szCs w:val="20"/>
          <w:color w:val="auto"/>
        </w:rPr>
      </w:pPr>
    </w:p>
    <w:p>
      <w:pPr>
        <w:spacing w:after="0" w:line="397" w:lineRule="exact"/>
        <w:rPr>
          <w:sz w:val="20"/>
          <w:szCs w:val="20"/>
          <w:color w:val="auto"/>
        </w:rPr>
      </w:pPr>
    </w:p>
    <w:p>
      <w:pPr>
        <w:jc w:val="both"/>
        <w:ind w:left="100" w:firstLine="324"/>
        <w:spacing w:after="0" w:line="263" w:lineRule="auto"/>
        <w:rPr>
          <w:sz w:val="20"/>
          <w:szCs w:val="20"/>
          <w:color w:val="auto"/>
        </w:rPr>
      </w:pPr>
      <w:r>
        <w:rPr>
          <w:rFonts w:ascii="Arial" w:cs="Arial" w:eastAsia="Arial" w:hAnsi="Arial"/>
          <w:sz w:val="18"/>
          <w:szCs w:val="18"/>
          <w:color w:val="auto"/>
        </w:rPr>
        <w:t>On September 28, 2021, Ghost Management Group, LLC, a subsidiary of the Company, entered into the Equity Interest Purchase Agreement with TLHC, certain securityholders of TLHC, and Justin Morris, as sellers’ representative. We issued 694,540 shares of Class A Common Stock pursuant to the Equity Interest Purchase Agreement.</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jc w:val="both"/>
        <w:ind w:left="100" w:firstLine="324"/>
        <w:spacing w:after="0" w:line="263" w:lineRule="auto"/>
        <w:rPr>
          <w:sz w:val="20"/>
          <w:szCs w:val="20"/>
          <w:color w:val="auto"/>
        </w:rPr>
      </w:pPr>
      <w:r>
        <w:rPr>
          <w:rFonts w:ascii="Arial" w:cs="Arial" w:eastAsia="Arial" w:hAnsi="Arial"/>
          <w:sz w:val="18"/>
          <w:szCs w:val="18"/>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400" w:lineRule="exact"/>
        <w:rPr>
          <w:sz w:val="20"/>
          <w:szCs w:val="20"/>
          <w:color w:val="auto"/>
        </w:rPr>
      </w:pPr>
    </w:p>
    <w:p>
      <w:pPr>
        <w:ind w:left="760" w:hanging="33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our costs increase, we may not be able to generate sufficient revenue to maintain profitability in the future.</w:t>
      </w:r>
    </w:p>
    <w:p>
      <w:pPr>
        <w:spacing w:after="0" w:line="225" w:lineRule="exact"/>
        <w:rPr>
          <w:rFonts w:ascii="Arial" w:cs="Arial" w:eastAsia="Arial" w:hAnsi="Arial"/>
          <w:sz w:val="18"/>
          <w:szCs w:val="18"/>
          <w:color w:val="auto"/>
        </w:rPr>
      </w:pPr>
    </w:p>
    <w:p>
      <w:pPr>
        <w:ind w:left="760" w:right="20" w:hanging="334"/>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retain our existing clients and consumers or to acquire new clients and consumers in a cost-effective manner, our revenue may decrease and our business may be harmed.</w:t>
      </w:r>
    </w:p>
    <w:p>
      <w:pPr>
        <w:spacing w:after="0" w:line="170" w:lineRule="exact"/>
        <w:rPr>
          <w:rFonts w:ascii="Arial" w:cs="Arial" w:eastAsia="Arial" w:hAnsi="Arial"/>
          <w:sz w:val="18"/>
          <w:szCs w:val="18"/>
          <w:color w:val="auto"/>
        </w:rPr>
      </w:pPr>
    </w:p>
    <w:p>
      <w:pPr>
        <w:ind w:left="760" w:hanging="33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fail to offer the optimal pricing of our products and solutions.</w:t>
      </w:r>
    </w:p>
    <w:p>
      <w:pPr>
        <w:spacing w:after="0" w:line="225" w:lineRule="exact"/>
        <w:rPr>
          <w:rFonts w:ascii="Arial" w:cs="Arial" w:eastAsia="Arial" w:hAnsi="Arial"/>
          <w:sz w:val="18"/>
          <w:szCs w:val="18"/>
          <w:color w:val="auto"/>
        </w:rPr>
      </w:pPr>
    </w:p>
    <w:p>
      <w:pPr>
        <w:ind w:left="760" w:hanging="33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expand effectively into new markets, our revenue and business will be adversely affected.</w:t>
      </w:r>
    </w:p>
    <w:p>
      <w:pPr>
        <w:spacing w:after="0" w:line="225" w:lineRule="exact"/>
        <w:rPr>
          <w:rFonts w:ascii="Arial" w:cs="Arial" w:eastAsia="Arial" w:hAnsi="Arial"/>
          <w:sz w:val="18"/>
          <w:szCs w:val="18"/>
          <w:color w:val="auto"/>
        </w:rPr>
      </w:pPr>
    </w:p>
    <w:p>
      <w:pPr>
        <w:ind w:left="760" w:hanging="334"/>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is concentrated in California, and, as a result, our performance may be affected by factors unique to the California market.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79310" cy="69735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310" cy="6973570"/>
                    </a:xfrm>
                    <a:prstGeom prst="rect">
                      <a:avLst/>
                    </a:prstGeom>
                    <a:noFill/>
                  </pic:spPr>
                </pic:pic>
              </a:graphicData>
            </a:graphic>
          </wp:anchor>
        </w:drawing>
      </w:r>
    </w:p>
    <w:p>
      <w:pPr>
        <w:spacing w:after="0" w:line="241" w:lineRule="exact"/>
        <w:rPr>
          <w:sz w:val="20"/>
          <w:szCs w:val="20"/>
          <w:color w:val="auto"/>
        </w:rPr>
      </w:pPr>
    </w:p>
    <w:p>
      <w:pPr>
        <w:jc w:val="both"/>
        <w:ind w:left="760" w:hanging="334"/>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183" w:lineRule="exact"/>
        <w:rPr>
          <w:rFonts w:ascii="Arial" w:cs="Arial" w:eastAsia="Arial" w:hAnsi="Arial"/>
          <w:sz w:val="18"/>
          <w:szCs w:val="18"/>
          <w:color w:val="auto"/>
        </w:rPr>
      </w:pPr>
    </w:p>
    <w:p>
      <w:pPr>
        <w:jc w:val="both"/>
        <w:ind w:left="760" w:hanging="334"/>
        <w:spacing w:after="0" w:line="275"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176" w:lineRule="exact"/>
        <w:rPr>
          <w:rFonts w:ascii="Arial" w:cs="Arial" w:eastAsia="Arial" w:hAnsi="Arial"/>
          <w:sz w:val="17"/>
          <w:szCs w:val="17"/>
          <w:color w:val="auto"/>
        </w:rPr>
      </w:pPr>
    </w:p>
    <w:p>
      <w:pPr>
        <w:jc w:val="both"/>
        <w:ind w:left="760" w:hanging="334"/>
        <w:spacing w:after="0" w:line="275"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176" w:lineRule="exact"/>
        <w:rPr>
          <w:rFonts w:ascii="Arial" w:cs="Arial" w:eastAsia="Arial" w:hAnsi="Arial"/>
          <w:sz w:val="17"/>
          <w:szCs w:val="17"/>
          <w:color w:val="auto"/>
        </w:rPr>
      </w:pPr>
    </w:p>
    <w:p>
      <w:pPr>
        <w:ind w:left="760" w:hanging="334"/>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dependent on U.S. state laws and regulations and Canadian federal and provincial laws and regulations pertaining to the cannabis industry.</w:t>
      </w:r>
    </w:p>
    <w:p>
      <w:pPr>
        <w:spacing w:after="0" w:line="170" w:lineRule="exact"/>
        <w:rPr>
          <w:rFonts w:ascii="Arial" w:cs="Arial" w:eastAsia="Arial" w:hAnsi="Arial"/>
          <w:sz w:val="18"/>
          <w:szCs w:val="18"/>
          <w:color w:val="auto"/>
        </w:rPr>
      </w:pPr>
    </w:p>
    <w:p>
      <w:pPr>
        <w:ind w:left="760" w:right="20" w:hanging="334"/>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rapid changes in the cannabis industry and applicable laws and regulations make predicting and evaluating our future prospects difficult, and may increase the risk that we will not be successful.</w:t>
      </w:r>
    </w:p>
    <w:p>
      <w:pPr>
        <w:spacing w:after="0" w:line="170" w:lineRule="exact"/>
        <w:rPr>
          <w:rFonts w:ascii="Arial" w:cs="Arial" w:eastAsia="Arial" w:hAnsi="Arial"/>
          <w:sz w:val="18"/>
          <w:szCs w:val="18"/>
          <w:color w:val="auto"/>
        </w:rPr>
      </w:pPr>
    </w:p>
    <w:p>
      <w:pPr>
        <w:ind w:left="760" w:right="20" w:hanging="334"/>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our business is dependent, in part, upon continued market acceptance of cannabis by consumers, any negative trends could adversely affect our business operations.</w:t>
      </w:r>
    </w:p>
    <w:p>
      <w:pPr>
        <w:spacing w:after="0" w:line="170" w:lineRule="exact"/>
        <w:rPr>
          <w:rFonts w:ascii="Arial" w:cs="Arial" w:eastAsia="Arial" w:hAnsi="Arial"/>
          <w:sz w:val="18"/>
          <w:szCs w:val="18"/>
          <w:color w:val="auto"/>
        </w:rPr>
      </w:pPr>
    </w:p>
    <w:p>
      <w:pPr>
        <w:ind w:left="760" w:hanging="33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our business is dependent on the continued legalization of cannabis.</w:t>
      </w:r>
    </w:p>
    <w:p>
      <w:pPr>
        <w:spacing w:after="0" w:line="225" w:lineRule="exact"/>
        <w:rPr>
          <w:rFonts w:ascii="Arial" w:cs="Arial" w:eastAsia="Arial" w:hAnsi="Arial"/>
          <w:sz w:val="18"/>
          <w:szCs w:val="18"/>
          <w:color w:val="auto"/>
        </w:rPr>
      </w:pPr>
    </w:p>
    <w:p>
      <w:pPr>
        <w:ind w:left="760" w:right="20" w:hanging="334"/>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clients and consumers using our platform fail to provide high-quality content that attracts consumers, we may not be able to generate sufficient consumer traffic to remain competitive.</w:t>
      </w:r>
    </w:p>
    <w:p>
      <w:pPr>
        <w:spacing w:after="0" w:line="170" w:lineRule="exact"/>
        <w:rPr>
          <w:rFonts w:ascii="Arial" w:cs="Arial" w:eastAsia="Arial" w:hAnsi="Arial"/>
          <w:sz w:val="18"/>
          <w:szCs w:val="18"/>
          <w:color w:val="auto"/>
        </w:rPr>
      </w:pPr>
    </w:p>
    <w:p>
      <w:pPr>
        <w:ind w:left="760" w:right="20" w:hanging="334"/>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170" w:lineRule="exact"/>
        <w:rPr>
          <w:rFonts w:ascii="Arial" w:cs="Arial" w:eastAsia="Arial" w:hAnsi="Arial"/>
          <w:sz w:val="18"/>
          <w:szCs w:val="18"/>
          <w:color w:val="auto"/>
        </w:rPr>
      </w:pPr>
    </w:p>
    <w:p>
      <w:pPr>
        <w:ind w:left="760" w:right="20" w:hanging="334"/>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face intense competition in the cannabis information market, and we expect competition to further intensify as the cannabis industry continues to evolve.</w:t>
      </w:r>
    </w:p>
    <w:p>
      <w:pPr>
        <w:spacing w:after="0" w:line="170" w:lineRule="exact"/>
        <w:rPr>
          <w:rFonts w:ascii="Arial" w:cs="Arial" w:eastAsia="Arial" w:hAnsi="Arial"/>
          <w:sz w:val="18"/>
          <w:szCs w:val="18"/>
          <w:color w:val="auto"/>
        </w:rPr>
      </w:pPr>
    </w:p>
    <w:p>
      <w:pPr>
        <w:ind w:left="760" w:hanging="33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manage our growth effectively, our brand, business and operating results could be harmed.</w:t>
      </w:r>
    </w:p>
    <w:p>
      <w:pPr>
        <w:spacing w:after="0" w:line="225" w:lineRule="exact"/>
        <w:rPr>
          <w:rFonts w:ascii="Arial" w:cs="Arial" w:eastAsia="Arial" w:hAnsi="Arial"/>
          <w:sz w:val="18"/>
          <w:szCs w:val="18"/>
          <w:color w:val="auto"/>
        </w:rPr>
      </w:pPr>
    </w:p>
    <w:p>
      <w:pPr>
        <w:ind w:left="760" w:hanging="33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recruit, train, retain and motivate key personnel, we may not achieve our business objectives.</w:t>
      </w:r>
    </w:p>
    <w:p>
      <w:pPr>
        <w:spacing w:after="0" w:line="225" w:lineRule="exact"/>
        <w:rPr>
          <w:rFonts w:ascii="Arial" w:cs="Arial" w:eastAsia="Arial" w:hAnsi="Arial"/>
          <w:sz w:val="18"/>
          <w:szCs w:val="18"/>
          <w:color w:val="auto"/>
        </w:rPr>
      </w:pPr>
    </w:p>
    <w:p>
      <w:pPr>
        <w:jc w:val="both"/>
        <w:ind w:left="760" w:right="20" w:hanging="334"/>
        <w:spacing w:after="0" w:line="311"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148" w:lineRule="exact"/>
        <w:rPr>
          <w:rFonts w:ascii="Arial" w:cs="Arial" w:eastAsia="Arial" w:hAnsi="Arial"/>
          <w:sz w:val="16"/>
          <w:szCs w:val="16"/>
          <w:color w:val="auto"/>
        </w:rPr>
      </w:pPr>
    </w:p>
    <w:p>
      <w:pPr>
        <w:ind w:left="760" w:right="20" w:hanging="334"/>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170" w:lineRule="exact"/>
        <w:rPr>
          <w:rFonts w:ascii="Arial" w:cs="Arial" w:eastAsia="Arial" w:hAnsi="Arial"/>
          <w:sz w:val="18"/>
          <w:szCs w:val="18"/>
          <w:color w:val="auto"/>
        </w:rPr>
      </w:pPr>
    </w:p>
    <w:p>
      <w:pPr>
        <w:ind w:left="760" w:right="20" w:hanging="334"/>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79310" cy="5190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9310" cy="5190490"/>
                    </a:xfrm>
                    <a:prstGeom prst="rect">
                      <a:avLst/>
                    </a:prstGeom>
                    <a:noFill/>
                  </pic:spPr>
                </pic:pic>
              </a:graphicData>
            </a:graphic>
          </wp:anchor>
        </w:drawing>
      </w:r>
    </w:p>
    <w:p>
      <w:pPr>
        <w:spacing w:after="0" w:line="241" w:lineRule="exact"/>
        <w:rPr>
          <w:sz w:val="20"/>
          <w:szCs w:val="20"/>
          <w:color w:val="auto"/>
        </w:rPr>
      </w:pPr>
    </w:p>
    <w:p>
      <w:pPr>
        <w:ind w:left="760" w:hanging="33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70" w:lineRule="exact"/>
        <w:rPr>
          <w:rFonts w:ascii="Arial" w:cs="Arial" w:eastAsia="Arial" w:hAnsi="Arial"/>
          <w:sz w:val="18"/>
          <w:szCs w:val="18"/>
          <w:color w:val="auto"/>
        </w:rPr>
      </w:pPr>
    </w:p>
    <w:p>
      <w:pPr>
        <w:ind w:left="760" w:hanging="334"/>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payment system and the payment systems of our clients depend on third-party providers and are subject to evolving laws and regulations.</w:t>
      </w:r>
    </w:p>
    <w:p>
      <w:pPr>
        <w:spacing w:after="0" w:line="24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left="100" w:firstLine="324"/>
        <w:spacing w:after="0" w:line="290" w:lineRule="auto"/>
        <w:rPr>
          <w:sz w:val="20"/>
          <w:szCs w:val="20"/>
          <w:color w:val="auto"/>
        </w:rPr>
      </w:pPr>
      <w:r>
        <w:rPr>
          <w:rFonts w:ascii="Arial" w:cs="Arial" w:eastAsia="Arial" w:hAnsi="Arial"/>
          <w:sz w:val="16"/>
          <w:szCs w:val="16"/>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 The mailing address of our principal executive office is 41 Discovery, Irvine, California 92618. Our telephone number is (844) 933-3627.</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ind w:left="100" w:firstLine="324"/>
        <w:spacing w:after="0" w:line="275"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We will remain an emerging growth company under the JOBS Act until the earliest of (a) the last day of our first fiscal year following the fifth anniversary of Silver Spike’s IPO, (b) the last date of our fiscal year in which we have total annual gross revenue of at least $1.07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spacing w:after="0" w:line="176" w:lineRule="exact"/>
        <w:rPr>
          <w:sz w:val="20"/>
          <w:szCs w:val="20"/>
          <w:color w:val="auto"/>
        </w:rPr>
      </w:pPr>
    </w:p>
    <w:p>
      <w:pPr>
        <w:jc w:val="both"/>
        <w:ind w:left="100" w:firstLine="324"/>
        <w:spacing w:after="0" w:line="273" w:lineRule="auto"/>
        <w:rPr>
          <w:sz w:val="20"/>
          <w:szCs w:val="20"/>
          <w:color w:val="auto"/>
        </w:rPr>
      </w:pPr>
      <w:r>
        <w:rPr>
          <w:rFonts w:ascii="Arial" w:cs="Arial" w:eastAsia="Arial" w:hAnsi="Arial"/>
          <w:sz w:val="17"/>
          <w:szCs w:val="17"/>
          <w:color w:val="auto"/>
        </w:rPr>
        <w:t>We are also a “smaller reporting company” as defined in the Securities and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178" w:lineRule="exact"/>
        <w:rPr>
          <w:sz w:val="20"/>
          <w:szCs w:val="20"/>
          <w:color w:val="auto"/>
        </w:rPr>
      </w:pPr>
    </w:p>
    <w:p>
      <w:pPr>
        <w:jc w:val="both"/>
        <w:ind w:left="100" w:firstLine="324"/>
        <w:spacing w:after="0" w:line="277" w:lineRule="auto"/>
        <w:rPr>
          <w:sz w:val="20"/>
          <w:szCs w:val="20"/>
          <w:color w:val="auto"/>
        </w:rPr>
      </w:pPr>
      <w:r>
        <w:rPr>
          <w:rFonts w:ascii="Arial" w:cs="Arial" w:eastAsia="Arial" w:hAnsi="Arial"/>
          <w:sz w:val="18"/>
          <w:szCs w:val="18"/>
          <w:color w:val="auto"/>
        </w:rPr>
        <w:t>As a result, the information in this prospectus and that we provide to our investors in the future may be different than what you might receive from other public reporting companies.</w:t>
      </w:r>
    </w:p>
    <w:p>
      <w:pPr>
        <w:spacing w:after="0" w:line="170" w:lineRule="exact"/>
        <w:rPr>
          <w:sz w:val="20"/>
          <w:szCs w:val="20"/>
          <w:color w:val="auto"/>
        </w:rPr>
      </w:pPr>
    </w:p>
    <w:p>
      <w:pPr>
        <w:ind w:left="100" w:right="600" w:firstLine="324"/>
        <w:spacing w:after="0" w:line="277" w:lineRule="auto"/>
        <w:rPr>
          <w:sz w:val="20"/>
          <w:szCs w:val="20"/>
          <w:color w:val="auto"/>
        </w:rPr>
      </w:pPr>
      <w:r>
        <w:rPr>
          <w:rFonts w:ascii="Arial" w:cs="Arial" w:eastAsia="Arial" w:hAnsi="Arial"/>
          <w:sz w:val="18"/>
          <w:szCs w:val="18"/>
          <w:color w:val="auto"/>
        </w:rPr>
        <w:t>We will no longer qualify as an emerging growth company or a smaller reporting company for Securities Act or Exchange Act reporting after December 31, 2021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jc w:val="both"/>
        <w:spacing w:after="0" w:line="234" w:lineRule="auto"/>
        <w:framePr w:w="5620" w:h="808" w:wrap="auto" w:vAnchor="page" w:hAnchor="page" w:x="5940" w:y="2936"/>
        <w:rPr>
          <w:rFonts w:ascii="Arial" w:cs="Arial" w:eastAsia="Arial" w:hAnsi="Arial"/>
          <w:sz w:val="18"/>
          <w:szCs w:val="18"/>
          <w:color w:val="auto"/>
        </w:rPr>
      </w:pPr>
      <w:r>
        <w:rPr>
          <w:rFonts w:ascii="Arial" w:cs="Arial" w:eastAsia="Arial" w:hAnsi="Arial"/>
          <w:sz w:val="18"/>
          <w:szCs w:val="18"/>
          <w:color w:val="auto"/>
        </w:rPr>
        <w:t>Certain of our stockholders are subject to certain restrictions on transfer until the termination of applicable lock-up periods. See the section entitled “Certain Relationships and Related Party Transactions” for further discussion.</w:t>
      </w:r>
    </w:p>
    <w:p>
      <w:pPr>
        <w:spacing w:after="0" w:line="218" w:lineRule="auto"/>
        <w:framePr w:w="5620" w:h="376" w:wrap="auto" w:vAnchor="page" w:hAnchor="page" w:x="5940" w:y="4016"/>
        <w:rPr>
          <w:rFonts w:ascii="Arial" w:cs="Arial" w:eastAsia="Arial" w:hAnsi="Arial"/>
          <w:sz w:val="18"/>
          <w:szCs w:val="18"/>
          <w:color w:val="auto"/>
        </w:rPr>
      </w:pPr>
      <w:r>
        <w:rPr>
          <w:rFonts w:ascii="Arial" w:cs="Arial" w:eastAsia="Arial" w:hAnsi="Arial"/>
          <w:sz w:val="18"/>
          <w:szCs w:val="18"/>
          <w:color w:val="auto"/>
        </w:rPr>
        <w:t>Our Class A Common Stock is currently traded on Nasdaq under the symbol “MAPS.”</w:t>
      </w:r>
    </w:p>
    <w:p>
      <w:pPr>
        <w:jc w:val="both"/>
        <w:spacing w:after="0" w:line="228" w:lineRule="auto"/>
        <w:framePr w:w="5620" w:h="592" w:wrap="auto" w:vAnchor="page" w:hAnchor="page" w:x="5940" w:y="4664"/>
        <w:rPr>
          <w:rFonts w:ascii="Arial" w:cs="Arial" w:eastAsia="Arial" w:hAnsi="Arial"/>
          <w:sz w:val="18"/>
          <w:szCs w:val="18"/>
          <w:color w:val="auto"/>
        </w:rPr>
      </w:pPr>
      <w:r>
        <w:rPr>
          <w:rFonts w:ascii="Arial" w:cs="Arial" w:eastAsia="Arial" w:hAnsi="Arial"/>
          <w:sz w:val="18"/>
          <w:szCs w:val="18"/>
          <w:color w:val="auto"/>
        </w:rPr>
        <w:t>See the section entitled “Risk Factors” and other information included in this prospectus for a discussion of factors you should consider before investing in our securities.</w:t>
      </w:r>
    </w:p>
    <w:p>
      <w:pPr>
        <w:spacing w:after="0" w:line="218" w:lineRule="auto"/>
        <w:framePr w:w="5620" w:h="376" w:wrap="auto" w:vAnchor="page" w:hAnchor="page" w:x="5940" w:y="2288"/>
        <w:rPr>
          <w:rFonts w:ascii="Arial" w:cs="Arial" w:eastAsia="Arial" w:hAnsi="Arial"/>
          <w:sz w:val="18"/>
          <w:szCs w:val="18"/>
          <w:color w:val="auto"/>
        </w:rPr>
      </w:pPr>
      <w:r>
        <w:rPr>
          <w:rFonts w:ascii="Arial" w:cs="Arial" w:eastAsia="Arial" w:hAnsi="Arial"/>
          <w:sz w:val="18"/>
          <w:szCs w:val="18"/>
          <w:color w:val="auto"/>
        </w:rPr>
        <w:t>We will not receive any proceeds from the sale of shares of Class A Common Stock by the Selling Securityholders.</w:t>
      </w:r>
    </w:p>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79310" cy="32702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310" cy="3270250"/>
                    </a:xfrm>
                    <a:prstGeom prst="rect">
                      <a:avLst/>
                    </a:prstGeom>
                    <a:noFill/>
                  </pic:spPr>
                </pic:pic>
              </a:graphicData>
            </a:graphic>
          </wp:anchor>
        </w:drawing>
      </w:r>
    </w:p>
    <w:p>
      <w:pPr>
        <w:spacing w:after="0" w:line="237" w:lineRule="exact"/>
        <w:rPr>
          <w:rFonts w:ascii="Arial" w:cs="Arial" w:eastAsia="Arial" w:hAnsi="Arial"/>
          <w:sz w:val="18"/>
          <w:szCs w:val="18"/>
          <w:color w:val="auto"/>
        </w:rPr>
      </w:pPr>
    </w:p>
    <w:p>
      <w:pPr>
        <w:ind w:left="4980"/>
        <w:spacing w:after="0"/>
        <w:rPr>
          <w:sz w:val="20"/>
          <w:szCs w:val="20"/>
          <w:color w:val="auto"/>
        </w:rPr>
      </w:pPr>
      <w:r>
        <w:rPr>
          <w:rFonts w:ascii="Arial" w:cs="Arial" w:eastAsia="Arial" w:hAnsi="Arial"/>
          <w:sz w:val="18"/>
          <w:szCs w:val="18"/>
          <w:b w:val="1"/>
          <w:bCs w:val="1"/>
          <w:color w:val="auto"/>
        </w:rPr>
        <w:t>THE OFFERING</w:t>
      </w:r>
    </w:p>
    <w:p>
      <w:pPr>
        <w:spacing w:after="0" w:line="225" w:lineRule="exact"/>
        <w:rPr>
          <w:rFonts w:ascii="Arial" w:cs="Arial" w:eastAsia="Arial" w:hAnsi="Arial"/>
          <w:sz w:val="18"/>
          <w:szCs w:val="18"/>
          <w:color w:val="auto"/>
        </w:rPr>
      </w:pPr>
    </w:p>
    <w:p>
      <w:pPr>
        <w:ind w:left="100"/>
        <w:spacing w:after="0"/>
        <w:tabs>
          <w:tab w:leader="none" w:pos="5640" w:val="left"/>
        </w:tabs>
        <w:rPr>
          <w:sz w:val="20"/>
          <w:szCs w:val="20"/>
          <w:color w:val="auto"/>
        </w:rPr>
      </w:pPr>
      <w:r>
        <w:rPr>
          <w:rFonts w:ascii="Arial" w:cs="Arial" w:eastAsia="Arial" w:hAnsi="Arial"/>
          <w:sz w:val="18"/>
          <w:szCs w:val="18"/>
          <w:b w:val="1"/>
          <w:bCs w:val="1"/>
          <w:color w:val="auto"/>
        </w:rPr>
        <w:t>Issuer</w:t>
      </w:r>
      <w:r>
        <w:rPr>
          <w:sz w:val="20"/>
          <w:szCs w:val="20"/>
          <w:color w:val="auto"/>
        </w:rPr>
        <w:tab/>
      </w:r>
      <w:r>
        <w:rPr>
          <w:rFonts w:ascii="Arial" w:cs="Arial" w:eastAsia="Arial" w:hAnsi="Arial"/>
          <w:sz w:val="18"/>
          <w:szCs w:val="18"/>
          <w:color w:val="auto"/>
        </w:rPr>
        <w:t>WM Technology, Inc.</w:t>
      </w:r>
    </w:p>
    <w:p>
      <w:pPr>
        <w:spacing w:after="0" w:line="225"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b w:val="1"/>
          <w:bCs w:val="1"/>
          <w:color w:val="auto"/>
        </w:rPr>
        <w:t>Resale of Class A Common Stock</w:t>
      </w:r>
    </w:p>
    <w:p>
      <w:pPr>
        <w:spacing w:after="0" w:line="225"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6"/>
          <w:szCs w:val="16"/>
          <w:b w:val="1"/>
          <w:bCs w:val="1"/>
          <w:color w:val="auto"/>
        </w:rPr>
        <w:t>Shares of Class A Common Stock Offered by the Selling Securityholders</w:t>
      </w:r>
      <w:r>
        <w:rPr>
          <w:rFonts w:ascii="Arial" w:cs="Arial" w:eastAsia="Arial" w:hAnsi="Arial"/>
          <w:sz w:val="16"/>
          <w:szCs w:val="16"/>
          <w:color w:val="auto"/>
        </w:rPr>
        <w:t>Up to 1,938,798 shares of Class A Common Stock.</w:t>
      </w:r>
    </w:p>
    <w:p>
      <w:pPr>
        <w:spacing w:after="0" w:line="248"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b w:val="1"/>
          <w:bCs w:val="1"/>
          <w:color w:val="auto"/>
        </w:rPr>
        <w:t>Lock-Up Restrictions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b w:val="1"/>
          <w:bCs w:val="1"/>
          <w:color w:val="auto"/>
        </w:rPr>
        <w:t>Market for Class A Common Stock</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6" w:lineRule="exact"/>
        <w:rPr>
          <w:rFonts w:ascii="Arial" w:cs="Arial" w:eastAsia="Arial" w:hAnsi="Arial"/>
          <w:sz w:val="18"/>
          <w:szCs w:val="18"/>
          <w:color w:val="auto"/>
        </w:rPr>
      </w:pPr>
    </w:p>
    <w:p>
      <w:pPr>
        <w:ind w:left="5580"/>
        <w:spacing w:after="0"/>
        <w:rPr>
          <w:sz w:val="20"/>
          <w:szCs w:val="20"/>
          <w:color w:val="auto"/>
        </w:rPr>
      </w:pPr>
      <w:r>
        <w:rPr>
          <w:rFonts w:ascii="Arial" w:cs="Arial" w:eastAsia="Arial" w:hAnsi="Arial"/>
          <w:sz w:val="14"/>
          <w:szCs w:val="14"/>
          <w:color w:val="auto"/>
        </w:rPr>
        <w:t>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is subject to a number of risks, any of which could have an adverse effect on our business financial condition, operating results, or prospects:</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our costs increase, we may not be able to generate sufficient revenue to maintain profitability in the future.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retain our existing clients and consumers or to acquire new clients and consumers in a cost-effective manner, our revenue may decrease and our business may be harmed.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fail to offer the optimal pricing of our products and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expand effectively into new markets, our revenue and business will be adversely affected.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business is concentrated in California, and, as a result, our performance may be affected by factors unique to the California market.</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183"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176"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17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dependent on U.S. state laws and regulations and Canadian federal and provincial laws and regulations pertaining to the cannabis industry.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rapid changes in the cannabis industry and applicable laws and regulations make predicting and evaluating our future prospects difficult, and may increase the risk that we will not be successful.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our business is dependent, in part, upon continued market acceptance of cannabis by consumers, any negative trends could adversely affect our business operations.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of our business is dependent on the continued legalization of cannabis.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clients and consumers using our platform fail to provide high-quality content that attracts consumers, we may not be able to generate sufficient consumer traffic to remain competitive.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currently face intense competition in the cannabis information market, and we expect competition to further intensify as the cannabis industry continues to evolve.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manage our growth effectively, our brand, business and operating results could be harmed.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recruit, train, retain and motivate key personnel, we may not achieve our business objectives.</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payment system and the payment systems of our clients depend on third-party providers and are subject to evolving laws and regulations.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 our costs increase, we may not be able to generate sufficient revenue to maintain profitability in the future.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our revenue has grown in recent periods, this growth may not be sustainable due to a number of factors, including the maturation of our business and the eventual decline in the number of new major geographic markets in which the sale of cannabis is permitted and to which we have not already expanded. We may not be able to generate sufficient revenue to sustain profitability. Additionally, we expect our costs to increase in future periods as we expend substantial financial and other resources on, among other things:</w:t>
      </w:r>
    </w:p>
    <w:p>
      <w:pPr>
        <w:spacing w:after="0" w:line="18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and marketing, including continued investment in our current marketing efforts and future marketing initiatives;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hiring of additional employees, including our product and engineering teams;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expansion domestically and internationally in an effort to increase our client usage, client base, and our sales to our clients;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of new products, and increased investment in the ongoing development of our existing products;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660" w:right="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administration, including a significant increase in legal and accounting expenses related to public company compliance, continued compliance with various regulations applicable to cannabis industry businesses and other work arising from the growth and maturity of our company.</w:t>
      </w:r>
    </w:p>
    <w:p>
      <w:pPr>
        <w:spacing w:after="0" w:line="18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These expenditures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spacing w:after="0" w:line="1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compete in a dynamic, innovative market, which we expect will continue to evolve rapidly. We believe that our success is dependent on our ability to continue identifying and anticipating the needs of our clients and consumers and growing our two-sided network by retaining our existing clients and consumers and adding new clients and consumers. This two-sided network takes time to build and may grow more slowly than we expect or than it has grown in the past. As we have become larger through organic growth, the growth rates for MAUs, number of paying clients and monthly revenue per client have at times slowed and may similarly slow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network will be diminished.</w:t>
      </w:r>
    </w:p>
    <w:p>
      <w:pPr>
        <w:spacing w:after="0" w:line="19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the costs associated with client and consumer retention are substantially lower than costs associated with the acquisition of new clients or consumers. We have incurred significant costs to attract clients to our platform and expect to incur significant additional costs to attract and retain clients for the foreseeable future. Because expenditures on our platform can represent a significant financial investment for our clients, our ability to retain clients depends in part on our ability to create and maintain high levels of client satisfaction, which we may not always be capable of providing, including for reasons outside of our control. Our clients generally do not have long-term obligations to purchase our products and solutions and may cancel their use of our products and solutions at any time without penalty. Thus, any decrease in client satisfaction or other change negatively affecting our ability to retain clients could result in a rapid, concentrated impact to our results going forward. Therefore, our failure to retain existing clients or consumers, even if such losses are offset by an increase in revenue resulting from the acquisition of new clients or consumers, could have an adverse effect on our business and operating results.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fail to offer the optimal pricing of our products and solutions.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limited experience in determining the optimal pricing of our products and solutions, and we may need to change our pricing model from time to time. For example, we recently changed our pricing model for our subscription software services to our WM Business bundled software services model and increased the amount our clients need to pay to access our listing products. We also have historically priced our add-on premium offerings in a bid-auction format. Our ability to continue growing depends on our ability to maintain and expand our client base. If our clients do not believe the incremental additional cost we are charging for WM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fail to expand effectively into new markets, our revenue and business will be adversely affected.</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While a key part of our business strategy is to add clients and consumers in our existing geographic markets, we intend to expand our operations into new markets if and as cannabis continues to be legalized. Any such expansion places us in competitive markets with which we may be unfamiliar, requires us to analyze the potential applicability of new and potentially complicated regulations regarding the usage, sale and marketing of cannabis, and involves various risks, including the need to invest significant time and resources and the possibility that returns on such investments will not be achieved for several years, if at all. As a result of such expansion, we may incur losses or otherwise fail to enter new markets successfully. In attempting to establish a presence in new markets, we expect to incur significant expenses and face various other challenges, such as expanding our compliance efforts to cover those new markets. For example, in 2020, we re-launched our sales and marketing efforts in the state of Oregon, and we have incurred and expect to continue to incur significant expenses selling our business solutions and marketing our platform in that market.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business is concentrated in California, and, as a result, our performance may be affected by factors unique to the California market.</w:t>
      </w:r>
    </w:p>
    <w:p>
      <w:pPr>
        <w:spacing w:after="0" w:line="24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California represents one of the largest state legal cannabis markets in the United States, and approximately 64.1% of our revenue for the nine months ended September 30, 2021, was generated in California. As new markets develop and our current markets expand, we anticipate that there will be a reduction in the percentage of our revenue 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trends in the California cannabis market, as well as adverse economic, regulatory, political and other conditions in California. Additionally, adverse economic, regulatory, political or other developments that are limited to California may have a disproportionately greater effect on us.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(“DOJ”) withdrew a subpoena served on us in September 2019, and informed us that it had no present plan to exercise its discretion to proceed further in the matter. The DOJ also stated that its decision was not a grant of immunity, however, and there can be no assurance that the DOJ — either the U.S. Attorney’s Office for the Eastern District of California or another DOJ entity — will not initiate another investigation in the future.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1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licensed status of our clients operating cannabis retail businesses, where we have historically and currently require such clients who request access to our WM Orders, WM Store’s orders feature, WM Ads, WM Retail, or WM Exchange products to provide evidence of a valid state or provincial cannabis license prior to their initial access and from time to time during the term of their use of such products. We have recently begun requiring similar evidence for retail listings clients. Previously, we only required retail listings and premium placement clients to provide us with a state license number at the time we initially onboarded them, and did not routinely validate whether that license number actually belonged to the client or whether it remains valid. We require all operational cannabis retailer clients, including storefronts and delivery services, to display on their listing a valid, unexpired state-issued license number. We also do not currently require cannabis brand clients to provide a valid license number in order to get access to our listings and premium placement products. As a result, some of our clients or their listings currently and in the future may not be in compliance with licensing and related requirements under applicable state laws and regulations. There could be legal enforcement actions against unlicensed or insufficiently licensed entities selling cannabis, which could negatively impact us.</w:t>
      </w:r>
    </w:p>
    <w:p>
      <w:pPr>
        <w:spacing w:after="0" w:line="17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b w:val="1"/>
          <w:bCs w:val="1"/>
          <w:i w:val="1"/>
          <w:iCs w:val="1"/>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1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While our solutions provide features to support our clients’ compliance with certain regulations and other legal requirements applicable to the cannabis industry, we generally do not, and cannot, ensure that our clients will conduct their business activities in a manner compliant with such regulations and requirements, in whole or in part. Their legal noncompliance could result in regulatory and even criminal actions against them, which could a material adverse impact on our business and operating results or financial condition, and as a result, our investors could lose their entire investment. For additional information, see the other risk factors in this section entitled “Risk Factors—Risks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Our business is dependent on U.S. state laws and regulations and Canadian federal and provincial laws and regulations pertaining to the cannabis industry.</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Although the federal CSA classifies cannabis as a Schedule I controlled substance, many U.S. states have legalized cannabis to varying degrees. In addition, the enactment of the Cannabis Act legalized the commercial cultivation and processing of cannabis for medical and adult-use purposes in Canada and created a federal legal framework for controlling the production, distribution, promotion, sale and possession of cannabis. The Cannabis Act also provides the provinces and territories of Canada with the authority to regulate other aspects of adult-use cannabis, such as distribution, sale, minimum age requirements (subject to the minimum set forth in the Cannabis Act), places where cannabis can be consumed, and a range of other matters. The governments of every Canadian province and territory have implemented regulatory regimes for the distribution and sale of cannabis for recreational purposes. In addition, subsection 23(1) of the Cannabis Act provides that it is prohibited to publish, broadcast or otherwise disseminate, on behalf of another person, with or without consideration, any promotion that is prohibited by a number of sections of the Cannabis Act. The Cannabis Act therefore includes provisions that could apply to certain aspects of our business, both directly to the solutions we provide and indirectly on account of any noncompliance by those who use our offerings. However, as the Cannabis Act has been recently enacted, there is a lack of available interpretation, application and enforcement of the provisions that may be relevant to digital platforms such as ours, and as a result, it is difficult to assess our potential exposure under the Cannabis Act.</w:t>
      </w:r>
    </w:p>
    <w:p>
      <w:pPr>
        <w:spacing w:after="0" w:line="1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Laws and regulations affecting the cannabis industry in U.S. states and Canada are continually changing. Any change or even the speed of changes could require us to incur substantial costs associated with compliance or alter our business plan, and could detrimentally affect our operations, revenue, and profitability.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17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Given the concentration of our revenue from the sale of listing products, any increase in the stringency of any applicable laws, including U.S. state, or Canadian federal, provincial or territorial,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U.S. and Canadian federal, state, provincial, local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17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cannabis industry - and the complex regulatory regime applicable to it -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184"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managing complex, disparate and rapidly evolving regulatory regimes imposed by U.S. and Canadian federal, state and provincial, local and other non-U.S. governments around the world applicable to cannabis and cannabis-related businesses;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adapting to rapidly evolving trends in the cannabis industry and the way consumers and cannabis industry businesses interact with technology;</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and increasing our base of clients and consumers;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continuing to preserve and build our brand while upgrading our existing offerings;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attracting, hiring, and retaining qualified personnel to manage operations;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adapting to changes in the cannabis industry if sales of cannabis expands significantly beyond a regulated model, and commodification of the cannabis industry;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implementing and executing our business and marketing strategies;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expanding our business into new and existing cannabis markets.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If the demand for our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Because our business is dependent, in part, upon continued market acceptance of cannabis by consumers, any negative trends could adversely affect our business operations.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dependent on public support, continued market acceptance and the proliferation of consumers in the state-level and Canadian legal cannabis markets.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Expansion of our business is dependent on the continued legalization of cannabis.</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Expansion of our business is in part dependent upon continued legislative authorization, including by voter initiatives and referenda, of cannabis in various jurisdictions worldwide. Any number of factors could slow, halt, or even reverse progress in this area. For example, some ballot measures in 2020 were delayed due to the COVID-19 pandemic.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 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 regulation that allows cannabis businesses to deliver products in local jurisdictions that have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More litigation is likely to follow if local governments ban deliveries into their jurisdictions. This result may negatively impact the viability and attractiveness of our offerings in California going forward. We generated approximately 64.1% of our revenue for the nine months ended September 30,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3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if we filter out helpful content or fail to filter out unhelpful content, clients and consumers alike may stop or reduce their use of our platform and products, which could negatively impact our business. For example, in 2016, the media reported allegations that many of the consumer-generated reviews on our website were fake or inauthentic.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w:t>
      </w:r>
    </w:p>
    <w:p>
      <w:pPr>
        <w:spacing w:after="0" w:line="19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efficacy of our marketing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 high-quality, innovative, and error- and bug-free platform;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high satisfaction among clients and consumers;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quality and perceived value of our platform;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implementing and developing new features, including alternative revenue streams;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maintain and enforce trademarks and other indicia of origin that are valuable to our brand;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differentiate our platform from competitors’ products;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compliance with laws and regulations, including those applicable to any political action committees affiliated with us and to our registered lobbying activities;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provide client support;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actual or perceived data breach or data loss, or misuse or perceived misuse of our platform.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our brand recognition and reputation may be affected by factors that are outside our control, such as: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actions of competitors or other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quality and timeliness of our clients’ delivery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consumers’ experiences with clients or products identified through our platform;</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interruptions, delays or attacks on our platform;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or regulatory developments.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We currently face intense competition in the cannabis information market, and we expect competition to further intensify as the cannabis industry continues to evolve.</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of our platform include cannabis-focused, two-sided networks like Leafly (for retailer listing pages), Dutchie and Jane Technologies (for menu embed and orders functionality), Leaflink (for B2B sales) and a variety of cannabis-focused point-of-sale providers.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with substantially greater financial, technical, and other resources than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marketing budgets.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as the legalization of cannabis continues, cannabis cultivators and distributors could experience consolidation as existing cannabis businesses seek to obtain greater market share and purchasing power and new entrants seek to establish a significant market presence. Consolidation of the cannabis markets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1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fail to manage our growth effectively, our brand, business and operating results could be harmed.</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have experienced rapid organic growth in our headcount and operations, which places substantial demands on management and our operational infrastructure. As a result of our rapid growth, many of our employees have been with us for less than 24 months. To manage the expected growth of our operations and personnel, we will be required to improve existing, and implement new, transaction-processing, operational and financial systems, procedures and controls. We will also be required to expand our finance, administrative and operations staff. We intend to continue making substantial investments in our technology, sales and data infrastructure. As we continue to grow, we must effectively integrate, develop and motivate a significant number of new employees, while maintaining the beneficial aspects of our existing corporate culture, which we believe fosters innovation, teamwork and a passion for our products and clients. In addition, our revenue may not grow at the same rate as the expansion of our business. There can be no assurance that our current and planned personnel, systems, procedures and controls will be adequate to support our future operations or that management will be able to hire, train, retrain, motivate and manage required personnel. If we are unable to manage our growth effectively, the quality of our platform, efficiency of our operations, and management of our expenses could suffer, which could negatively impact our brand, business, profitability and operating results.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are unable to recruit, train, retain and motivate key personnel, we may not achieve our business objectives.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future success depends on our ability to recruit, train, retain and motivate key personnel, including Christopher Beals, our Chief Executive Officer; Brian Camire, our General Counsel; Justin Dean, our Chief Technology Officer and Chief Information Officer; Juanjo Feijoo, our Chief Operating Officer; and Arden Lee, our Chief Financial Officer. 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We generally do not maintain fixed term employment contracts or key man life insurance with any of our employees. Any failure to attract, train, retain and motivate qualified personnel could materially harm our operating results and growth prospects.</w:t>
      </w:r>
    </w:p>
    <w:p>
      <w:pPr>
        <w:spacing w:after="0" w:line="19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14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17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Visits to our website could also decline if our accounts on Facebook, Instagram or Twitter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in 2015.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may need to employ more resource-intensive sales methods, such as increasing our enterprise or field sales teams,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extent we are not able to continue successfully improving and enhancing our platform, our business could be adversely affected.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payment system and the payment systems of our clients depend on third-party providers and are subject to evolving laws and regulations.</w:t>
      </w:r>
    </w:p>
    <w:p>
      <w:pPr>
        <w:spacing w:after="0" w:line="24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have engaged third-party service providers to perform credit and debit card processing services for client’s payments to us, and we understand that some of our clients use those services, and we may engage third-party service providers in the future to provide fraud analysis services. If these service providers do not perform adequately or if our relationships, or the relationships of our clients, with these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and cannabis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 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17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Further, through our agreement with our third-party credit card processors, we are subject to payment card association operating rules and certification requirements, including restrictions on product mix and the Payment Card Industry Data Security Standard, or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As a result, the data we report may not be accurate.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client base, or traffic levels; if we discover material inaccuracies in our metrics; or if the metrics we rely on to track our performance do not provide an accurate measurement of our business, user or client base or traffic levels, we may not be able to effectively implement our business strategy, our reputation may be harmed, and our operating and financial results could be adversely affected.</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clients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unable to prevent others from aggregating or misappropriating data from our websites.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Real or perceived errors, failures, or bugs in our platform could adversely affect our operating results and growth prospects.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update our platform on a frequent basis. Despite efforts to test our updates, errors, failures or bugs may not be found in our platform until after it is deployed to our clients. We have discovered and expect we will continue to discover errors, failures and bugs in our platform and anticipate that certain of these errors, failures and bugs will only be discovered and remediated after deployment to clients. Real or perceived errors, failures or bugs in our platform could result in negative publicity, security incidents, such as data breaches, government inquiries, loss of or delay in market acceptance of our platform, loss of competitive position, or claims by clients for losses sustained by them. In such an event, we may be required, or may choose, for client relations or other reasons, to expend additional resources in order to help correct the problem.</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w:t>
      </w:r>
    </w:p>
    <w:p>
      <w:pPr>
        <w:spacing w:after="0" w:line="178" w:lineRule="exact"/>
        <w:rPr>
          <w:sz w:val="20"/>
          <w:szCs w:val="20"/>
          <w:color w:val="auto"/>
        </w:rPr>
      </w:pPr>
    </w:p>
    <w:p>
      <w:pPr>
        <w:jc w:val="both"/>
        <w:ind w:firstLine="324"/>
        <w:spacing w:after="0" w:line="381" w:lineRule="auto"/>
        <w:rPr>
          <w:sz w:val="20"/>
          <w:szCs w:val="20"/>
          <w:color w:val="auto"/>
        </w:rPr>
      </w:pPr>
      <w:r>
        <w:rPr>
          <w:rFonts w:ascii="Arial" w:cs="Arial" w:eastAsia="Arial" w:hAnsi="Arial"/>
          <w:sz w:val="15"/>
          <w:szCs w:val="15"/>
          <w:b w:val="1"/>
          <w:bCs w:val="1"/>
          <w:i w:val="1"/>
          <w:iCs w:val="1"/>
          <w:color w:val="auto"/>
        </w:rPr>
        <w:t>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10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may become subject to DDoS attacks, a technique used by hackers to take an internet service offline by overloading its servers. In addition, ransomware attacks against businesses of all sizes are becoming increasingly common. Further, as a result of the COVID-19 pandemic, we may face increased cybersecurity risks due to our reliance on internet technology and the number of our employees who are working remotely, which may create additional opportunities for cybercriminals to exploit vulnerabilities. Our platform may be subject to DDoS, ransomware or other cybersecurity attacks in the future and we cannot guarantee that applicable recovery systems, security protocols, network protection mechanisms and other procedures are or will be adequate to prevent network and service interruption, system failure or data loss. Moreover, our platform could be breached if vulnerabilities in our platform are exploited by unauthorized third parties or others. Techniques used to obtain unauthorized access change frequently, and the size of DDoS attacks and the number and types of ransomware attacks are increasing. As a result, we may be unable to implement adequate preventative measures or stop such attacks while they are occurring. A DDoS attack, ransomware attack or security breach could delay or interrupt service to our clients and consumers and may deter the utilization of our platform.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also use information technology and security systems to maintain the physical security of our facilities and to protect our proprietary and confidential information, including that of our clients, consumers, and employees. Accidental or willful security breaches or other unauthorized access to our facilities or information systems, or viruses, loggers, malware, ransomware, or other malfeasant code in our data or software, could compromise this information or render our systems and data unusable.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Any security breaches or other unauthorized access to our service providers’ facilities or systems, or viruses, loggers, malware, ransomware or other malfeasant code in their data or software, could expose us to information loss, and misappropriation of confidential information, and other security breaches. In addition, our employees, contractors, or other third parties with whom we do business may attempt to circumvent security measures in order to misappropriate personal information, confidential information or other data, or may inadvertently release or compromise such data. Because the techniques used to obtain unauthorized access to or sabotage security systems, or to obtain unauthorized access to data we or our contractors maintain, change frequently and are often not recognized until after an attack, we and our service providers may be unable to anticipate the techniques or implement adequate preventative measures.</w:t>
      </w:r>
    </w:p>
    <w:p>
      <w:pPr>
        <w:spacing w:after="0" w:line="1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actual or perceived DDoS attack, ransomware attack, security breach or other unauthorized access could damage our reputation and brand, result in decreased utilization of our platform, expose us to fines and penalties, government investigations, and a risk of litigation and possible liability, require us to expend significant capital and other resources to alleviate any resulting problems and otherwise to remediate the incident, and require us to expend increased cybersecurity protection costs. We expect to incur significant costs in an effort to detect and prevent security breaches and other security-related incidents. Numerous state, federal and foreign laws and regulations require companies to notify individuals and/or regulatory authorities of data security breaches involving certain types of personal data. Any disclosures of security breaches,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Additionally, our discovery of any security breach or other security-related incident, or our provision of any related notice, may be delayed or be perceived to have been delayed. Any of these impacts or circumstances arising from an actual or perceived attack, breach or other unauthorized access could materially and adversely affect our business, financial condition, reputation and relationships with clients and consumers.</w:t>
      </w:r>
    </w:p>
    <w:p>
      <w:pPr>
        <w:spacing w:after="0" w:line="16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We rely upon cloud-based data centers, infrastructure and technologies provided by third parties, and technology systems and electronic networks supplied and managed by third parties, to operate our business, and interruptions or performance problems with these systems, technologies and networks may adversely affect our business and operating results.</w:t>
      </w:r>
    </w:p>
    <w:p>
      <w:pPr>
        <w:spacing w:after="0" w:line="184" w:lineRule="exact"/>
        <w:rPr>
          <w:sz w:val="20"/>
          <w:szCs w:val="20"/>
          <w:color w:val="auto"/>
        </w:rPr>
      </w:pPr>
    </w:p>
    <w:p>
      <w:pPr>
        <w:jc w:val="both"/>
        <w:ind w:firstLine="372"/>
        <w:spacing w:after="0" w:line="257" w:lineRule="auto"/>
        <w:rPr>
          <w:sz w:val="20"/>
          <w:szCs w:val="20"/>
          <w:color w:val="auto"/>
        </w:rPr>
      </w:pPr>
      <w:r>
        <w:rPr>
          <w:rFonts w:ascii="Arial" w:cs="Arial" w:eastAsia="Arial" w:hAnsi="Arial"/>
          <w:sz w:val="18"/>
          <w:szCs w:val="18"/>
          <w:color w:val="auto"/>
        </w:rPr>
        <w:t>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do not control, or in some cases have limited control over, the operation of the data center facilities and infrastructure we use, and they are vulnerable to damage or interruption from earthquakes, floods, fires, power loss, telecommunications failures, cyberattack, terrorism and similar other events. They may also be subject to break-ins, sabotage, intentional acts of vandalism and similar misconduct, to adverse events caused by operator error, and to interruptions, data loss or corruption, and other performance problems due to various factors, including introductions of new capabilities, technology errors, infrastructure changes, DDoS attacks, or other security-related incidents. Changes in law or regulations applicable to data centers in various jurisdictions could also cause a disruption in service.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platform operations and the loss, corruption of, unauthorized access to or acquisition of client or consumer data.</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platform also depends on our ability to communicate through the public internet and electronic networks that are owned and operated by third parties. In addition, in order to provide our solutions on-demand and promptly, our computer equipment and network servers must be functional 24 hours per day, which requires access to telecommunications facilities managed by third parties and the availability of electricity, which we do not control. A severe disruption of one or more of these networks or facilities, including as a result of utility or third-party system interruptions, could impair our ability to process information and provide our solutions to our clients and consumers.</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unavailability of, or failure to meet our requirements by, third-party data centers or other third-party technologies or services, or any disruption of the internet, utilities or the third-party networks or facilities that we rely upon, could impede our ability to make our platform accessible, harm our reputation, result in reduced traffic from consumers, cause us to issue refunds or credits to our clients, and subject us to potential liabilities. Any of these circumstances could adversely affect our business, reputation and operating results.</w:t>
      </w:r>
    </w:p>
    <w:p>
      <w:pPr>
        <w:spacing w:after="0" w:line="187" w:lineRule="exact"/>
        <w:rPr>
          <w:sz w:val="20"/>
          <w:szCs w:val="20"/>
          <w:color w:val="auto"/>
        </w:rPr>
      </w:pPr>
    </w:p>
    <w:p>
      <w:pPr>
        <w:jc w:val="both"/>
        <w:ind w:firstLine="324"/>
        <w:spacing w:after="0" w:line="340" w:lineRule="auto"/>
        <w:rPr>
          <w:sz w:val="20"/>
          <w:szCs w:val="20"/>
          <w:color w:val="auto"/>
        </w:rPr>
      </w:pPr>
      <w:r>
        <w:rPr>
          <w:rFonts w:ascii="Arial" w:cs="Arial" w:eastAsia="Arial" w:hAnsi="Arial"/>
          <w:sz w:val="15"/>
          <w:szCs w:val="15"/>
          <w:b w:val="1"/>
          <w:bCs w:val="1"/>
          <w:i w:val="1"/>
          <w:iCs w:val="1"/>
          <w:color w:val="auto"/>
        </w:rPr>
        <w:t>Our operations and employees face risks related to health crises, such as the ongoing COVID-19 pandemic, that could adversely affect our financial condition and operating results. The COVID-19 pandemic could materially affect our operations, including at our headquarters or anywhere else we operates, and the business or operations of our clients, consumers, partners or other third parties with whom we conduct business.</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COVID-19 pandemic, governments have implemented significant measures intended to control the spread of the virus, including closures, quarantines, travel restrictions and other social distancing directives, and fiscal stimulus, and legislation designed to deliver monetary aid and other relief.</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 the extent that restrictions or prevention and mitigation measures are implemented in the future,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Beginning in the first quarter of fiscal 2020, we experienced a significant increase in demand from retailers, including storefronts and delivery services, for its technology solutions (such as clients using WM Orders functionality to enable reservation of products by consumers for curbside pickup), which resulted in increased revenue (including from technology services fees relating to product reservation orders submitted prior to December 31, 2020, although such per order fee has been eliminated effective January 1, 2021). Although we experienced increased consumer demand in the form of increases in MAU, we cannot determine what, if any, impact the pandemic had on our MAU growth in 2020. While we believe, like other industries, the pandemic accelerated existing trends towards consumer adoption of online platforms, we cannot be certain to what impact, if any, the end of the pandemic will have on our MAUs or MAU growth. To the extent the circumstances that accelerated the initial growth of our business stemmed from the effects of the COVID-19 pandemic, this may not continue in the future, and the growth rates in revenue and increases in MAUs may decline in future periods.</w:t>
      </w:r>
    </w:p>
    <w:p>
      <w:pPr>
        <w:spacing w:after="0" w:line="16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Shelter-in-place orders and similar regulations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Even if our clients are able to continue to operate their businesses, many may operate with limited hours and capacity and other limitations.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COVID-19. Further, these conditions may impact our ability to access financial markets to obtain the necessary funding to expand our business as currently contemplated, which may adversely affect our liquidity and working capital.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Even if a virus or other disease does not spread significantly and such measures are not implemented, the perceived risk of infection or significant health risk may adversely affect our business. Our clients may be perceived as unsafe during such public health threats, even for order delivery or pickup. If the services offered through our platform or at other businesses in our industry become a significant risk for transmitting COVID-19 or similar public health threats, or if there is a public perception that such risk exists, demand for the use of our platform would be adversely affected.</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the CARES Act and FFCRA were enacted to provide economic relief to businesses in response to the COVID-19 pandemic. Pursuant to the relief related to federal employment taxes provided in such legislation, we have (i) elected to defer eligible payroll taxes, which will be due in two equal installments in 2021 and 2022, and (ii) claimed certain employment-related tax credits under the legislation. While we may be eligible to receive some economic relief pursuant to the CARES Act, FFCRA or other legislation related to the COVID-19 pandemic, cannabis businesses may not be eligible to take full advantage of the government-sponsored COVID-19 relief packages. As a result, we may not benefit from these relief efforts to the same extent other businesses do in different industries. These relief measures, including the CARES Act, may be beneficial to us in one or more reporting periods but may adversely affect us on a going-forward basis. As of December 31, 2020, we had deferred payroll taxes of $1.8 million, all of which was paid during the second quarter of 2021.</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extent of COVID-19’s effect on our operational and financial performance will depend on future developments, including the duration, spread and intensity of the pandemic, the rate of vaccinations, all of which are uncertain and difficult to predict considering the rapidly evolving landscape. As a result, it is not currently possible to ascertain the overall impact of COVID-19 on our business. However, if the pandemic continues to persist as a severe worldwide health crisis, the disease may harm our business, and may also have the effect of heightening many of the other risks described in this “Risk Factors” section.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Fluctuations in our quarterly and annual operating results may adversely affect our business and prospects.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18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new clients and consumers and retain existing clients and consumers;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accurately forecast revenue and appropriately plan our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changes in search engine placement and prominence;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expand in existing markets and successfully enter new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global, regional or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licensed cannabis markets to successfully grow and outcompete illegal cannabis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and effectively manage an adequate rate of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and increase traffic to our platform;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defending claims, including intellectual property infringement claims and related judgments or settlements;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governmental or other regulation affecting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interruptions in platform availability and any related impact on our business, reputation or brand;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attraction and retention of qualified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improve our products and solutions in ways that forego short-term gains.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sell our offerings in the United States, and we have a limited number of non-monetized listings in several international countries including Austria, Canada,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19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levels of credit risk and payment fraud;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complying with tax requirements of multiple jurisdictions;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enhanced difficulties of integrating any foreign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present our content effectively in foreign languages;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compliance costs associated with multiple foreign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regulations that might add difficulties in repatriating cash earned outside the United States and otherwise preventing us from freely moving cash;</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import and export restrictions and changes in trade regulation;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complying with statutory equity requirements;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complying with the U.S. Foreign Corrupt Practices Act of 1977, as amended, the U.K. Bribery Act 2010, the Corruption of Public Officials Act (Canada), and similar laws in other jurisdictions;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export controls and economic sanctions administered by the U.S. Department of Commerce Bureau of Industry and Security and the U.S. Treasury Department’s Office of Foreign Assets Control.</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b w:val="1"/>
          <w:bCs w:val="1"/>
          <w:i w:val="1"/>
          <w:iCs w:val="1"/>
          <w:color w:val="auto"/>
        </w:rPr>
        <w:t>We are subject to industry standards, governmental laws, regulations and other legal obligations, particularly related to privacy, data protection and information security, and any actual or perceived failure to comply with such obligations could harm our business.</w:t>
      </w:r>
    </w:p>
    <w:p>
      <w:pPr>
        <w:spacing w:after="0" w:line="1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subject to regulation by various federal, state, provincial, local and foreign governmental authorities, including those responsible for monitoring and enforcing employment and labor laws, anti-bribery laws, lobbying and election laws, securities laws and tax laws. These laws and regulations are subject to change over time and thus we must continue to monitor and dedicate resources to ensure continued compliance.</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our business is subject to regulation by various federal, state, provincial and foreign governmental agencies responsible for monitoring and enforcing privacy and data protection laws and regulations. 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the Health Insurance Portability and Accountability Act of 1996, or HIPAA; and European and other foreign data protection laws.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receive, store, process, and use personal information and other user content. The regulatory framework for privacy issues worldwide, including in the United States, is rapidly evolving and is likely to remain uncertain for the foreseeable future, as many new laws and regulations regarding the collection, use and disclosure of personally identifiable information, or PII, and other data have been adopted or are under consideration and existing laws and regulations may be subject to new and changing interpretations. In the United States, the Federal Trade Commission and many state attorneys general are applying federal and state consumer protection laws to impose standards for the online collection, use and dissemination of data. The California Consumer Privacy Act of 2018, or CCPA, which became effective January 1, 2020, imposes significant additional requirements with respect to the collection of personal information from California residents.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Additionally, a new privacy law, the California Privacy Rights Act, or CPRA, significantly modified the CCPA, potentially resulting in further uncertainty and requiring us to incur additional costs and expenses. The CPRA created a new California state agency charged with enforcing state privacy laws, and there is uncertainty about potential enforcement actions that the new agency may take in the future. The effects of the CCPA and the CPRA remain far-reaching, and depending on final regulatory guidance and related developments, may require us to modify our data processing practices and policies and to incur substantial costs and expenses in an effort to comply.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Many foreign countries and governmental bodies, including Canada and the European Union, or E.U., and other relevant jurisdictions where we conduct business, have laws and regulations concerning the collection and use of PII and other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addresses and other types of data. In Canada, the federal Personal Information Protection and Electronic Documents Act, or PIPEDA, governs the collection, use and disclosure of PII in many provinces in Canada, and though it is silent with respect to territorial reach, the Federal Court of Canada has found that PIPEDA will apply to businesses established in other jurisdictions if there is a “real and substantial connection” between the organization’s activities and Canada. Provincial privacy commissioners take a similar approach to the interpretation and application of provincial private-sector privacy laws equivalent to PIPEDA. Further, Canada has robust anti-spam legislation. Organizations sending commercial electronic messages to individuals must either have express consent from the individual in the prescribed form or the situation must qualify as an instance of implied consent or other authorization set out in Canada’s Anti-Spam Legislation, or CASL. The penalties for non-compliance under CASL are significant and the regulator, the Canadian Radio Television and Telecommunications Commission, is active with respect to enforcement. In addition, the E.U.’s General Data Protection Regulation, or the GDPR, which went into effect in May 2018, requires subject companies to implement and maintain comprehensive information privacy and security protections with respect to personal data (data that relates to an identified or identifiable individual) about persons in the E.U. that is collected or processed by such companies. The GDPR provides for substantial penalties for noncompliance.</w:t>
      </w:r>
    </w:p>
    <w:p>
      <w:pPr>
        <w:spacing w:after="0" w:line="16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Although we are working to comply with those federal, state, provincial and foreign laws and regulations, industry standards, governmental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applications or platform. Any failure or perceived failure by us or our contractors to comply with federal, state, provincial or foreign laws or regulations, industry standards, contractual obligations or other legal obligations, or any actual or suspected security incident, whether or not resulting in loss of, unauthorized access to, or acquisition, alteration, destruction, release or transfer of PII or other data, may result in governmental enforcement actions and prosecutions, private litigation, fines and penalties or adverse publicity and could cause employees, clients and consumers to lose trust in us, which could have an adverse effect on our reputation and business. Any inability or perceived inability (even if unfounded) on our part to adequately address privacy, data protection, and information security concerns, or comply with applicable laws, regulations, policies, industry standards, governmental standards, contractual obligations, or other legal obligations, could result in additional cost and liability to us, damage our reputation, inhibit sales, and adversely affect our business.</w:t>
      </w:r>
    </w:p>
    <w:p>
      <w:pPr>
        <w:spacing w:after="0" w:line="18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and information security in the United States, Canada, the E.U. and other jurisdictions, and we cannot yet determine the impact such future laws, regulations and standards may have on our business. Future laws, regulations, standards and other obligations, or amendments or changes in the interpretation of existing laws, regulations, standards and other obligations, could impair our or our clients’ ability to collect, use, disclose or otherwise process information relating to employees or consumers, which could decrease demand for our applications, increase our costs and impair our ability to maintain and grow our client and consumer bases and increase revenue. Such laws and regulations may require us to implement privacy and security policies, permit users to access, correct and delete personal information stored or maintained by such companies, inform individuals of security breaches that affect their personal information, and, in some cases, obtain individuals’ consent to use PII or other data for certain purposes. In addition, a foreign government could require that any data collected in a country not be transferred or disseminated outside of that country, or impose restrictions or conditions upon such dissemination, and we may face difficulty in complying with any such requirements for certain geographic regions. Indeed, many privacy laws, such as those in force in Canada and the E.U., already impose these requirements. If we fail to comply with federal, state, provincial and foreign data privacy laws and regulations, our ability to successfully operate our business and pursue our business goals could be harmed. Furthermore, due to our acceptance of credit cards, we are subject to the PCI- DSS, which is designed to protect the information of credit card users.</w:t>
      </w:r>
    </w:p>
    <w:p>
      <w:pPr>
        <w:spacing w:after="0" w:line="17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had security incidents in the past, which we do not believe reached the level of a breach that would be reportable under applicable state laws or our other obligations; however, there can be no assurance that our determinations were correct. In the event our determinations are challenged and found to have been incorrect, we may be subject to unfavorable publicity or claims by one or more state attorneys general, federal regulators, or private plaintiffs, any of which could damage our reputation, inhibit sales and adversely affect our business.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Governmental regulation of the internet continues to develop, and unfavorable changes could substantially harm our business and operating results.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user privacy, data protection,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libel and personal privacy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subject to claims brought against us as a result of content we provide.</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1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subject to legal claims based on the content published to our platform.</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17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146" w:lineRule="exact"/>
        <w:rPr>
          <w:sz w:val="20"/>
          <w:szCs w:val="20"/>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sales for both us and the company we acquired due to uncertainty about continuity and effectiveness of products or support from either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products;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strain on our financial and managerial controls and reporting systems and procedures;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known and unknown liabilities associated with an acquired company;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incur debt to fund such acquisitions, such debt may subject us to material restrictions on our ability to conduct our business as well as financial maintenance covenants;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or goodwill in future acquisitions;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the extent that we issue a significant amount of equity or convertible debt securities in connection with future acquisitions, existing equity holders may be diluted and earnings per share may decrease;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the varying intellectual property protection strategies and other activities of an acquired company.</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Our business and operating results may be harmed if we are deemed responsible for the collection and remittance of state sales taxes or other indirect taxes for clients using our order functionality.</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could seek to impose sales, use or other tax obligations on us with regard to the ordering functionality that we offer our clients. These taxes may be applicable to past sales. In addition, the U.S. Supreme Court’s ruling in </w:t>
      </w:r>
      <w:r>
        <w:rPr>
          <w:rFonts w:ascii="Arial" w:cs="Arial" w:eastAsia="Arial" w:hAnsi="Arial"/>
          <w:sz w:val="17"/>
          <w:szCs w:val="17"/>
          <w:i w:val="1"/>
          <w:iCs w:val="1"/>
          <w:color w:val="auto"/>
        </w:rPr>
        <w:t>South Dakota v. Wayfair</w:t>
      </w:r>
      <w:r>
        <w:rPr>
          <w:rFonts w:ascii="Arial" w:cs="Arial" w:eastAsia="Arial" w:hAnsi="Arial"/>
          <w:sz w:val="17"/>
          <w:szCs w:val="17"/>
          <w:color w:val="auto"/>
        </w:rPr>
        <w:t xml:space="preserve">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additional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subject to potential adverse tax consequences both domestically and in foreign jurisdictions.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are a limited liability company that is treated as a partnership for U.S. federal and most applicable state and local income tax purposes. As a result, we generally are not liable for U.S. federal or state and local income taxes in most jurisdictions in which we operate. 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file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accounting standards or other factors could negatively impact our future effective tax rate.</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future effective tax rate may be affected by such factors as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below,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16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We are a holding company and our only material asset is our interest in WMH LLC, and WMH LLC is accordingly dependent upon distributions made by its subsidiaries to pay taxes, make payments under the tax receivable agreement and pay dividends.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a holding company with no material assets other than our ownership of Units and our managing member interest in WMH LLC. As a result, we have no independent means of generating revenue or cash flow. Our ability to pay taxes, make payments under the tax receivable agreement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17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WMH LLC will continue to be treated as a partnership for U.S. federal income tax purposes and, as such, generally will not be subject to any entity-level U.S. federal income tax. Instead, WMH LLC’s taxable income will be allocated to holders of Units, including us. Accordingly, we will be required to pay income taxes on our allocable share of any net taxable income of WMH LLC. Under the terms of the amended operating agreement, WMH LLC is obligated to make tax distributions to holders of Units (including us) calculated at certain assumed tax rates. In addition to tax expenses, we will also incur expenses related to our operations, including payment obligations under the tax receivable agreement (and the cost of administering such payment obligations), which could be significant. We intend to cause WMH LLC to make distributions to holders of Units in amounts sufficient to cover all applicable taxes (calculated at assumed tax rates), relevant operating expenses, payments under the tax receivable agreement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its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w:t>
      </w:r>
    </w:p>
    <w:p>
      <w:pPr>
        <w:spacing w:after="0" w:line="1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Additionally, although WMH LLC generally will not be subject to any entity-level U.S. federal income tax, it may be liable under recent federal tax legislation for adjustments to its tax return, absent an election to the contrary. In the event WMH LLC’s calculations of taxable income are incorrect, its members, including us, in later years may be subject to material liabilities pursuant to this federal legislation and its related guidance.</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tax receivable agreement. We will determine in our sole discretion the appropriate uses for any excess cash so accumulated, which may include, among other uses, dividends, the payment of obligations under the tax receivable agreement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holds such cash balances or lends them to WMH LLC, WMH LLC equity holders would benefit from any value attributable to such cash balances as a result of their ownership of Class A Common Stock following a redemption or exchange of their WMH Units.</w:t>
      </w:r>
    </w:p>
    <w:p>
      <w:pPr>
        <w:spacing w:after="0" w:line="18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Acquisitions by us of common units in the Business Combination and future taxable redemptions or exchanges of Class A units representing limited liability company interests of WMH LLC (the “Class A Units”) by the WMH LLC equity holders for shares of Class A Common Stock or cash pursuant to the exchange agreement are expected to result in favorable tax attributes for us.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Upon the Closing, we, the holder representative and the WMH Class A equity holders entered into the tax receivable agreement. Under the tax receivable agreement, we generally will be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common units for cash in the Business Combination and future taxable redemptions or exchanges of Class A Units for shares of Class A Common Stock or cash pursuant to the exchange agreement, (ii) tax benefits related to imputed interest or (iii) tax attributes resulting from payments made under the tax receivable agreement. The payment obligations under the tax receivable agreement are our obligations and not obligations of WMH LLC.</w:t>
      </w:r>
    </w:p>
    <w:p>
      <w:pPr>
        <w:spacing w:after="0" w:line="19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$148.0 million over 15 years from the date of the Closing. Under this scenario, we would be required to pay to the WMH LLC Class A equity holders approximately 85% of such amount, or $126.2 million, over the 15-year period from the date of the Closing.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WMH LLC Class A equity holders’ continued ownership of us.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Payments under the tax receivable agreement will be based on the tax reporting positions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7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(x) our obligations under the tax receivable agreement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tax receivable agreement would be based on certain assumptions, including that we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our liquidity. The change of control provisions in the tax receivable agreement may also result in situations where the WMH LLC Class A equity holders have interests that differ from or are in addition to those of the Class A equity holders.</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depends on our ability to make distributions to it.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the Cannabis Industry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Cannabis remains illegal under federal law, and therefore, strict enforcement of federal laws regarding cannabis would likely result in our inability to execute our business plan.</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Cannabis, other than hemp (defined by the U.S. government as </w:t>
      </w:r>
      <w:r>
        <w:rPr>
          <w:rFonts w:ascii="Arial" w:cs="Arial" w:eastAsia="Arial" w:hAnsi="Arial"/>
          <w:sz w:val="16"/>
          <w:szCs w:val="16"/>
          <w:i w:val="1"/>
          <w:iCs w:val="1"/>
          <w:color w:val="auto"/>
        </w:rPr>
        <w:t>Cannabis sativa L</w:t>
      </w:r>
      <w:r>
        <w:rPr>
          <w:rFonts w:ascii="Arial" w:cs="Arial" w:eastAsia="Arial" w:hAnsi="Arial"/>
          <w:sz w:val="16"/>
          <w:szCs w:val="16"/>
          <w:color w:val="auto"/>
        </w:rPr>
        <w:t>. with a THC concentration of not more than 0.3% on a dry weight basis), is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For over five years, however, the U.S. government has not prioritized the enforcement of those laws against cannabis companies complying with state law and their vendors. No reversal of that policy of prosecutorial discretion is expected under a Biden administration given his campaign’s position on cannabis, and recent statements of Attorney General Merrick Garland discussed further below, although prosecutions against state-legal entities cannot be ruled out entirely at this time.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state-legal cannabis activities. Since the Sessions Memo was issued nearly three years ago, however, U.S. Attorneys have generally not prioritized the targeting of state law compliant entities.</w:t>
      </w:r>
    </w:p>
    <w:p>
      <w:pPr>
        <w:spacing w:after="0" w:line="1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Drug Enforcement Administration, from using appropriated funds to prevent states from implementing their medical-use cannabis laws (formerly known as the Rohrabacher-Bluemnauer Amendment, and now known as the Joyce Amendment). This provision, however, is set to expire on December 3, 2021 and there is no assurance that Congress will approve inclusion of a similar prohibition on DOJ spending in the appropriations bills for future years.</w:t>
      </w:r>
    </w:p>
    <w:p>
      <w:pPr>
        <w:spacing w:after="0" w:line="1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i w:val="1"/>
          <w:iCs w:val="1"/>
          <w:color w:val="auto"/>
        </w:rPr>
        <w:t>USA vs. McIntosh</w:t>
      </w:r>
      <w:r>
        <w:rPr>
          <w:rFonts w:ascii="Arial" w:cs="Arial" w:eastAsia="Arial" w:hAnsi="Arial"/>
          <w:sz w:val="17"/>
          <w:szCs w:val="17"/>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1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17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While President Biden’s campaign position on cannabis falls short of full legalization, he has campaigned on a platform of relaxing enforcement of cannabis proscriptions, including decriminalization generally. According to the Biden campaign website: “A Biden Administration will support the legalization of cannabis for medical purposes and reschedule cannabis as a CSA Schedule II drug so researchers can study its positive and negative impacts. This will include allowing the VA to research the use of medical cannabis to treat veteran-specific health needs.” He has pledged to “decriminalize” cannabis, which could prompt his U.S. Attorney General to issue policy guidance to U.S. Attorneys that they should not enforce federal cannabis prohibition against state law compliant entities and others legally transacting business with them. Indeed, the Biden-Sanders Unity Platform, which was released at the time President Biden won the Democratic Party nomination for President, affirmed that his administration would seek to “[d]ecriminalize marijuana use and legalize marijuana for medical purposes at the federal level;” “allow states to make their own decisions about legalizing recreational use;” and “automatically expunge all past marijuana convictions for use and possession.” Vice President Harris echoed these intentions during the vice presidential debate, saying that “[w]e will decriminalize marijuana and we will expunge the records of those who have been convicted of marijuana[-related offenses].” While President Biden’s promise to decriminalize likely would mean that the federal government would not criminally enforce the Schedule II status against state legal entities, and would expand opportunities for cannabis research in the U.S., the implications of the potential re-scheduling are not entirely clear for state legal commercial cannabis operators.</w:t>
      </w:r>
    </w:p>
    <w:p>
      <w:pPr>
        <w:spacing w:after="0" w:line="18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Although the U.S. Attorney General could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 While rescheduling cannabis to the CSA’s Schedule II would ease certain research restrictions, it would not make the state medical or adult-use programs federally legal.</w:t>
      </w:r>
    </w:p>
    <w:p>
      <w:pPr>
        <w:spacing w:after="0" w:line="15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While the statement is not a promise to avoid federal interference with state cannabis laws, it does signal that the enforcement priorities of DOJ lie elsewhere.</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Furthermore, while industry observers are hopeful that a Democrat-controlled Senate, along with a Biden presidency, will increase the chances of federal cannabis policy reform, such as the Marijuana Opportunity Reinvestment and Expungement Act (“MORE Act”), which was originally co-sponsored by now Vice President Harris in the Senate, or banking reform, such as the SAFE Banking Act, which recently passed the House of Representatives but has not yet passed the Senate, we cannot provide assurances about the content, timing or chances of passage of a bill legalizing cannabis.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1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Sessions’s rescission of the DOJ’s guidance on the state cannabis programs in early 2018 increased uncertainty and heighted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1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dependent on the banking industry to support the financial functions of our products and solutions. Our business operating functions including payroll for our employees and other expenses are handled which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91"/>
        <w:spacing w:after="0" w:line="286" w:lineRule="auto"/>
        <w:rPr>
          <w:sz w:val="20"/>
          <w:szCs w:val="20"/>
          <w:color w:val="auto"/>
        </w:rPr>
      </w:pPr>
      <w:r>
        <w:rPr>
          <w:rFonts w:ascii="Arial" w:cs="Arial" w:eastAsia="Arial" w:hAnsi="Arial"/>
          <w:sz w:val="16"/>
          <w:szCs w:val="16"/>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U.S. Internal Revenue Service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17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do not sell cannabis, or products that contain cannabis; accordingly, our company is not part of the cannabis industry that would be restricted from using federal and federally insured banks. However, because of “weed” in our name and the fact that our revenue is generated largely from companies licensed as operators in the cannabis industry, banks have and may continue to consider us to be part of the cannabis industry that is subject to banking restrictions.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reportedly prohibits processing of transactions involving cannabis on its network, and Mastercard has reportedly stated that it is evaluating the inconsistency between U.S. state and federal cannabis law. In October 2020, we responded to an inquiry from certain of our merchant processors on behalf of Mastercard relating to the applicability of U.S. state and federal law to our services, including our WM Orders services. Although consumers cannot purchase products on the Weedmaps listings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Participating in transactions involving proceeds derived from cannabis may constitute criminal money laundering.</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have difficulty using bankruptcy courts due to our involvement in the regulated cannabis industry.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conduct of third parties may jeopardize our business.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Trust and Safety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conduct of third parties may jeopardize our regulatory compliance.</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Trust &amp; Safety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16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1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We believe that Section 230(c)(1) of the Communications Decency Act (“CDA”) provides immunity from civil and state criminal liability, but it is possible that it does not.</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continue to be subject to constraints on marketing our products.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Cannabis businesses are subject to unfavorable U.S. tax treatment.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Section 280E of the Internal Revenue Code (“Code”)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Service providers to cannabis businesses may also be subject to unfavorable U.S. tax treatment.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w:t>
      </w:r>
    </w:p>
    <w:p>
      <w:pPr>
        <w:spacing w:after="0" w:line="168"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The MORE Act, which was passed by the House of Representatives but did not become law in the 116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Congress and has not yet been reintroduced into the 117</w:t>
      </w:r>
      <w:r>
        <w:rPr>
          <w:rFonts w:ascii="Arial" w:cs="Arial" w:eastAsia="Arial" w:hAnsi="Arial"/>
          <w:sz w:val="29"/>
          <w:szCs w:val="29"/>
          <w:color w:val="auto"/>
          <w:vertAlign w:val="superscript"/>
        </w:rPr>
        <w:t>th</w:t>
      </w:r>
      <w:r>
        <w:rPr>
          <w:rFonts w:ascii="Arial" w:cs="Arial" w:eastAsia="Arial" w:hAnsi="Arial"/>
          <w:sz w:val="18"/>
          <w:szCs w:val="18"/>
          <w:color w:val="auto"/>
        </w:rPr>
        <w:t>, would remove marijuana from the CSA, which would effectively carve out state-legal cannabis businesses from Section 280E of the Code. The MORE Act would impose two new taxes on cannabis businesses: an excise tax measured by the value of certain cannabis products and an occupational tax assessed on the enterprises engaging in cannabis production and sales. Although these novel tax provisions are included in the MORE Act passed by the House of Representatives, it is challenging to predict whether, when, and in what form the MORE Act could be enacted into law and how any such legislation would affect our activities.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Cannabis businesses may be subject to civil asset forfeiture.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There may be difficulty enforcing certain of our commercial agreements and contracts.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subject to Telephone Consumer Protections Act (TCPA) risks for our communications with customers.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acquisitions of Cannveya and Sprout will put us directly into contact with customers and their data. The Telephone Consumer Protections Act (TCPA) restricts calls or text messages to cellphones made using an “automatic telephone dialing system” without first obtaining the prior express consent of the called or texted party, in addition to other restrictions on contacting customers directly. Cannveya provides a means for our clients to communicate directly with their customers, and may expose us to potential lawsuits under the TCPA, if those third party clients do not adhere to TCPA restrictions. Even if the third party clients do adhere to the TCPA, we still run the risk of private lawsuits against us. While we have in place systems and policies for TCPA compliance, our direct communications with customers may put us at risk of a TCPA lawsuit.</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Certain of our directors, officers, employees and investors who are not U.S. citizens may face constraints on cross-border travel into the United States.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1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30, 2021, our affiliates, executive officers, directors and their respective affiliates as a group beneficially own approximately 45.5%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46" w:lineRule="exact"/>
        <w:rPr>
          <w:sz w:val="20"/>
          <w:szCs w:val="20"/>
          <w:color w:val="auto"/>
        </w:rPr>
      </w:pPr>
    </w:p>
    <w:p>
      <w:pPr>
        <w:jc w:val="both"/>
        <w:ind w:firstLine="375"/>
        <w:spacing w:after="0" w:line="308" w:lineRule="auto"/>
        <w:rPr>
          <w:sz w:val="20"/>
          <w:szCs w:val="20"/>
          <w:color w:val="auto"/>
        </w:rPr>
      </w:pPr>
      <w:r>
        <w:rPr>
          <w:rFonts w:ascii="Arial" w:cs="Arial" w:eastAsia="Arial" w:hAnsi="Arial"/>
          <w:sz w:val="17"/>
          <w:szCs w:val="17"/>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14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our stockholder’s ability to bring a claim in a judicial forum that it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18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Salzburg et al. v. Sciabacucchi,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92" w:lineRule="exact"/>
        <w:rPr>
          <w:sz w:val="20"/>
          <w:szCs w:val="20"/>
          <w:color w:val="auto"/>
        </w:rPr>
      </w:pPr>
    </w:p>
    <w:p>
      <w:pPr>
        <w:jc w:val="both"/>
        <w:ind w:firstLine="324"/>
        <w:spacing w:after="0" w:line="381" w:lineRule="auto"/>
        <w:rPr>
          <w:sz w:val="20"/>
          <w:szCs w:val="20"/>
          <w:color w:val="auto"/>
        </w:rPr>
      </w:pPr>
      <w:r>
        <w:rPr>
          <w:rFonts w:ascii="Arial" w:cs="Arial" w:eastAsia="Arial" w:hAnsi="Arial"/>
          <w:sz w:val="15"/>
          <w:szCs w:val="15"/>
          <w:b w:val="1"/>
          <w:bCs w:val="1"/>
          <w:i w:val="1"/>
          <w:iCs w:val="1"/>
          <w:color w:val="auto"/>
        </w:rPr>
        <w:t>A significant portion of our total outstanding shares of our Class A Common Stock are restricted from immediate resale but may be sold into the market in the near future. This could cause the market price of our Class A Common Stock to drop significantly, even if our business is doing well.</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1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To the extent our Warrants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Securityholders, subject to certain restrictions on transfer until the termination of applicable lock-up periods, could increase the volatility of the market price of our Class A Common Stock or adversely affect the market price of our Class A Common Stock.</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significantly dilute the equity interests of our investors;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preferred stock is issued with rights senior to those afforded our Class A Common Stock;</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The impact of global, regional or local economic and market conditions may adversely affect our business, operating results and financial condition.</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may be disproportionately affected by economic downturns. Clients may choose to allocate their spending to items other than our platform, especially during economic downturns.</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We will incur increased costs and administrative burden as a result of operating as a public company, and our management will devote substantial time to new compliance initiatives.</w:t>
      </w:r>
    </w:p>
    <w:p>
      <w:pPr>
        <w:spacing w:after="0" w:line="17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and these expenses may increase even more after we are no longer an emerging growth company, as defined in Section 2(a) of the Securities Act.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Nasdaq. Our management and other personnel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if we or our independent registered public accounting firm identifies additional material weaknesses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qualify as an “emerging growth company” and a “smaller reporting company” within the meaning of the Securities Act,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qualify as an “emerging growth company” as defined in Section 2(a)(19) of the Securities Act, as modified by the JOBS Act. As such, we are eligible for and intend to take advantage of certain exemptions from various reporting requirements applicable to other public companies that are not emerging growth companies for as long as we continues to be an emerging growth company, including, but not limited to, (a) not being required to comply with the auditor attestation requirements of Section 404 of the Sarbanes- 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(i) the last day of the fiscal year in which the market value of our Class A Common Stock that is held by non-affiliates exceeds $700 million as of June 30 of that fiscal year, (ii) the last day of the fiscal year in which it has total annual gross revenue of $1.07 billion or more during such fiscal year (as indexed for inflation), (iii) the date on which it has issued more than $1 billion in non-convertible debt in the prior three-year period or (iv) the last day of the fiscal year following the fifth anniversary of the date of the first sale of our Class A Common Stock in the IPO. We cannot predict whether investors will find our securities less attractive because it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 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smaller reporting company which has opted out of using the extended transition period difficult or impossible because of the potential differences in accounting standards used.</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among other things, not being required to comply with the auditor attestation requirements of Section 404 of the Sarbanes-Oxley Act, presenting only the two most recent fiscal years of audited financial statements in our Annual Report on Form 10-K and reduced disclosure obligations regarding executive compensation in our periodic reports and proxy statements.</w:t>
      </w:r>
    </w:p>
    <w:p>
      <w:pPr>
        <w:spacing w:after="0" w:line="188"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We will no longer qualify as an emerging growth company or a smaller reporting company for Securities Act or Exchange Act reporting after December 31, 2021.</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17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executive officers.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of the Class A Common Stock offered by the Selling Securityholders pursuant to this prospectus will be sold by the Selling Securityholders for their respective accounts. We will not receive any of the proceeds from these sales.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cannot currently determine the price or prices at which shares of our Class A Common Stock may be sold by the Selling Securityholders under this prospectus.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INFORMATION FOR COMMON STOCK AND DIVIDEND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Class A Common Stock is currently listed on Nasdaq under the symbol “MAPS.” As of November 24, 2021, there are 65,677,361 shares of Class A Common Stock issued and outstanding held of record by 107 holders and 65,502,347 shares of our Class V common stock (the “Class V Common Stock”) issued and outstanding held of record by 23 holders. No market exists for the Class V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November 24, 2021, we had 21,829,529 shares of our Class A Common Stock authorized for issuance under equity compensation plans. In connection with the Business Combination, our stockholders approved WM Technology, Inc. 2021 Equity Incentive Plan (the “2021 Plan”) on June 10, 2021, which became effective immediately upon the Closing.</w:t>
      </w:r>
    </w:p>
    <w:p>
      <w:pPr>
        <w:spacing w:after="0" w:line="14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August 26, 2021, we filed a registration statement on Form S-8 under the Securities Act to register the shares of Class A Common Stock issued or issuable under the 2021 Plan. The Form S-8 registration statement also covers shares of Class A Common Stock underlying the 2021 Plan, which can be sold in the public market upon issuance, subject to applicable restrictions. The Form S-8 registration statement became effective automatically upon filing.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18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following tables set forth a summary of our historical consolidated financial and operating data as of, and for the periods ended on, the dates indicated. The selected historical consolidated statements of income data for the years ended December 31, 2018, 2019 and 2020, and the historical consolidated balance sheet data as of December 31, 2019 and 2020, are derived from our audited consolidated financial statements included elsewhere in this prospectus and the historical consolidated balance sheet data as of December 31, 2018 is derived from our audited financial statements not included in this prospectus. The selected historical consolidated statements of operations data for the nine months ended September 30, 2020 and 2021 and the consolidated balance sheet data as of September 30, 2020 and 2021 are derived from our unaudited interim condensed consolidated financial statements included elsewhere in this prospectus. In management’s opinion, the unaudited interim condensed consolidated financial statements include all adjustments necessary to state fairly our financial position as of September 30, 2020 and 2021, and the results of operations for the nine months ended September 30, 2020 and 2021. Our historical results are not necessarily indicative of the results that may be expected in the future and our results for the nine months ended September 30, 2021 are not necessarily indicative of the results that may be expected for the full year ending December 31, 2021 or any other period. You should read the following selected historical consolidated financial and operating data together with “Management’s Discussion and Analysis of Financial Condition and Results of Operations” and our consolidated financial statements and related notes included elsewhere in this prospectus.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 Data:</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4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gridSpan w:val="8"/>
          </w:tcPr>
          <w:p>
            <w:pPr>
              <w:jc w:val="right"/>
              <w:ind w:right="540"/>
              <w:spacing w:after="0"/>
              <w:rPr>
                <w:sz w:val="20"/>
                <w:szCs w:val="20"/>
                <w:color w:val="auto"/>
              </w:rPr>
            </w:pPr>
            <w:r>
              <w:rPr>
                <w:rFonts w:ascii="Arial" w:cs="Arial" w:eastAsia="Arial" w:hAnsi="Arial"/>
                <w:sz w:val="18"/>
                <w:szCs w:val="18"/>
                <w:b w:val="1"/>
                <w:bCs w:val="1"/>
                <w:color w:val="auto"/>
                <w:w w:val="93"/>
              </w:rPr>
              <w:t>(in thousands, except unit and share data)</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144,232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117,470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138,969</w:t>
            </w: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7,074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7,630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5,572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5,800</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17,799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21,437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37,194</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20,034</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29,497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27,142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20,325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25,921</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38,935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56,466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37,147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70,356</w:t>
            </w:r>
          </w:p>
        </w:tc>
      </w:tr>
      <w:tr>
        <w:trPr>
          <w:trHeight w:val="223"/>
        </w:trPr>
        <w:tc>
          <w:tcPr>
            <w:tcW w:w="46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5,162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3,978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2,980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2,970</w:t>
            </w: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85,221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137,945</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120,593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87,461</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16,181</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6,287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41,198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30,009</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(3,272)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83,628</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(5,341)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(6,341)</w:t>
            </w:r>
          </w:p>
        </w:tc>
      </w:tr>
      <w:tr>
        <w:trPr>
          <w:trHeight w:val="27"/>
        </w:trPr>
        <w:tc>
          <w:tcPr>
            <w:tcW w:w="4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38,830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28,732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74,015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r>
      <w:tr>
        <w:trPr>
          <w:trHeight w:val="27"/>
        </w:trPr>
        <w:tc>
          <w:tcPr>
            <w:tcW w:w="4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38,830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28,732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73,773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38,830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28,732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73,773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48,675</w:t>
            </w:r>
          </w:p>
        </w:tc>
      </w:tr>
      <w:tr>
        <w:trPr>
          <w:trHeight w:val="27"/>
        </w:trPr>
        <w:tc>
          <w:tcPr>
            <w:tcW w:w="4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 (loss) attributable to WM Technology,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12,679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(375)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38,830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28,732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25,098</w:t>
            </w: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Earnings (Loss) Per Share of Class A Common Stock</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24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Diluted loss per share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basic shares outstanding</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64,149,699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Weighted average diluted shares outstanding</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69,950,141</w:t>
            </w: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Earnings (Loss) Per Unit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Basic and diluted earnings (loss) per Class A-1, A-2 and A-3</w:t>
            </w:r>
          </w:p>
        </w:tc>
        <w:tc>
          <w:tcPr>
            <w:tcW w:w="2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 from continuing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31.95</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195"/>
        </w:trPr>
        <w:tc>
          <w:tcPr>
            <w:tcW w:w="462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w w:val="96"/>
              </w:rPr>
              <w:t>Basic and diluted earnings per Class A-1, A-2 and A-3 units</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from discontinued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46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Basic and diluted earnings (loss) per Class A-1, A-2 and A-3</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71"/>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31.95</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195"/>
        </w:trPr>
        <w:tc>
          <w:tcPr>
            <w:tcW w:w="462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Basic and diluted weighted-average number of units</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847,024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899,160</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899,160</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899,160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360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72"/>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0"/>
              </w:rPr>
              <w:t>As of the</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As of</w:t>
            </w:r>
          </w:p>
        </w:tc>
      </w:tr>
      <w:tr>
        <w:trPr>
          <w:trHeight w:val="241"/>
        </w:trPr>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4"/>
          </w:tcPr>
          <w:p>
            <w:pPr>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77,935</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line="216" w:lineRule="exact"/>
              <w:rPr>
                <w:sz w:val="20"/>
                <w:szCs w:val="20"/>
                <w:color w:val="auto"/>
              </w:rPr>
            </w:pPr>
            <w:r>
              <w:rPr>
                <w:rFonts w:ascii="Arial" w:cs="Arial" w:eastAsia="Arial" w:hAnsi="Arial"/>
                <w:sz w:val="16"/>
                <w:szCs w:val="16"/>
                <w:color w:val="auto"/>
              </w:rPr>
              <w:t>Working capital</w:t>
            </w:r>
            <w:r>
              <w:rPr>
                <w:rFonts w:ascii="Arial" w:cs="Arial" w:eastAsia="Arial" w:hAnsi="Arial"/>
                <w:sz w:val="25"/>
                <w:szCs w:val="25"/>
                <w:color w:val="auto"/>
                <w:vertAlign w:val="superscript"/>
              </w:rPr>
              <w:t>(1)</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10,659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(9,970)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10,917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68,161</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33,754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362,624</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5,225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17,939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20,955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24,623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315,209</w:t>
            </w:r>
          </w:p>
        </w:tc>
      </w:tr>
      <w:tr>
        <w:trPr>
          <w:trHeight w:val="230"/>
        </w:trPr>
        <w:tc>
          <w:tcPr>
            <w:tcW w:w="4620" w:type="dxa"/>
            <w:vAlign w:val="bottom"/>
            <w:gridSpan w:val="3"/>
          </w:tcPr>
          <w:p>
            <w:pPr>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30,124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12,799</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29,271</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47,415</w:t>
            </w:r>
          </w:p>
        </w:tc>
      </w:tr>
      <w:tr>
        <w:trPr>
          <w:trHeight w:val="303"/>
        </w:trPr>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6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980" w:type="dxa"/>
            <w:vAlign w:val="bottom"/>
            <w:gridSpan w:val="6"/>
          </w:tcPr>
          <w:p>
            <w:pPr>
              <w:spacing w:after="0"/>
              <w:rPr>
                <w:sz w:val="20"/>
                <w:szCs w:val="20"/>
                <w:color w:val="auto"/>
              </w:rPr>
            </w:pPr>
            <w:r>
              <w:rPr>
                <w:rFonts w:ascii="Arial" w:cs="Arial" w:eastAsia="Arial" w:hAnsi="Arial"/>
                <w:sz w:val="18"/>
                <w:szCs w:val="18"/>
                <w:color w:val="auto"/>
              </w:rPr>
              <w:t>(1)  Working capital is defined as current assets less current liabilities.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Historical Cash Flow:</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25,173</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(5,129)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(1,311)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(903)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(23,246)</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(21,969)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(9,499)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56,089</w:t>
            </w:r>
          </w:p>
        </w:tc>
      </w:tr>
      <w:tr>
        <w:trPr>
          <w:trHeight w:val="541"/>
        </w:trPr>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consolidated financial statements and notes to those statements included in this prospectus. Certain information contained in the discussion and analysis set forth below includes forward-looking statements that involve risks and uncertainties. Our actual results may differ materially from those anticipated in these forward-looking statements as a result of many factors. Please see the sections entitled “Cautionary Statement Regarding Forward-Looking Statements” and “Risk Factors” in this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Founded in 2008, we operate a leading listings marketplace with one of the most comprehensive SaaS subscription offerings sold to retailers and brands in the U.S. state-legal and Canadian cannabis markets. We address the challenges facing both consumers seeking to understand cannabis products and businesses who serve cannabis users in a legally compliant fashion with our Weedmaps platform and WM Business SaaS solution. Over the past 13 years, we have grown the Weedmaps listings marketplace to become the premier destination for cannabis consumers to discover and browse information regarding cannabis and cannabis products, with 14 million monthly active users (“MAUs”) as of September 30, 2021 on the demand-side and 4,194 average monthly paying business clients during the nine months ended September 30, 2021 on the supply-side of our marketplace. These paying clients include retailers, brands and other client types (such as doctors). Further, these clients, who can choose to purchase multiple listings solutions for each business, had purchased approximately 9,100 listing pages as of September 30, 2021 (of the over 18,300 listing pages on the marketplace). The Weedmaps listings marketplace provides consumers with information regarding cannabis retailers and brands, as well as the strain, pricing, and other information regarding locally available cannabis products, through our website and mobile apps, permitting product discovery and reservations for pickup or delivery by participating retailers. We provide consumers with discovery channels to improve their knowledge of the local market for cannabis products, whether they are looking by strain, price, effects or form factors. Our weedmaps.com site also has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14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Over the last three years, we have developed and launched several SaaS solutions for our retailer clients. These solutions now comprise an integrated platform for retailers, which we call “WM Business”. WM Business provides a comprehensive set of tools to enable cannabis businesses to provide their goods and services compliantly, with what we refer to as “business-in-a-box” functionality. Our “business-in-a-box” solution helps cannabis retailers to improve their workflows and regulatory compliance in the course of serving cannabis consumers.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(and complete orders and process payments – both of which only occur outside the Weedmaps listings marketplace), (iii) logistics software such as driver apps and fleet-tracking tools to permit legal compliance with state delivery regulations, (iv) retail point-of-sale, or POS, solutions to manage inventory and track-and-trace compliance reporting, (v) analytics dashboards, (vi) access to our online wholesale exchange marketplace to browse brand catalogs and efficiently identify brands to obtain inventory from (and review license information and certificates of analysis, among other compliance features), and (vii) application program interface, or API, integrations to streamline workflows, thereby helping eliminate human error in recordkeeping and promoting compliance through accuracy. We also offer a growing set of offerings for brands to reach consumers and retailers as well as manage their brand catalog information.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WM Business solution is sold as a value-priced monthly subscription package. We also offer several upsell and add-on products that allow businesses to have more prominent placement on the Weedmaps listings marketplace either through featured listings, display ads or promoted deal offerings. We sell our offerings in the United States, and we have a limited number of non-monetized listings in several international countries including Austria, Canada, Germany, the Netherlands, Spain, and Switzerland. As of September 30, 2021, we actively operated in over 20 U.S. states and territories that have adult-use and/or medical-use regulations in place. We define actively operated markets as those with greater than $1,000 monthly recurring revenue.</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we continue to expand the presence and increase the number of consumers on the Weedmaps listings marketplace and broaden our SaaS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SaaS solutions, we plan to continue making investments in raising brand awareness, increasing penetration within existing markets and expanding to new markets, as well as continuing to develop and monetize new software solutions to extend the functionality of our platform, deepening the consumer experience with our platform, and providing a high level of support to our business clients.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8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solutions are designed to address these challenges facing cannabis consumers and businesses. The Weedmaps listings marketplace allows cannabis users to search for and browse cannabis products from retailers and brands, and ultimately reserve products from local retailers, in a manner similar to technology platforms in other consumer goods verticals with a breadth and depth of product, brand, and retailer selection, although confirmation of orders and processing of payments may only occur outside the Weedmaps listings marketplace. With the development of our WM Business SaaS solution, we offer an end-to-end platform for licensed cannabis retailers to comply with state law applicable to the products these businesses are selling. The success of our business model is driven by our ability to increase the number of consumers engaging with the Weedmaps listings marketplace as well as our ability to attract new clients, retain existing clients and increase our sales to both new and existing clients in the local markets in which we operate through growing user engagements and offering compelling software solutions.</w:t>
      </w:r>
    </w:p>
    <w:p>
      <w:pPr>
        <w:spacing w:after="0" w:line="13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operate a cloud-based platform, and unlike other cannabis-related businesses, we require minimal physical footprint and are not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robust growth, margins and cash flow while achieving our growth. From 2014 to 2020, we grew revenue at a CAGR of 35% and expanded gross margin from 92% to 95%. For the year ended December 31, 2020, we generated $162 million revenue, which represented 12% growth over the prior year and 40% growth over that same period when adjusting the prior year to eliminate revenue associated with non-licensed operators in California that we removed from the Weedmaps listings marketplace at the end of fiscal year 2019. For the year ended December 31, 2020, we generated net income of $39 million and EBITDA of $43 million. For the nine months ended September 30, 2021, we generated $139 million in revenue, which represented 18% growth over the prior year. For the nine months ended September 30, 2021, we generated net income of $74 million and EBITDA of $77 million. For further information about how we calculate EBITDA, limitations of its use and a reconciliation of EBITDA to net income, see “—Key Operating and Financial Metrics-EBITDA and Adjusted EBITDA.”</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114935</wp:posOffset>
            </wp:positionV>
            <wp:extent cx="5288915" cy="2125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8891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and Public Company Costs</w:t>
      </w:r>
    </w:p>
    <w:p>
      <w:pPr>
        <w:spacing w:after="0" w:line="20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June 16, 2021, Silver Spike, our predecessor company, consummated the Business Combination pursuant to the Merger Agreement, by and among Silver Spike, Merger Sub, Legacy WMH, and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Closing.</w:t>
      </w:r>
    </w:p>
    <w:p>
      <w:pPr>
        <w:spacing w:after="0" w:line="12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While the legal acquirer in the Merger Agreement is Silver Spike, for financial accounting and reporting purposes under GAAP, Legacy WMH was the accounting acquirer and 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Legacy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Financial results prior to the Business Combination are presented as those of Legacy WMH.</w:t>
      </w:r>
    </w:p>
    <w:p>
      <w:pPr>
        <w:spacing w:after="0" w:line="14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have and expect to continue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Seed and Scale Markets</w:t>
      </w:r>
    </w:p>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efforts to attract and retain clients are tailored to the dynamics of individual jurisdictions and markets. We typically develop each new target market in the following stages:</w:t>
      </w:r>
    </w:p>
    <w:p>
      <w:pPr>
        <w:spacing w:after="0" w:line="130" w:lineRule="exact"/>
        <w:rPr>
          <w:sz w:val="20"/>
          <w:szCs w:val="20"/>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Identify. </w:t>
      </w:r>
      <w:r>
        <w:rPr>
          <w:rFonts w:ascii="Arial" w:cs="Arial" w:eastAsia="Arial" w:hAnsi="Arial"/>
          <w:sz w:val="18"/>
          <w:szCs w:val="18"/>
          <w:color w:val="auto"/>
        </w:rPr>
        <w:t>Leveraging our policy and government relations expertise, we identify jurisdictions that are likely to liberalize the market for cannabis.</w:t>
      </w:r>
      <w:r>
        <w:rPr>
          <w:rFonts w:ascii="Arial" w:cs="Arial" w:eastAsia="Arial" w:hAnsi="Arial"/>
          <w:sz w:val="18"/>
          <w:szCs w:val="18"/>
          <w:i w:val="1"/>
          <w:iCs w:val="1"/>
          <w:color w:val="auto"/>
        </w:rPr>
        <w:t xml:space="preserve"> </w:t>
      </w:r>
      <w:r>
        <w:rPr>
          <w:rFonts w:ascii="Arial" w:cs="Arial" w:eastAsia="Arial" w:hAnsi="Arial"/>
          <w:sz w:val="18"/>
          <w:szCs w:val="18"/>
          <w:color w:val="auto"/>
        </w:rPr>
        <w:t>We select new markets within those jurisdictions based on several criteria, including population size, existing cannabis retailer density, potential licenses to be granted within the market and proximity to existing markets.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660" w:hanging="328"/>
        <w:spacing w:after="0" w:line="29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Seed. </w:t>
      </w:r>
      <w:r>
        <w:rPr>
          <w:rFonts w:ascii="Arial" w:cs="Arial" w:eastAsia="Arial" w:hAnsi="Arial"/>
          <w:sz w:val="16"/>
          <w:szCs w:val="16"/>
          <w:color w:val="auto"/>
        </w:rPr>
        <w:t>Before launching a market in any jurisdiction, we typically engage in market and brand awareness campaigns, typically out-of-home, or</w:t>
      </w:r>
      <w:r>
        <w:rPr>
          <w:rFonts w:ascii="Arial" w:cs="Arial" w:eastAsia="Arial" w:hAnsi="Arial"/>
          <w:sz w:val="16"/>
          <w:szCs w:val="16"/>
          <w:i w:val="1"/>
          <w:iCs w:val="1"/>
          <w:color w:val="auto"/>
        </w:rPr>
        <w:t xml:space="preserve"> </w:t>
      </w:r>
      <w:r>
        <w:rPr>
          <w:rFonts w:ascii="Arial" w:cs="Arial" w:eastAsia="Arial" w:hAnsi="Arial"/>
          <w:sz w:val="16"/>
          <w:szCs w:val="16"/>
          <w:color w:val="auto"/>
        </w:rPr>
        <w:t>OOH, and digital advertising, targeted at both potential clients and consumers. We obtain license application or license information from the relevant regulatory agencies and create individual basic listings for each business location in the market. We do not monetize these free basic listings, which include basic contact information and reviews to attract cannabis businesses to our platform but lack functionality such as product menus, which we include only as part of our subscription offering in most markets. At launch, consumers can read and write reviews about any business on our platform. We also identify jurisdiction-specific regulatory approvals which would be needed for individual solutions within the WM Business suite and analyze state-specific regulations that would need to be incorporated into WM Business suite solutions.</w:t>
      </w:r>
    </w:p>
    <w:p>
      <w:pPr>
        <w:spacing w:after="0" w:line="139" w:lineRule="exact"/>
        <w:rPr>
          <w:rFonts w:ascii="Arial" w:cs="Arial" w:eastAsia="Arial" w:hAnsi="Arial"/>
          <w:sz w:val="16"/>
          <w:szCs w:val="16"/>
          <w:color w:val="auto"/>
        </w:rPr>
      </w:pPr>
    </w:p>
    <w:p>
      <w:pPr>
        <w:jc w:val="both"/>
        <w:ind w:left="660" w:hanging="328"/>
        <w:spacing w:after="0" w:line="29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Grow</w:t>
      </w:r>
      <w:r>
        <w:rPr>
          <w:rFonts w:ascii="Arial" w:cs="Arial" w:eastAsia="Arial" w:hAnsi="Arial"/>
          <w:sz w:val="16"/>
          <w:szCs w:val="16"/>
          <w:color w:val="auto"/>
        </w:rPr>
        <w:t>. After launch, we focus on attracting clients and consumers to our platform. These efforts include offering clients free trial periods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WM Business subscription solution, demonstrating the attractive return on spend of the listing presence on the Weedmaps listings marketplace as well as the value of the software solutions in creating operating efficiencies while enabling compliance functionality. We also continue hosting market and brand awareness campaigns, planning and executing engaging local events for the community, while deploying our inside and field sales force. Through these activities, we help increase the frequency of use of our marketplace driving a network effect, whereby the breadth and depth of consumer engagement expands and this expansion draws an increasing number of businesses to use additional features of our platform. This in turn further increases the richness of available information and thus attracts new and existing clients and consumers to use our platform.</w:t>
      </w:r>
    </w:p>
    <w:p>
      <w:pPr>
        <w:spacing w:after="0" w:line="125" w:lineRule="exact"/>
        <w:rPr>
          <w:rFonts w:ascii="Arial" w:cs="Arial" w:eastAsia="Arial" w:hAnsi="Arial"/>
          <w:sz w:val="16"/>
          <w:szCs w:val="16"/>
          <w:color w:val="auto"/>
        </w:rPr>
      </w:pPr>
    </w:p>
    <w:p>
      <w:pPr>
        <w:jc w:val="both"/>
        <w:ind w:left="660" w:hanging="328"/>
        <w:spacing w:after="0" w:line="296"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Scale. </w:t>
      </w:r>
      <w:r>
        <w:rPr>
          <w:rFonts w:ascii="Arial" w:cs="Arial" w:eastAsia="Arial" w:hAnsi="Arial"/>
          <w:sz w:val="16"/>
          <w:szCs w:val="16"/>
          <w:color w:val="auto"/>
        </w:rPr>
        <w:t>At scale, our platform reaches a critical mass of clients and consumers, and we begin an active sales effort to other local cannabis</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that aren’t on the platform. Our sales efforts are increasingly consultative as we work to educate businesses about the value of our offerings and dynamics in their local market so that they can optimize their compliance. In more mature markets, the mix of our advertising spend shifts from market and brand awareness towards digital performance marketing. In markets that have attained this level of development, we have achieved economies of scale and operating cost leverage and are able to drive higher levels of engagement within the WM Business solutions.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Monetize Our Platform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monetize our platform through the following offerings:</w:t>
      </w:r>
    </w:p>
    <w:p>
      <w:pPr>
        <w:spacing w:after="0" w:line="185" w:lineRule="exact"/>
        <w:rPr>
          <w:sz w:val="20"/>
          <w:szCs w:val="20"/>
          <w:color w:val="auto"/>
        </w:rPr>
      </w:pPr>
    </w:p>
    <w:p>
      <w:pPr>
        <w:jc w:val="both"/>
        <w:ind w:left="660" w:hanging="328"/>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Monthly subscription offering. </w:t>
      </w:r>
      <w:r>
        <w:rPr>
          <w:rFonts w:ascii="Arial" w:cs="Arial" w:eastAsia="Arial" w:hAnsi="Arial"/>
          <w:sz w:val="18"/>
          <w:szCs w:val="18"/>
          <w:color w:val="auto"/>
        </w:rPr>
        <w:t>Through December 31, 2020, we offered standard listing subscription clients access to a listing page on</w:t>
      </w:r>
      <w:r>
        <w:rPr>
          <w:rFonts w:ascii="Arial" w:cs="Arial" w:eastAsia="Arial" w:hAnsi="Arial"/>
          <w:sz w:val="18"/>
          <w:szCs w:val="18"/>
          <w:i w:val="1"/>
          <w:iCs w:val="1"/>
          <w:color w:val="auto"/>
        </w:rPr>
        <w:t xml:space="preserve"> </w:t>
      </w:r>
      <w:r>
        <w:rPr>
          <w:rFonts w:ascii="Arial" w:cs="Arial" w:eastAsia="Arial" w:hAnsi="Arial"/>
          <w:sz w:val="18"/>
          <w:szCs w:val="18"/>
          <w:color w:val="auto"/>
        </w:rPr>
        <w:t>weedmaps.com in addition to free access to our SaaS solutions, including WM Orders, WM Dispatch, WM Exchange, WM Retail and WM Store, along with our API integrations with third-party POS systems. These standard listing clients were also then required to pay a $5.00 technology services fee per delivery order submitted which we imposed beginning in September 2019 (regardless of whether the proposed order was canceled or completed). Standard listing clients did not have access to WM Dashboard, which was only available to clients who purchased our featured listings upsell solution.</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January 1, 2021, we migrated all standard listing subscription clients to our new WM Business subscription package. Under this new subscription package, all retailers continue to receive access to a standard listing page and SaaS solutions. In addition, we began including access to WM Dashboard and eliminated the technology services fee on delivery orders as part of the transition to the new WM Business subscription package. Since January 1, 2021, the number of reservations for pick-up or delivery submitted through our WM Orders or WM Store features has had no impact on our revenue.</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taken a pricing increase concurrent with this transition to reflect the additional value embedded within the WM Business subscription package associated with access to the full SaaS solution set that we offer in a particular jurisdiction, including WM Dashboard and potentially including the compliance and management tools included in our WM Dispatch software solution to help facilitate compliant delivery orders. Our monthly price for the WM Business subscription is generally $495 per month for dispensaries and $395 per month for delivery businesses.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expect a material impact to revenue from the elimination of the technology services fee on delivery orders as these fees were less than 5% of our revenue for the year ending December 31, 2020 and we expect them to be partially offset by the pricing increase associated with the new WM Business subscription package.</w:t>
      </w:r>
    </w:p>
    <w:p>
      <w:pPr>
        <w:spacing w:after="0" w:line="15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Additional offerings. </w:t>
      </w:r>
      <w:r>
        <w:rPr>
          <w:rFonts w:ascii="Arial" w:cs="Arial" w:eastAsia="Arial" w:hAnsi="Arial"/>
          <w:sz w:val="18"/>
          <w:szCs w:val="18"/>
          <w:color w:val="auto"/>
        </w:rPr>
        <w:t>We also offer several add-on and upsell solutions to our paying subscription clients, including:</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Nearby listings, which allow clients to increase presence in adjacent regions next to their home region to the extent permitted by their license.</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Promoted deals, which allows retailers to showcase discounts and promotions on products to assist price-conscious consumers.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Display advertising, which provides clients with targeted ad solutions in highly visible slots across our digital surfaces.</w:t>
      </w:r>
    </w:p>
    <w:p>
      <w:pPr>
        <w:spacing w:after="0" w:line="225"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Featured listings, which allow clients to drive additional traffic through prominent placement on our Weedmaps listings marketplace. These featured listings provide our clients with prominent visibility on our geo-targeted map page views and our homepage within a given market, which drives higher levels of engagement as consumers more easily navigate to a featured listing client’s listing page. We have a fixed inventory of featured listings that we sell in each of our markets and currently price these listings using a competitive bid-auction process, reflecting local market demand. Clients who win the auction are entitled to their featured listing at the fixed price by which they won the auction for a 60-day period, independent of the user engagements we generate to the client’s listing page during that period. As an individual market increases in client density relative to consumer demand, we have the ability to cleave markets, which increases the inventory of available advertising placements that we can monetize.</w:t>
      </w:r>
    </w:p>
    <w:p>
      <w:pPr>
        <w:spacing w:after="0" w:line="15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Featured listings revenue contributed 56% and 76% of our total revenue for the nine months ended September 30, 2021 and the year ended December 31, 2020, respectively. While we have had great success in using our featured listings bid-auction to grow our monthly revenue per client, we believe there is an opportunity to increase pricing further in selected markets by transitioning towards a performance-based pricing model where we sell featured listings inventory on a cost-per-impression or cost-per-click basis. For example, the implied cost-per-click across our featured listings inventory was $0.49 in December 2020, which is significantly lower than other digital marketing platforms servicing less specialized end-markets without requiring the level of user targeting that our platform provides. Further, during the last six months of fiscal 2020, our platform had an average click-through-rate in excess of 10% for our dispensary and delivery featured listings inventory which is significantly higher than other less specialized digital marketing platforms. We recently launched a self-serve bidding engine in select regions within Michigan and Colorado, allowing clients to purchase featured listings on a cost-per-click basis based on a target budget. We will look to expand these performance-based pricing tests in additional markets over time.</w:t>
      </w:r>
    </w:p>
    <w:p>
      <w:pPr>
        <w:spacing w:after="0" w:line="13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seen significant growth in our monthly revenue per client over time. We have generally seen that the longer clients stay on the Weedmaps listings marketplace and leverage our WM Business solutions, the more they spend with us. We have also experienced rising levels of spend by our more recent client cohorts as seen in the below chart, which is dated as of September 30, 2021, where our more recent 2018 and 2019 client cohorts are spending at higher levels in the first three months on the platform vs. our 2016 and 2017 client cohorts.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114935</wp:posOffset>
            </wp:positionV>
            <wp:extent cx="5332095" cy="28803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3209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these dynamics are driven by (i) increasing retail density as license issuance continues within the markets we serve, creating more new potential clients and increased competition among clients we serve, and (ii) more client engagement across our WM Business solution set, leading to an enhanced awareness of the return on investment that our clients receive from spend on our platform.</w:t>
      </w:r>
    </w:p>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sell our offerings in the United States and Canada, and we have a limited number of non-monetized listings in several international countries including Austria, Germany, the Netherlands, Spain, and Switzerland. As of September 30, 2021, we actively operated in over 20 U.S. states and territories that have adult-use and/or medical-use regulations in place.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18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monitor the following key financial and operational metrics to evaluate our business, measure our performance, identify trends affecting our business, formulate business plans, and make strategic decisions.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gridSpan w:val="7"/>
          </w:tcPr>
          <w:p>
            <w:pPr>
              <w:jc w:val="right"/>
              <w:ind w:right="27"/>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4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gridSpan w:val="9"/>
          </w:tcPr>
          <w:p>
            <w:pPr>
              <w:spacing w:after="0"/>
              <w:rPr>
                <w:sz w:val="20"/>
                <w:szCs w:val="20"/>
                <w:color w:val="auto"/>
              </w:rPr>
            </w:pPr>
            <w:r>
              <w:rPr>
                <w:rFonts w:ascii="Arial" w:cs="Arial" w:eastAsia="Arial" w:hAnsi="Arial"/>
                <w:sz w:val="18"/>
                <w:szCs w:val="18"/>
                <w:b w:val="1"/>
                <w:bCs w:val="1"/>
                <w:color w:val="auto"/>
                <w:w w:val="91"/>
              </w:rPr>
              <w:t>(dollars in thousands, except for revenue by client)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101,402</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144,232</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117,470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138,969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12,679</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(375)</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38,830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28,732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73,773</w:t>
            </w:r>
          </w:p>
        </w:tc>
      </w:tr>
      <w:tr>
        <w:trPr>
          <w:trHeight w:val="216"/>
        </w:trPr>
        <w:tc>
          <w:tcPr>
            <w:tcW w:w="46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EBITDA</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15,448</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6,232</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76,985</w:t>
            </w:r>
          </w:p>
        </w:tc>
      </w:tr>
      <w:tr>
        <w:trPr>
          <w:trHeight w:val="216"/>
        </w:trPr>
        <w:tc>
          <w:tcPr>
            <w:tcW w:w="4620" w:type="dxa"/>
            <w:vAlign w:val="bottom"/>
          </w:tcPr>
          <w:p>
            <w:pPr>
              <w:spacing w:after="0" w:line="216" w:lineRule="exact"/>
              <w:rPr>
                <w:sz w:val="20"/>
                <w:szCs w:val="20"/>
                <w:color w:val="auto"/>
              </w:rPr>
            </w:pPr>
            <w:r>
              <w:rPr>
                <w:rFonts w:ascii="Arial" w:cs="Arial" w:eastAsia="Arial" w:hAnsi="Arial"/>
                <w:sz w:val="16"/>
                <w:szCs w:val="16"/>
                <w:color w:val="auto"/>
              </w:rPr>
              <w:t>Adjusted EBITDA</w:t>
            </w:r>
            <w:r>
              <w:rPr>
                <w:rFonts w:ascii="Arial" w:cs="Arial" w:eastAsia="Arial" w:hAnsi="Arial"/>
                <w:sz w:val="25"/>
                <w:szCs w:val="25"/>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17,123</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13,828</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42,808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31,712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27,901</w:t>
            </w:r>
          </w:p>
        </w:tc>
      </w:tr>
      <w:tr>
        <w:trPr>
          <w:trHeight w:val="216"/>
        </w:trPr>
        <w:tc>
          <w:tcPr>
            <w:tcW w:w="46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Average monthly revenue per paying client </w:t>
            </w:r>
            <w:r>
              <w:rPr>
                <w:rFonts w:ascii="Arial" w:cs="Arial" w:eastAsia="Arial" w:hAnsi="Arial"/>
                <w:sz w:val="25"/>
                <w:szCs w:val="25"/>
                <w:color w:val="auto"/>
                <w:vertAlign w:val="superscript"/>
              </w:rPr>
              <w:t>(2)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2,558</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3,682</w:t>
            </w:r>
          </w:p>
        </w:tc>
      </w:tr>
      <w:tr>
        <w:trPr>
          <w:trHeight w:val="216"/>
        </w:trPr>
        <w:tc>
          <w:tcPr>
            <w:tcW w:w="4620" w:type="dxa"/>
            <w:vAlign w:val="bottom"/>
          </w:tcPr>
          <w:p>
            <w:pPr>
              <w:spacing w:after="0" w:line="216" w:lineRule="exact"/>
              <w:rPr>
                <w:sz w:val="20"/>
                <w:szCs w:val="20"/>
                <w:color w:val="auto"/>
              </w:rPr>
            </w:pPr>
            <w:r>
              <w:rPr>
                <w:rFonts w:ascii="Arial" w:cs="Arial" w:eastAsia="Arial" w:hAnsi="Arial"/>
                <w:sz w:val="16"/>
                <w:szCs w:val="16"/>
                <w:color w:val="auto"/>
              </w:rPr>
              <w:t>Average monthly paying clients</w:t>
            </w:r>
            <w:r>
              <w:rPr>
                <w:rFonts w:ascii="Arial" w:cs="Arial" w:eastAsia="Arial" w:hAnsi="Arial"/>
                <w:sz w:val="25"/>
                <w:szCs w:val="25"/>
                <w:color w:val="auto"/>
                <w:vertAlign w:val="superscript"/>
              </w:rPr>
              <w:t>(3)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4,041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4,699</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4,140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4,194</w:t>
            </w:r>
          </w:p>
        </w:tc>
      </w:tr>
      <w:tr>
        <w:trPr>
          <w:trHeight w:val="216"/>
        </w:trPr>
        <w:tc>
          <w:tcPr>
            <w:tcW w:w="46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MAUs (in thousands)</w:t>
            </w:r>
            <w:r>
              <w:rPr>
                <w:rFonts w:ascii="Arial" w:cs="Arial" w:eastAsia="Arial" w:hAnsi="Arial"/>
                <w:sz w:val="25"/>
                <w:szCs w:val="25"/>
                <w:color w:val="auto"/>
                <w:vertAlign w:val="superscript"/>
              </w:rPr>
              <w:t>(4)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0712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40" w:right="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further information about how we calculate EBITDA and Adjusted EBITDA as well as limitations of its use and a reconciliation of EBITDA and Adjusted EBITDA to net income, see “-EBITDA and Adjusted EBITDA” below.</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Average monthly revenue per paying client is defined as the average monthly revenue for any particular period divided by the average monthly paying clients in the same respective period. See “-Average Monthly Revenue Per Paying Client” below for more information regarding average monthly revenue per paying client.</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Average monthly paying clients are defined as the average of the number of paying clients billed in a month across a particular period (and for which services were provided). See “—Average Monthly Paying Clients” below for a description of how we used to calculate average monthly paying clients.</w:t>
      </w:r>
    </w:p>
    <w:p>
      <w:pPr>
        <w:spacing w:after="0" w:line="7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MAUs are defined as the number of unique users opening our Weedmaps mobile app or accessing our Weedmaps.com website over the course of a calendar month. Monthly active users in this table is for the last month in the period. See “-MAUs” below for more information regarding MAUs.</w:t>
      </w:r>
    </w:p>
    <w:p>
      <w:pPr>
        <w:sectPr>
          <w:pgSz w:w="11900" w:h="16838" w:orient="portrait"/>
          <w:cols w:equalWidth="0" w:num="1">
            <w:col w:w="11240"/>
          </w:cols>
          <w:pgMar w:left="320" w:top="122" w:right="33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generate revenue from the sale of monthly subscriptions and our additional offerings as described previously. Our monthly subscription offering is sold based on a fixed price per month with the pricing based on the type of client. These subscriptions generally have one-month terms that automatically renew unless notice of cancellation is provided in advance. Our additional offerings range in price and terms. For clients that pay us in advance for subscription and other services, we record deferred revenue and recognize revenue over the applicable term of services provided.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non-cash, unusual and/or infrequent costs in the case of Adjusted EBITDA. Below we have provided a reconciliation of net income (the most directly comparable GAAP financial measure) to EBITDA and from EBITDA to Adjusted EBITDA.</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1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130" w:lineRule="exact"/>
        <w:rPr>
          <w:sz w:val="20"/>
          <w:szCs w:val="20"/>
          <w:color w:val="auto"/>
        </w:rPr>
      </w:pPr>
    </w:p>
    <w:p>
      <w:pPr>
        <w:jc w:val="both"/>
        <w:ind w:left="66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EBITDA and Adjusted EBITDA do not reflect tax payments that may represent a reduction in cash available to us.</w:t>
      </w:r>
    </w:p>
    <w:p>
      <w:pPr>
        <w:spacing w:after="0" w:line="18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Because of these limitations, you should consider EBITDA and Adjusted EBITDA alongside other financial performance measures, including net income and our other GAAP results.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net income to non-GAAP EBITDA and Adjusted EBITDA for the nine months ended September 30, 2021 and 2020, respectively: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53"/>
        </w:trPr>
        <w:tc>
          <w:tcPr>
            <w:tcW w:w="1020" w:type="dxa"/>
            <w:vAlign w:val="bottom"/>
            <w:tcBorders>
              <w:top w:val="single" w:sz="8" w:color="0000EE"/>
            </w:tcBorders>
          </w:tcPr>
          <w:p>
            <w:pPr>
              <w:spacing w:after="0"/>
              <w:rPr>
                <w:sz w:val="24"/>
                <w:szCs w:val="24"/>
                <w:color w:val="auto"/>
              </w:rPr>
            </w:pPr>
          </w:p>
        </w:tc>
        <w:tc>
          <w:tcPr>
            <w:tcW w:w="7660" w:type="dxa"/>
            <w:vAlign w:val="bottom"/>
          </w:tcPr>
          <w:p>
            <w:pPr>
              <w:spacing w:after="0"/>
              <w:rPr>
                <w:sz w:val="24"/>
                <w:szCs w:val="24"/>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73,773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28,732</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EBITDA</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76,985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31,712</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23,625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(83,628)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 transaction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Impairment of right-of-use asset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related bonus payment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Transaction costs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reconciliation of net income (loss) to non-GAAP EBITDA and Adjusted EBITDA for the years ended December 31, 2018, 2019 and 2020, respectively: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198"/>
        </w:trPr>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7"/>
              </w:rPr>
              <w:t>(dollars in</w:t>
            </w:r>
          </w:p>
        </w:tc>
        <w:tc>
          <w:tcPr>
            <w:tcW w:w="1340" w:type="dxa"/>
            <w:vAlign w:val="bottom"/>
            <w:gridSpan w:val="3"/>
          </w:tcPr>
          <w:p>
            <w:pPr>
              <w:jc w:val="right"/>
              <w:spacing w:after="0" w:line="198" w:lineRule="exact"/>
              <w:rPr>
                <w:sz w:val="20"/>
                <w:szCs w:val="20"/>
                <w:color w:val="auto"/>
              </w:rPr>
            </w:pPr>
            <w:r>
              <w:rPr>
                <w:rFonts w:ascii="Arial" w:cs="Arial" w:eastAsia="Arial" w:hAnsi="Arial"/>
                <w:sz w:val="18"/>
                <w:szCs w:val="18"/>
                <w:b w:val="1"/>
                <w:bCs w:val="1"/>
                <w:color w:val="auto"/>
                <w:w w:val="79"/>
              </w:rPr>
              <w:t>thousands, except</w:t>
            </w:r>
          </w:p>
        </w:tc>
        <w:tc>
          <w:tcPr>
            <w:tcW w:w="2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83"/>
              </w:rPr>
              <w:t>for</w:t>
            </w:r>
          </w:p>
        </w:tc>
        <w:tc>
          <w:tcPr>
            <w:tcW w:w="1120" w:type="dxa"/>
            <w:vAlign w:val="bottom"/>
            <w:gridSpan w:val="2"/>
          </w:tcPr>
          <w:p>
            <w:pPr>
              <w:jc w:val="right"/>
              <w:ind w:right="150"/>
              <w:spacing w:after="0" w:line="198" w:lineRule="exact"/>
              <w:rPr>
                <w:sz w:val="20"/>
                <w:szCs w:val="20"/>
                <w:color w:val="auto"/>
              </w:rPr>
            </w:pPr>
            <w:r>
              <w:rPr>
                <w:rFonts w:ascii="Arial" w:cs="Arial" w:eastAsia="Arial" w:hAnsi="Arial"/>
                <w:sz w:val="18"/>
                <w:szCs w:val="18"/>
                <w:b w:val="1"/>
                <w:bCs w:val="1"/>
                <w:color w:val="auto"/>
                <w:w w:val="90"/>
              </w:rPr>
              <w:t>revenue by</w:t>
            </w:r>
          </w:p>
        </w:tc>
        <w:tc>
          <w:tcPr>
            <w:tcW w:w="100" w:type="dxa"/>
            <w:vAlign w:val="bottom"/>
          </w:tcPr>
          <w:p>
            <w:pPr>
              <w:spacing w:after="0"/>
              <w:rPr>
                <w:sz w:val="17"/>
                <w:szCs w:val="17"/>
                <w:color w:val="auto"/>
              </w:rPr>
            </w:pPr>
          </w:p>
        </w:tc>
      </w:tr>
      <w:tr>
        <w:trPr>
          <w:trHeight w:val="234"/>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client)</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12,679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38,830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Interest expenses &amp; taxes</w:t>
            </w:r>
          </w:p>
        </w:tc>
        <w:tc>
          <w:tcPr>
            <w:tcW w:w="16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1,445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5,162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3,978</w:t>
            </w:r>
          </w:p>
        </w:tc>
      </w:tr>
      <w:tr>
        <w:trPr>
          <w:trHeight w:val="27"/>
        </w:trPr>
        <w:tc>
          <w:tcPr>
            <w:tcW w:w="7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EBITDA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15,448</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6,232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42,808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1,675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Financing fees</w:t>
            </w:r>
          </w:p>
        </w:tc>
        <w:tc>
          <w:tcPr>
            <w:tcW w:w="16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3,394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Reduction in force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4,202</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17,123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13,828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42,808</w:t>
            </w:r>
          </w:p>
        </w:tc>
      </w:tr>
      <w:tr>
        <w:trPr>
          <w:trHeight w:val="426"/>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Average Monthly Revenue Per Paying Client</w:t>
            </w: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We have consistently grown our monthly revenue per paying client, reflecting the increased functionality we have provided over time with our WM Business software solutions and the increased retailer density within the markets we serve.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Paying Clients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define average monthly paying clients as the monthly average of clients billed each month over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While we have historically seen consistent growth in the number of our paying clients, we saw a decline starting in late 2017 through the first half of 2018 that we believe was driven by the uncertainty around legalization of adult-use cannabis by California on January 2, 2018. The first half of 2018 was a transition period within the state of California during which only temporary licenses were granted to local retailers and the status and scope of permanent licenses was uncertain. During such time, we experienced a decline in paying clients, which moderated in the second half of 2018 when we saw our results in California to begin to return to more typical patterns. On December 31, 2019, we discontinued our service to California-based clients who failed to provide valid licensing information, in accordance with our prior announcement in August 2019 to support only licensed cannabis retail operators and their partners on our platform. As a result, we experienced a high level of client churn in January as a result of the elimination of these operators. In June 2020, we initiated a similar effort in Canada to discontinue services to Canada-based retail operators clients who failed to provide valid license information, which drove a decline in paying clients beginning in September 2020. This reset of Canada was completed on November 30, 2020.</w:t>
      </w:r>
    </w:p>
    <w:p>
      <w:pPr>
        <w:sectPr>
          <w:pgSz w:w="11900" w:h="16838" w:orient="portrait"/>
          <w:cols w:equalWidth="0" w:num="1">
            <w:col w:w="11240"/>
          </w:cols>
          <w:pgMar w:left="320" w:top="114" w:right="33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MAUs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define MAUs as the number of unique users opening our Weedmaps mobile app or accessing our Weedmaps.com website over the course of a calendar month. In any particular period, we determine our number of MAUs by counting the total number of users who have engaged with the weedmaps.com site during the final calendar month of the given period. Beginning in March 2021, we began tracking and including the MAUs related to the Learn section on weedmaps.com into our calculation of MAUs. We view the number of MAUs as a key indicator of our growth, the breadth and reach of our weedmaps.com site, the value proposition and consumer awareness of our brand, the continued use of our sites by our users and their level of interest in the cannabis industry.</w:t>
      </w:r>
    </w:p>
    <w:p>
      <w:pPr>
        <w:spacing w:after="0" w:line="15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our business has grown, our MAUs increased each year from 2018 through 2020. This increase is due to a number of factors including, but not limited to, our continued expansion into new markets, further investments in our existing markets, increase in marketing spend, including web advertising, and the general increased awareness of our platform as the cannabis industry has grown and jurisdictions experience continued legalization of cannabis for medical and/or adult use. We also believe we were increasingly efficient with our marketing spend and, therefore, have been able to acquire users at lower costs. However, as our platform has grown organically, our MAU growth rates have at times naturally slowed and we may experience similarly slower growth rates in the future, even if we continue to add MAUs on an absolute basis. While it is not possible to identify all drivers of a change in any given period, an increase or decrease in digital marketing spend as well as significant market shifts including the removal of clients who fail to provide valid licensing information in certain markets can have outsized impacts on MAU growth. We cannot determine what, if any, impact the pandemic had on our MAU growth in 2020.</w:t>
      </w:r>
    </w:p>
    <w:p>
      <w:pPr>
        <w:spacing w:after="0" w:line="1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Since the beginning of the pandemic, we have continued to grow our MAUs, reaching 13.9 million at September 30, 2021. While we believe, like other industries, the pandemic accelerated existing trends towards consumer adoption of online platforms, we cannot be certain to what impact, if any, the end of the pandemic will have on our MAUs or MAU growth.</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as we increase MAUs, we increase the value of our bundled SaaS solutions to business customers.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of Our Two-Sided Weedmaps Listings Marketplace</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historically grown through and intend to focus on continuing to grow through the expansion of our two-sided listings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Retention of Our Paying Clients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Our monthly net dollar retention, which is defined as total revenue from clients in a given month who were paying clients in the immediately preceding month, averaged at 101% in the first nine months of 2021. Our monthly net dollar retention averaged 100% for the eleven months between February 1 and December 31, 2020 (we exclude January 2020 given the high level of client churn that we experienced as a result of our decision to remove clients in California who failed to provide valid licensing information at the end of 2019). We removed our paid Canada-based retail operator clients who failed to provide valid license information beginning in September 2020 (following the earlier removal of such Canada-based clients who were receiving free listing subscriptions), which resulted in a decrease in our overall net dollar retention by 7% for the period from September 2020 to December 2020. For fiscal years 2018-2019, our monthly net dollar retention averaged 98%.</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Maturation of Cannabis Markets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that we will have significant opportunities for greater growth as more jurisdictions legalize cannabis for medical and/or adult use and the regulatory environment continues to develop. Thirty-seven U.S. states, the District of Columbia, Puerto Rico, and several U.S. territories have legalized some form of whole-plant cannabis cultivation, sales, and use for certain medical purposes. Eighteen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1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also have a significant opportunity to monetize transactions originating from users engaging with a retailer on the Weedmaps listings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14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 Recognition and Reputation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14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Growth</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intend to continue to make focused organic and inorganic investments to grow our revenue and scale operations to support that growth.</w:t>
      </w:r>
    </w:p>
    <w:p>
      <w:pPr>
        <w:spacing w:after="0" w:line="1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September 30, 2021, we completed two acquisitions.</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September 3, 2021, the Company acquired certain assets of the Sprout business (“Sprout”), a leading, cloud-based customer relationship management (“CRM”) and marketing platform for the cannabis industry.</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September 29, 2021, the Company acquired all of the equity interests of TLHC, which is the parent company of Cannveya &amp; CannCurrent. Cannveya is a logistics platform that enables the compliant delivery of cannabis and CannCurrent is a technology integrations and connectors platform facilitating custom integrations with third party technology providers.</w:t>
      </w:r>
    </w:p>
    <w:p>
      <w:pPr>
        <w:spacing w:after="0" w:line="14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are working towards the integration of these businesses and will invest in them appropriately to scale both solutions in the fiscal year 2022. We will also continue to explore inorganic opportunities that can help support and accelerate growth opportunities and new market openings.</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operating expenses and capital expenditures fluctuate over time, we may accordingly experience short-term, negative impacts to our operating results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generate revenue from the sale of our subscription offerings, which consist of access to the Weedmaps listings marketplace and SaaS solutions, as well as our additional offerings, which include featured listings placements, nearby listings, deal promotions and display advertising products. Our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We also have generated revenue in the past on delivery orders placed through weedmaps.com, though this revenue was discontinued effective January 1, 2021, when we migrated clients to our new WM Business subscription offering. For clients that pay us in advance for listing and placement subscriptions services we record deferred revenue and recognizes revenue over the applicable subscription term.</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primarily consists of web hosting, internet service, and credit card processing costs. Cost of sales is primarily driven by increases in revenue leading to increases in credit card processing and web hosting cost. We expect our cost of revenue to continue to increase on an absolute basis and remain relatively flat as a percentage of revenue as we scale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Depreciation and amortization expenses primarily consist of depreciation on computer equipment, furniture and fixtures, leasehold improvements, and amortization of purchased intangibles. We expect depreciation and amortization expenses to increase on an absolute basis for the foreseeable future as we scale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expense consists primarily of political contributions, interest expense, legal settlements, financing fees and other tax related expenses. Other income consists of change in fair value of warrant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46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53"/>
        </w:trPr>
        <w:tc>
          <w:tcPr>
            <w:tcW w:w="1020" w:type="dxa"/>
            <w:vAlign w:val="bottom"/>
            <w:tcBorders>
              <w:top w:val="single" w:sz="8" w:color="0000EE"/>
            </w:tcBorders>
          </w:tcPr>
          <w:p>
            <w:pPr>
              <w:spacing w:after="0"/>
              <w:rPr>
                <w:sz w:val="24"/>
                <w:szCs w:val="24"/>
                <w:color w:val="auto"/>
              </w:rPr>
            </w:pPr>
          </w:p>
        </w:tc>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8"/>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10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80" w:type="dxa"/>
            <w:vAlign w:val="bottom"/>
            <w:gridSpan w:val="10"/>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40" w:type="dxa"/>
            <w:vAlign w:val="bottom"/>
          </w:tcPr>
          <w:p>
            <w:pPr>
              <w:spacing w:after="0"/>
              <w:rPr>
                <w:sz w:val="20"/>
                <w:szCs w:val="20"/>
                <w:color w:val="auto"/>
              </w:rPr>
            </w:pPr>
          </w:p>
        </w:tc>
        <w:tc>
          <w:tcPr>
            <w:tcW w:w="2400" w:type="dxa"/>
            <w:vAlign w:val="bottom"/>
            <w:gridSpan w:val="8"/>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10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w w:val="84"/>
              </w:rPr>
              <w:t>(dollars in thousands)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101,402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161,791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117,470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138,969</w:t>
            </w:r>
          </w:p>
        </w:tc>
      </w:tr>
      <w:tr>
        <w:trPr>
          <w:trHeight w:val="216"/>
        </w:trPr>
        <w:tc>
          <w:tcPr>
            <w:tcW w:w="10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1040" w:type="dxa"/>
            <w:vAlign w:val="bottom"/>
            <w:gridSpan w:val="2"/>
          </w:tcPr>
          <w:p>
            <w:pPr>
              <w:jc w:val="center"/>
              <w:ind w:left="471"/>
              <w:spacing w:after="0"/>
              <w:rPr>
                <w:sz w:val="20"/>
                <w:szCs w:val="20"/>
                <w:color w:val="auto"/>
              </w:rPr>
            </w:pPr>
            <w:r>
              <w:rPr>
                <w:rFonts w:ascii="Arial" w:cs="Arial" w:eastAsia="Arial" w:hAnsi="Arial"/>
                <w:sz w:val="18"/>
                <w:szCs w:val="18"/>
                <w:color w:val="auto"/>
                <w:w w:val="88"/>
              </w:rPr>
              <w:t>6,304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7,630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5,572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5,800</w:t>
            </w: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center"/>
              <w:ind w:left="371"/>
              <w:spacing w:after="0"/>
              <w:rPr>
                <w:sz w:val="20"/>
                <w:szCs w:val="20"/>
                <w:color w:val="auto"/>
              </w:rPr>
            </w:pPr>
            <w:r>
              <w:rPr>
                <w:rFonts w:ascii="Arial" w:cs="Arial" w:eastAsia="Arial" w:hAnsi="Arial"/>
                <w:sz w:val="18"/>
                <w:szCs w:val="18"/>
                <w:color w:val="auto"/>
                <w:w w:val="90"/>
              </w:rPr>
              <w:t>17,799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39,746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21,437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37,194</w:t>
            </w: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Product development</w:t>
            </w:r>
          </w:p>
        </w:tc>
        <w:tc>
          <w:tcPr>
            <w:tcW w:w="140" w:type="dxa"/>
            <w:vAlign w:val="bottom"/>
          </w:tcPr>
          <w:p>
            <w:pPr>
              <w:spacing w:after="0"/>
              <w:rPr>
                <w:sz w:val="18"/>
                <w:szCs w:val="18"/>
                <w:color w:val="auto"/>
              </w:rPr>
            </w:pPr>
          </w:p>
        </w:tc>
        <w:tc>
          <w:tcPr>
            <w:tcW w:w="1040" w:type="dxa"/>
            <w:vAlign w:val="bottom"/>
            <w:gridSpan w:val="2"/>
          </w:tcPr>
          <w:p>
            <w:pPr>
              <w:jc w:val="center"/>
              <w:ind w:left="371"/>
              <w:spacing w:after="0"/>
              <w:rPr>
                <w:sz w:val="20"/>
                <w:szCs w:val="20"/>
                <w:color w:val="auto"/>
              </w:rPr>
            </w:pPr>
            <w:r>
              <w:rPr>
                <w:rFonts w:ascii="Arial" w:cs="Arial" w:eastAsia="Arial" w:hAnsi="Arial"/>
                <w:sz w:val="18"/>
                <w:szCs w:val="18"/>
                <w:color w:val="auto"/>
                <w:w w:val="90"/>
              </w:rPr>
              <w:t>20,034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29,497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27,142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20,325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25,921</w:t>
            </w: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center"/>
              <w:ind w:left="371"/>
              <w:spacing w:after="0"/>
              <w:rPr>
                <w:sz w:val="20"/>
                <w:szCs w:val="20"/>
                <w:color w:val="auto"/>
              </w:rPr>
            </w:pPr>
            <w:r>
              <w:rPr>
                <w:rFonts w:ascii="Arial" w:cs="Arial" w:eastAsia="Arial" w:hAnsi="Arial"/>
                <w:sz w:val="18"/>
                <w:szCs w:val="18"/>
                <w:color w:val="auto"/>
                <w:w w:val="90"/>
              </w:rPr>
              <w:t>38,935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56,466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51,127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37,147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70,356</w:t>
            </w:r>
          </w:p>
        </w:tc>
      </w:tr>
      <w:tr>
        <w:trPr>
          <w:trHeight w:val="223"/>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040" w:type="dxa"/>
            <w:vAlign w:val="bottom"/>
            <w:gridSpan w:val="2"/>
          </w:tcPr>
          <w:p>
            <w:pPr>
              <w:jc w:val="center"/>
              <w:ind w:left="471"/>
              <w:spacing w:after="0"/>
              <w:rPr>
                <w:sz w:val="20"/>
                <w:szCs w:val="20"/>
                <w:color w:val="auto"/>
              </w:rPr>
            </w:pPr>
            <w:r>
              <w:rPr>
                <w:rFonts w:ascii="Arial" w:cs="Arial" w:eastAsia="Arial" w:hAnsi="Arial"/>
                <w:sz w:val="18"/>
                <w:szCs w:val="18"/>
                <w:color w:val="auto"/>
                <w:w w:val="88"/>
              </w:rPr>
              <w:t>2,149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5,162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2,980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2,970</w:t>
            </w:r>
          </w:p>
        </w:tc>
      </w:tr>
      <w:tr>
        <w:trPr>
          <w:trHeight w:val="223"/>
        </w:trPr>
        <w:tc>
          <w:tcPr>
            <w:tcW w:w="4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gridSpan w:val="2"/>
            <w:shd w:val="clear" w:color="auto" w:fill="CCEEFF"/>
          </w:tcPr>
          <w:p>
            <w:pPr>
              <w:jc w:val="center"/>
              <w:ind w:left="371"/>
              <w:spacing w:after="0"/>
              <w:rPr>
                <w:sz w:val="20"/>
                <w:szCs w:val="20"/>
                <w:color w:val="auto"/>
              </w:rPr>
            </w:pPr>
            <w:r>
              <w:rPr>
                <w:rFonts w:ascii="Arial" w:cs="Arial" w:eastAsia="Arial" w:hAnsi="Arial"/>
                <w:sz w:val="18"/>
                <w:szCs w:val="18"/>
                <w:color w:val="auto"/>
                <w:w w:val="90"/>
              </w:rPr>
              <w:t>85,221</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137,945</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120,593</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87,461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142,241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18"/>
                <w:szCs w:val="18"/>
                <w:color w:val="auto"/>
              </w:rPr>
            </w:pPr>
          </w:p>
        </w:tc>
        <w:tc>
          <w:tcPr>
            <w:tcW w:w="1040" w:type="dxa"/>
            <w:vAlign w:val="bottom"/>
            <w:gridSpan w:val="2"/>
          </w:tcPr>
          <w:p>
            <w:pPr>
              <w:jc w:val="center"/>
              <w:ind w:left="371"/>
              <w:spacing w:after="0"/>
              <w:rPr>
                <w:sz w:val="20"/>
                <w:szCs w:val="20"/>
                <w:color w:val="auto"/>
              </w:rPr>
            </w:pPr>
            <w:r>
              <w:rPr>
                <w:rFonts w:ascii="Arial" w:cs="Arial" w:eastAsia="Arial" w:hAnsi="Arial"/>
                <w:sz w:val="18"/>
                <w:szCs w:val="18"/>
                <w:color w:val="auto"/>
                <w:w w:val="90"/>
              </w:rPr>
              <w:t>16,181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41,198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30,009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(3,272)</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83,628</w:t>
            </w: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271"/>
              <w:spacing w:after="0"/>
              <w:rPr>
                <w:sz w:val="20"/>
                <w:szCs w:val="20"/>
                <w:color w:val="auto"/>
              </w:rPr>
            </w:pPr>
            <w:r>
              <w:rPr>
                <w:rFonts w:ascii="Arial" w:cs="Arial" w:eastAsia="Arial" w:hAnsi="Arial"/>
                <w:sz w:val="18"/>
                <w:szCs w:val="18"/>
                <w:color w:val="auto"/>
                <w:w w:val="91"/>
              </w:rPr>
              <w:t>(1,827)</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(5,341)</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(2,368)</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(6,341)</w:t>
            </w:r>
          </w:p>
        </w:tc>
      </w:tr>
      <w:tr>
        <w:trPr>
          <w:trHeight w:val="27"/>
        </w:trPr>
        <w:tc>
          <w:tcPr>
            <w:tcW w:w="102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040" w:type="dxa"/>
            <w:vAlign w:val="bottom"/>
            <w:gridSpan w:val="2"/>
          </w:tcPr>
          <w:p>
            <w:pPr>
              <w:jc w:val="center"/>
              <w:ind w:left="371"/>
              <w:spacing w:after="0"/>
              <w:rPr>
                <w:sz w:val="20"/>
                <w:szCs w:val="20"/>
                <w:color w:val="auto"/>
              </w:rPr>
            </w:pPr>
            <w:r>
              <w:rPr>
                <w:rFonts w:ascii="Arial" w:cs="Arial" w:eastAsia="Arial" w:hAnsi="Arial"/>
                <w:sz w:val="18"/>
                <w:szCs w:val="18"/>
                <w:color w:val="auto"/>
                <w:w w:val="90"/>
              </w:rPr>
              <w:t>14,354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946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38,830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28,732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74,015</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r>
      <w:tr>
        <w:trPr>
          <w:trHeight w:val="27"/>
        </w:trPr>
        <w:tc>
          <w:tcPr>
            <w:tcW w:w="102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spacing w:after="0"/>
              <w:rPr>
                <w:sz w:val="18"/>
                <w:szCs w:val="18"/>
                <w:color w:val="auto"/>
              </w:rPr>
            </w:pPr>
          </w:p>
        </w:tc>
        <w:tc>
          <w:tcPr>
            <w:tcW w:w="1040" w:type="dxa"/>
            <w:vAlign w:val="bottom"/>
            <w:gridSpan w:val="2"/>
          </w:tcPr>
          <w:p>
            <w:pPr>
              <w:jc w:val="center"/>
              <w:ind w:left="371"/>
              <w:spacing w:after="0"/>
              <w:rPr>
                <w:sz w:val="20"/>
                <w:szCs w:val="20"/>
                <w:color w:val="auto"/>
              </w:rPr>
            </w:pPr>
            <w:r>
              <w:rPr>
                <w:rFonts w:ascii="Arial" w:cs="Arial" w:eastAsia="Arial" w:hAnsi="Arial"/>
                <w:sz w:val="18"/>
                <w:szCs w:val="18"/>
                <w:color w:val="auto"/>
                <w:w w:val="90"/>
              </w:rPr>
              <w:t>14,354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9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38,830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27,732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73,773</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271"/>
              <w:spacing w:after="0"/>
              <w:rPr>
                <w:sz w:val="20"/>
                <w:szCs w:val="20"/>
                <w:color w:val="auto"/>
              </w:rPr>
            </w:pPr>
            <w:r>
              <w:rPr>
                <w:rFonts w:ascii="Arial" w:cs="Arial" w:eastAsia="Arial" w:hAnsi="Arial"/>
                <w:sz w:val="18"/>
                <w:szCs w:val="18"/>
                <w:color w:val="auto"/>
                <w:w w:val="91"/>
              </w:rPr>
              <w:t>(1,675)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8"/>
                <w:szCs w:val="18"/>
                <w:color w:val="auto"/>
              </w:rPr>
            </w:pPr>
          </w:p>
        </w:tc>
        <w:tc>
          <w:tcPr>
            <w:tcW w:w="1040" w:type="dxa"/>
            <w:vAlign w:val="bottom"/>
            <w:gridSpan w:val="2"/>
          </w:tcPr>
          <w:p>
            <w:pPr>
              <w:jc w:val="center"/>
              <w:ind w:left="371"/>
              <w:spacing w:after="0"/>
              <w:rPr>
                <w:sz w:val="20"/>
                <w:szCs w:val="20"/>
                <w:color w:val="auto"/>
              </w:rPr>
            </w:pPr>
            <w:r>
              <w:rPr>
                <w:rFonts w:ascii="Arial" w:cs="Arial" w:eastAsia="Arial" w:hAnsi="Arial"/>
                <w:sz w:val="18"/>
                <w:szCs w:val="18"/>
                <w:color w:val="auto"/>
                <w:w w:val="90"/>
              </w:rPr>
              <w:t>12,679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9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38,830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28,732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73,773</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48,675</w:t>
            </w:r>
          </w:p>
        </w:tc>
      </w:tr>
      <w:tr>
        <w:trPr>
          <w:trHeight w:val="27"/>
        </w:trPr>
        <w:tc>
          <w:tcPr>
            <w:tcW w:w="102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Net income (loss) attributable to WM Technology, Inc.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center"/>
              <w:ind w:left="371"/>
              <w:spacing w:after="0"/>
              <w:rPr>
                <w:sz w:val="20"/>
                <w:szCs w:val="20"/>
                <w:color w:val="auto"/>
              </w:rPr>
            </w:pPr>
            <w:r>
              <w:rPr>
                <w:rFonts w:ascii="Arial" w:cs="Arial" w:eastAsia="Arial" w:hAnsi="Arial"/>
                <w:sz w:val="18"/>
                <w:szCs w:val="18"/>
                <w:color w:val="auto"/>
                <w:w w:val="90"/>
              </w:rPr>
              <w:t>12,679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90"/>
              <w:spacing w:after="0"/>
              <w:rPr>
                <w:sz w:val="20"/>
                <w:szCs w:val="20"/>
                <w:color w:val="auto"/>
              </w:rPr>
            </w:pPr>
            <w:r>
              <w:rPr>
                <w:rFonts w:ascii="Arial" w:cs="Arial" w:eastAsia="Arial" w:hAnsi="Arial"/>
                <w:sz w:val="18"/>
                <w:szCs w:val="18"/>
                <w:color w:val="auto"/>
              </w:rPr>
              <w:t>(375)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38,830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28,732</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25,098</w:t>
            </w:r>
          </w:p>
        </w:tc>
      </w:tr>
      <w:tr>
        <w:trPr>
          <w:trHeight w:val="21"/>
        </w:trPr>
        <w:tc>
          <w:tcPr>
            <w:tcW w:w="10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8"/>
          </w:tcPr>
          <w:p>
            <w:pPr>
              <w:jc w:val="right"/>
              <w:ind w:right="700"/>
              <w:spacing w:after="0"/>
              <w:rPr>
                <w:sz w:val="20"/>
                <w:szCs w:val="20"/>
                <w:color w:val="auto"/>
              </w:rPr>
            </w:pPr>
            <w:r>
              <w:rPr>
                <w:rFonts w:ascii="Arial" w:cs="Arial" w:eastAsia="Arial" w:hAnsi="Arial"/>
                <w:sz w:val="18"/>
                <w:szCs w:val="18"/>
                <w:b w:val="1"/>
                <w:bCs w:val="1"/>
                <w:color w:val="auto"/>
                <w:w w:val="99"/>
              </w:rPr>
              <w:t>Nine Months Ended</w:t>
            </w:r>
          </w:p>
        </w:tc>
      </w:tr>
      <w:tr>
        <w:trPr>
          <w:trHeight w:val="241"/>
        </w:trPr>
        <w:tc>
          <w:tcPr>
            <w:tcW w:w="10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7"/>
          </w:tcPr>
          <w:p>
            <w:pPr>
              <w:jc w:val="center"/>
              <w:ind w:left="451"/>
              <w:spacing w:after="0"/>
              <w:rPr>
                <w:sz w:val="20"/>
                <w:szCs w:val="20"/>
                <w:color w:val="auto"/>
              </w:rPr>
            </w:pPr>
            <w:r>
              <w:rPr>
                <w:rFonts w:ascii="Arial" w:cs="Arial" w:eastAsia="Arial" w:hAnsi="Arial"/>
                <w:sz w:val="18"/>
                <w:szCs w:val="18"/>
                <w:b w:val="1"/>
                <w:bCs w:val="1"/>
                <w:color w:val="auto"/>
                <w:w w:val="90"/>
              </w:rPr>
              <w:t>Year Ended December 31,</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8"/>
          </w:tcPr>
          <w:p>
            <w:pPr>
              <w:jc w:val="right"/>
              <w:ind w:right="9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10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4"/>
              </w:rPr>
              <w:t>2018</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2019</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2020</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36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1020" w:type="dxa"/>
            <w:vAlign w:val="bottom"/>
          </w:tcPr>
          <w:p>
            <w:pPr>
              <w:spacing w:after="0"/>
              <w:rPr>
                <w:sz w:val="18"/>
                <w:szCs w:val="18"/>
                <w:color w:val="auto"/>
              </w:rPr>
            </w:pPr>
          </w:p>
        </w:tc>
        <w:tc>
          <w:tcPr>
            <w:tcW w:w="36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1040" w:type="dxa"/>
            <w:vAlign w:val="bottom"/>
            <w:gridSpan w:val="2"/>
          </w:tcPr>
          <w:p>
            <w:pPr>
              <w:jc w:val="center"/>
              <w:ind w:left="471"/>
              <w:spacing w:after="0"/>
              <w:rPr>
                <w:sz w:val="20"/>
                <w:szCs w:val="20"/>
                <w:color w:val="auto"/>
              </w:rPr>
            </w:pPr>
            <w:r>
              <w:rPr>
                <w:rFonts w:ascii="Arial" w:cs="Arial" w:eastAsia="Arial" w:hAnsi="Arial"/>
                <w:sz w:val="18"/>
                <w:szCs w:val="18"/>
                <w:color w:val="auto"/>
                <w:w w:val="92"/>
              </w:rPr>
              <w:t>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center"/>
              <w:ind w:left="371"/>
              <w:spacing w:after="0"/>
              <w:rPr>
                <w:sz w:val="20"/>
                <w:szCs w:val="20"/>
                <w:color w:val="auto"/>
              </w:rPr>
            </w:pPr>
            <w:r>
              <w:rPr>
                <w:rFonts w:ascii="Arial" w:cs="Arial" w:eastAsia="Arial" w:hAnsi="Arial"/>
                <w:sz w:val="18"/>
                <w:szCs w:val="18"/>
                <w:color w:val="auto"/>
                <w:w w:val="94"/>
              </w:rPr>
              <w:t>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Product development</w:t>
            </w:r>
          </w:p>
        </w:tc>
        <w:tc>
          <w:tcPr>
            <w:tcW w:w="140" w:type="dxa"/>
            <w:vAlign w:val="bottom"/>
          </w:tcPr>
          <w:p>
            <w:pPr>
              <w:spacing w:after="0"/>
              <w:rPr>
                <w:sz w:val="18"/>
                <w:szCs w:val="18"/>
                <w:color w:val="auto"/>
              </w:rPr>
            </w:pPr>
          </w:p>
        </w:tc>
        <w:tc>
          <w:tcPr>
            <w:tcW w:w="1040" w:type="dxa"/>
            <w:vAlign w:val="bottom"/>
            <w:gridSpan w:val="2"/>
          </w:tcPr>
          <w:p>
            <w:pPr>
              <w:jc w:val="center"/>
              <w:ind w:left="371"/>
              <w:spacing w:after="0"/>
              <w:rPr>
                <w:sz w:val="20"/>
                <w:szCs w:val="20"/>
                <w:color w:val="auto"/>
              </w:rPr>
            </w:pPr>
            <w:r>
              <w:rPr>
                <w:rFonts w:ascii="Arial" w:cs="Arial" w:eastAsia="Arial" w:hAnsi="Arial"/>
                <w:sz w:val="18"/>
                <w:szCs w:val="18"/>
                <w:color w:val="auto"/>
                <w:w w:val="94"/>
              </w:rPr>
              <w:t>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center"/>
              <w:ind w:left="371"/>
              <w:spacing w:after="0"/>
              <w:rPr>
                <w:sz w:val="20"/>
                <w:szCs w:val="20"/>
                <w:color w:val="auto"/>
              </w:rPr>
            </w:pPr>
            <w:r>
              <w:rPr>
                <w:rFonts w:ascii="Arial" w:cs="Arial" w:eastAsia="Arial" w:hAnsi="Arial"/>
                <w:sz w:val="18"/>
                <w:szCs w:val="18"/>
                <w:color w:val="auto"/>
                <w:w w:val="94"/>
              </w:rPr>
              <w:t>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left="471"/>
              <w:spacing w:after="0"/>
              <w:rPr>
                <w:sz w:val="20"/>
                <w:szCs w:val="20"/>
                <w:color w:val="auto"/>
              </w:rPr>
            </w:pPr>
            <w:r>
              <w:rPr>
                <w:rFonts w:ascii="Arial" w:cs="Arial" w:eastAsia="Arial" w:hAnsi="Arial"/>
                <w:sz w:val="18"/>
                <w:szCs w:val="18"/>
                <w:color w:val="auto"/>
                <w:w w:val="92"/>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r>
      <w:tr>
        <w:trPr>
          <w:trHeight w:val="27"/>
        </w:trPr>
        <w:tc>
          <w:tcPr>
            <w:tcW w:w="10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center"/>
              <w:ind w:left="371"/>
              <w:spacing w:after="0"/>
              <w:rPr>
                <w:sz w:val="20"/>
                <w:szCs w:val="20"/>
                <w:color w:val="auto"/>
              </w:rPr>
            </w:pPr>
            <w:r>
              <w:rPr>
                <w:rFonts w:ascii="Arial" w:cs="Arial" w:eastAsia="Arial" w:hAnsi="Arial"/>
                <w:sz w:val="18"/>
                <w:szCs w:val="18"/>
                <w:color w:val="auto"/>
                <w:w w:val="94"/>
              </w:rPr>
              <w:t>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27"/>
        </w:trPr>
        <w:tc>
          <w:tcPr>
            <w:tcW w:w="102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left="371"/>
              <w:spacing w:after="0"/>
              <w:rPr>
                <w:sz w:val="20"/>
                <w:szCs w:val="20"/>
                <w:color w:val="auto"/>
              </w:rPr>
            </w:pPr>
            <w:r>
              <w:rPr>
                <w:rFonts w:ascii="Arial" w:cs="Arial" w:eastAsia="Arial" w:hAnsi="Arial"/>
                <w:sz w:val="18"/>
                <w:szCs w:val="18"/>
                <w:color w:val="auto"/>
                <w:w w:val="94"/>
              </w:rPr>
              <w:t>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tcPr>
          <w:p>
            <w:pPr>
              <w:spacing w:after="0"/>
              <w:rPr>
                <w:sz w:val="18"/>
                <w:szCs w:val="18"/>
                <w:color w:val="auto"/>
              </w:rPr>
            </w:pPr>
          </w:p>
        </w:tc>
        <w:tc>
          <w:tcPr>
            <w:tcW w:w="1040" w:type="dxa"/>
            <w:vAlign w:val="bottom"/>
            <w:gridSpan w:val="2"/>
          </w:tcPr>
          <w:p>
            <w:pPr>
              <w:jc w:val="center"/>
              <w:ind w:left="471"/>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102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left="371"/>
              <w:spacing w:after="0"/>
              <w:rPr>
                <w:sz w:val="20"/>
                <w:szCs w:val="20"/>
                <w:color w:val="auto"/>
              </w:rPr>
            </w:pPr>
            <w:r>
              <w:rPr>
                <w:rFonts w:ascii="Arial" w:cs="Arial" w:eastAsia="Arial" w:hAnsi="Arial"/>
                <w:sz w:val="18"/>
                <w:szCs w:val="18"/>
                <w:color w:val="auto"/>
                <w:w w:val="94"/>
              </w:rPr>
              <w:t>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center"/>
              <w:ind w:left="471"/>
              <w:spacing w:after="0"/>
              <w:rPr>
                <w:sz w:val="20"/>
                <w:szCs w:val="20"/>
                <w:color w:val="auto"/>
              </w:rPr>
            </w:pPr>
            <w:r>
              <w:rPr>
                <w:rFonts w:ascii="Arial" w:cs="Arial" w:eastAsia="Arial" w:hAnsi="Arial"/>
                <w:sz w:val="18"/>
                <w:szCs w:val="18"/>
                <w:color w:val="auto"/>
                <w:w w:val="92"/>
              </w:rPr>
              <w:t>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7"/>
        </w:trPr>
        <w:tc>
          <w:tcPr>
            <w:tcW w:w="102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left="371"/>
              <w:spacing w:after="0"/>
              <w:rPr>
                <w:sz w:val="20"/>
                <w:szCs w:val="20"/>
                <w:color w:val="auto"/>
              </w:rPr>
            </w:pPr>
            <w:r>
              <w:rPr>
                <w:rFonts w:ascii="Arial" w:cs="Arial" w:eastAsia="Arial" w:hAnsi="Arial"/>
                <w:sz w:val="18"/>
                <w:szCs w:val="18"/>
                <w:color w:val="auto"/>
                <w:w w:val="94"/>
              </w:rPr>
              <w:t>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7"/>
        </w:trPr>
        <w:tc>
          <w:tcPr>
            <w:tcW w:w="102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left="371"/>
              <w:spacing w:after="0"/>
              <w:rPr>
                <w:sz w:val="20"/>
                <w:szCs w:val="20"/>
                <w:color w:val="auto"/>
              </w:rPr>
            </w:pPr>
            <w:r>
              <w:rPr>
                <w:rFonts w:ascii="Arial" w:cs="Arial" w:eastAsia="Arial" w:hAnsi="Arial"/>
                <w:sz w:val="18"/>
                <w:szCs w:val="18"/>
                <w:color w:val="auto"/>
                <w:w w:val="94"/>
              </w:rPr>
              <w:t>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center"/>
              <w:ind w:left="471"/>
              <w:spacing w:after="0"/>
              <w:rPr>
                <w:sz w:val="20"/>
                <w:szCs w:val="20"/>
                <w:color w:val="auto"/>
              </w:rPr>
            </w:pPr>
            <w:r>
              <w:rPr>
                <w:rFonts w:ascii="Arial" w:cs="Arial" w:eastAsia="Arial" w:hAnsi="Arial"/>
                <w:sz w:val="18"/>
                <w:szCs w:val="18"/>
                <w:color w:val="auto"/>
                <w:w w:val="92"/>
              </w:rPr>
              <w:t>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7"/>
        </w:trPr>
        <w:tc>
          <w:tcPr>
            <w:tcW w:w="102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Net income attributable to WM Technology, Inc.</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left="371"/>
              <w:spacing w:after="0"/>
              <w:rPr>
                <w:sz w:val="20"/>
                <w:szCs w:val="20"/>
                <w:color w:val="auto"/>
              </w:rPr>
            </w:pPr>
            <w:r>
              <w:rPr>
                <w:rFonts w:ascii="Arial" w:cs="Arial" w:eastAsia="Arial" w:hAnsi="Arial"/>
                <w:sz w:val="18"/>
                <w:szCs w:val="18"/>
                <w:color w:val="auto"/>
                <w:w w:val="94"/>
              </w:rPr>
              <w:t>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r>
      <w:tr>
        <w:trPr>
          <w:trHeight w:val="20"/>
        </w:trPr>
        <w:tc>
          <w:tcPr>
            <w:tcW w:w="10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5"/>
        </w:trPr>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ind w:left="800"/>
              <w:spacing w:after="0"/>
              <w:rPr>
                <w:sz w:val="20"/>
                <w:szCs w:val="20"/>
                <w:color w:val="auto"/>
              </w:rPr>
            </w:pPr>
            <w:r>
              <w:rPr>
                <w:rFonts w:ascii="Arial" w:cs="Arial" w:eastAsia="Arial" w:hAnsi="Arial"/>
                <w:sz w:val="14"/>
                <w:szCs w:val="14"/>
                <w:color w:val="auto"/>
              </w:rPr>
              <w:t>59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426"/>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Comparison of Nine Months Ended September 30, 2021 and 2020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06"/>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1"/>
              </w:rPr>
              <w:t>Nine Months Ended</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134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6"/>
          </w:tcPr>
          <w:p>
            <w:pPr>
              <w:ind w:left="140"/>
              <w:spacing w:after="0"/>
              <w:rPr>
                <w:sz w:val="20"/>
                <w:szCs w:val="20"/>
                <w:color w:val="auto"/>
              </w:rPr>
            </w:pPr>
            <w:r>
              <w:rPr>
                <w:rFonts w:ascii="Arial" w:cs="Arial" w:eastAsia="Arial" w:hAnsi="Arial"/>
                <w:sz w:val="18"/>
                <w:szCs w:val="18"/>
                <w:b w:val="1"/>
                <w:bCs w:val="1"/>
                <w:color w:val="auto"/>
              </w:rPr>
              <w:t>(dollars in thousands)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138,969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117,470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21,499</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bl>
    <w:p>
      <w:pPr>
        <w:spacing w:after="0" w:line="16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Total revenue increased by $21.5 million, or 18% for the nine months ended September 30, 2021 compared to the same period in 2020. The increase was driven by a 19% increase in average monthly revenue per paying client, partially offset by a 1% decrease in average monthly paying clients in the period as a result of factors described below. Our growth in average monthly revenue per paying client reflects continued growth in our WM Business subscription offering and other ad solutions, more client engagement driven by the increased functionality across our WM Business suite of solutions and the impact of the pricing increase related to transitioning all of our standard listing subscription clients to our new WM Business subscription package at the beginning of 2021. These impacts were partially offset by the removal of Canada-based clients who had higher monthly spend than our average client base as well as the elimination of our technology services fee on all delivery orders. For the nine months ended September 30, 2021, Featured Listing product, WM Business subscription offering and other ad solutions represented 56%, 23% and 21% of our total revenues, respectively.</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Total revenue excluding Canada was $139.0 million for the nine months ended September 30, 2021 compared to $91.3 million in the same period in 2020. The increase of $47.7 million, or 52%, in total revenue excluding Canada was primarily driven by a 23% increase in average monthly revenue per paying client and a 24% increase in average monthly paying clients.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Cost of 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06"/>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Pr>
          <w:p>
            <w:pPr>
              <w:spacing w:after="0"/>
              <w:rPr>
                <w:sz w:val="20"/>
                <w:szCs w:val="20"/>
                <w:color w:val="auto"/>
              </w:rPr>
            </w:pPr>
          </w:p>
        </w:tc>
        <w:tc>
          <w:tcPr>
            <w:tcW w:w="860" w:type="dxa"/>
            <w:vAlign w:val="bottom"/>
            <w:gridSpan w:val="3"/>
          </w:tcPr>
          <w:p>
            <w:pPr>
              <w:ind w:left="16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3"/>
          </w:tcPr>
          <w:p>
            <w:pPr>
              <w:ind w:left="140"/>
              <w:spacing w:after="0"/>
              <w:rPr>
                <w:sz w:val="20"/>
                <w:szCs w:val="20"/>
                <w:color w:val="auto"/>
              </w:rPr>
            </w:pPr>
            <w:r>
              <w:rPr>
                <w:rFonts w:ascii="Arial" w:cs="Arial" w:eastAsia="Arial" w:hAnsi="Arial"/>
                <w:sz w:val="18"/>
                <w:szCs w:val="18"/>
                <w:b w:val="1"/>
                <w:bCs w:val="1"/>
                <w:color w:val="auto"/>
                <w:w w:val="92"/>
              </w:rPr>
              <w:t>(dollars in thousands)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5,572</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4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revenues increased by $0.2 million, or 4% for the nine months ended September 30, 2021 compared to the same period in 2020. The increase was due to an increase in web hosting and internet services of $0.8 million due to increased traffic to our website, offset by a decrease of $0.6 million in payment processing fees, as we provided more cost effective payment options to our clients.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 Expenses</w:t>
            </w: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06"/>
        </w:trPr>
        <w:tc>
          <w:tcPr>
            <w:tcW w:w="3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3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134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3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6"/>
          </w:tcPr>
          <w:p>
            <w:pPr>
              <w:ind w:left="140"/>
              <w:spacing w:after="0"/>
              <w:rPr>
                <w:sz w:val="20"/>
                <w:szCs w:val="20"/>
                <w:color w:val="auto"/>
              </w:rPr>
            </w:pPr>
            <w:r>
              <w:rPr>
                <w:rFonts w:ascii="Arial" w:cs="Arial" w:eastAsia="Arial" w:hAnsi="Arial"/>
                <w:sz w:val="18"/>
                <w:szCs w:val="18"/>
                <w:b w:val="1"/>
                <w:bCs w:val="1"/>
                <w:color w:val="auto"/>
              </w:rPr>
              <w:t>(dollars 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21,437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15,757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Percentage of revenue</w:t>
            </w: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3920" w:type="dxa"/>
            <w:vAlign w:val="bottom"/>
          </w:tcPr>
          <w:p>
            <w:pPr>
              <w:spacing w:after="0"/>
              <w:rPr>
                <w:sz w:val="24"/>
                <w:szCs w:val="24"/>
                <w:color w:val="auto"/>
              </w:rPr>
            </w:pPr>
          </w:p>
        </w:tc>
        <w:tc>
          <w:tcPr>
            <w:tcW w:w="2020" w:type="dxa"/>
            <w:vAlign w:val="bottom"/>
          </w:tcPr>
          <w:p>
            <w:pPr>
              <w:jc w:val="right"/>
              <w:ind w:right="159"/>
              <w:spacing w:after="0"/>
              <w:rPr>
                <w:sz w:val="20"/>
                <w:szCs w:val="20"/>
                <w:color w:val="auto"/>
              </w:rPr>
            </w:pPr>
            <w:r>
              <w:rPr>
                <w:rFonts w:ascii="Arial" w:cs="Arial" w:eastAsia="Arial" w:hAnsi="Arial"/>
                <w:sz w:val="14"/>
                <w:szCs w:val="14"/>
                <w:color w:val="auto"/>
              </w:rPr>
              <w:t>60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9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Sales and marketing expenses increased by $15.8 million, or 74% for the nine months ended September 30, 2021 compared to the same period in 2020. The increase was primarily due to an increase in personnel-related costs of $9.7 million, as a result of increased headcount, an increase in sales incentive plan compensation of $1.4 million due to higher revenues, and an increase in stock-based compensation expense of $4.5 million recognized in 2021, an increase in event costs of $2.4 million, primarily related to a large event held in the second quarter of 2021, an increase in online advertising costs of $1.7 million as more advertising options become available in the cannabis industry, an increase in outside services of $0.8 million and an increase in branding and advertising of $0.8 million. Our stock-based compensation increased due in part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third quarter of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06"/>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680" w:type="dxa"/>
            <w:vAlign w:val="bottom"/>
          </w:tcPr>
          <w:p>
            <w:pPr>
              <w:spacing w:after="0"/>
              <w:rPr>
                <w:sz w:val="20"/>
                <w:szCs w:val="20"/>
                <w:color w:val="auto"/>
              </w:rPr>
            </w:pPr>
          </w:p>
        </w:tc>
        <w:tc>
          <w:tcPr>
            <w:tcW w:w="940" w:type="dxa"/>
            <w:vAlign w:val="bottom"/>
            <w:gridSpan w:val="3"/>
          </w:tcPr>
          <w:p>
            <w:pPr>
              <w:ind w:left="2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3"/>
          </w:tcPr>
          <w:p>
            <w:pPr>
              <w:ind w:left="140"/>
              <w:spacing w:after="0"/>
              <w:rPr>
                <w:sz w:val="20"/>
                <w:szCs w:val="20"/>
                <w:color w:val="auto"/>
              </w:rPr>
            </w:pPr>
            <w:r>
              <w:rPr>
                <w:rFonts w:ascii="Arial" w:cs="Arial" w:eastAsia="Arial" w:hAnsi="Arial"/>
                <w:sz w:val="18"/>
                <w:szCs w:val="18"/>
                <w:b w:val="1"/>
                <w:bCs w:val="1"/>
                <w:color w:val="auto"/>
                <w:w w:val="88"/>
              </w:rPr>
              <w:t>(dollars in thousands)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20,325</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5,596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Product development expenses increased by $5.6 million, or 28% for the nine months ended September 30, 2021 compared to the same period in 2020. The increase was due to an increase in personnel-related costs of $8.9 million, as a result of increased headcount and an increase of $3.9 million in stock-based compensation expense recognized in 2021 and an increase in outside services of $0.4 million, offset by capitalized software development costs of $3.7 million. Our stock-based compensation increased due in part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third quarter of 2021.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06"/>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134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6"/>
          </w:tcPr>
          <w:p>
            <w:pPr>
              <w:ind w:left="140"/>
              <w:spacing w:after="0"/>
              <w:rPr>
                <w:sz w:val="20"/>
                <w:szCs w:val="20"/>
                <w:color w:val="auto"/>
              </w:rPr>
            </w:pPr>
            <w:r>
              <w:rPr>
                <w:rFonts w:ascii="Arial" w:cs="Arial" w:eastAsia="Arial" w:hAnsi="Arial"/>
                <w:sz w:val="18"/>
                <w:szCs w:val="18"/>
                <w:b w:val="1"/>
                <w:bCs w:val="1"/>
                <w:color w:val="auto"/>
              </w:rPr>
              <w:t>(dollars 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70,356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37,147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33,209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General and administrative expenses increased by $33.2 million, or 89% for the nine months ended September 30, 2021 compared to the same period in 2020. This increase was primarily due to an increase in personnel-related costs of $18.8 million as a result of an increase in stock-based compensation expense in 2021 of $15.3 million, bonuses paid related to the completion of the Business Combination and increased severance costs, an increase in insurance costs of $3.9 million due to additional insurance coverage as a public company, an impairment charge of $2.4 million related to a right-of-use asset, an increase in professional and consulting fees of $3.0 million, an increase in allowance for doubtful accounts of $2.4 million, an increase in rent expense of $0.8 million due to a new office lease that commenced in March 2020, and an increase in software cost of $1.4 million as we entered into new software service agreements to effectively operate the business. Our stock-based compensation increased due in part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third quarter of 2021.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72"/>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Depreciation and Amortization Expense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6"/>
        </w:trPr>
        <w:tc>
          <w:tcPr>
            <w:tcW w:w="10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Pr>
          <w:p>
            <w:pPr>
              <w:spacing w:after="0"/>
              <w:rPr>
                <w:sz w:val="20"/>
                <w:szCs w:val="20"/>
                <w:color w:val="auto"/>
              </w:rPr>
            </w:pPr>
          </w:p>
        </w:tc>
        <w:tc>
          <w:tcPr>
            <w:tcW w:w="840" w:type="dxa"/>
            <w:vAlign w:val="bottom"/>
            <w:gridSpan w:val="3"/>
          </w:tcPr>
          <w:p>
            <w:pPr>
              <w:ind w:left="1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ind w:left="140"/>
              <w:spacing w:after="0"/>
              <w:rPr>
                <w:sz w:val="20"/>
                <w:szCs w:val="20"/>
                <w:color w:val="auto"/>
              </w:rPr>
            </w:pPr>
            <w:r>
              <w:rPr>
                <w:rFonts w:ascii="Arial" w:cs="Arial" w:eastAsia="Arial" w:hAnsi="Arial"/>
                <w:sz w:val="18"/>
                <w:szCs w:val="18"/>
                <w:b w:val="1"/>
                <w:bCs w:val="1"/>
                <w:color w:val="auto"/>
                <w:w w:val="93"/>
              </w:rPr>
              <w:t>(dollars in thousands)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2,980</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and amortization were consistent for the nine months ended September 30, 2021 compared to the same period in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06"/>
        </w:trPr>
        <w:tc>
          <w:tcPr>
            <w:tcW w:w="5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Nine Months Ended</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134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6"/>
          </w:tcPr>
          <w:p>
            <w:pPr>
              <w:ind w:left="180"/>
              <w:spacing w:after="0"/>
              <w:rPr>
                <w:sz w:val="20"/>
                <w:szCs w:val="20"/>
                <w:color w:val="auto"/>
              </w:rPr>
            </w:pPr>
            <w:r>
              <w:rPr>
                <w:rFonts w:ascii="Arial" w:cs="Arial" w:eastAsia="Arial" w:hAnsi="Arial"/>
                <w:sz w:val="18"/>
                <w:szCs w:val="18"/>
                <w:b w:val="1"/>
                <w:bCs w:val="1"/>
                <w:color w:val="auto"/>
              </w:rPr>
              <w:t>(dollars 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83,628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(6,341)</w:t>
            </w: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(1,277)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(5,064)</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77,287</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78,564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Percentage of revenue</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0712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income, net increased by $78.6 million for the nine months ended September 30, 2021 compared to the same period in 2020. The increase in other income was due to changes in fair value of warrant liability of $83.6 million, offset by an increase in other expense, net of $5.1 million. The increase in other expense, net was primarily due to warrant transaction costs of $5.5 million related to the Business Combination, offset by a decrease of $0.6 million related to changes in foreign currency transaction losses.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Years Ended December 31, 2020 and 2019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ind w:left="340"/>
              <w:spacing w:after="0"/>
              <w:rPr>
                <w:sz w:val="20"/>
                <w:szCs w:val="20"/>
                <w:color w:val="auto"/>
              </w:rPr>
            </w:pPr>
            <w:r>
              <w:rPr>
                <w:rFonts w:ascii="Arial" w:cs="Arial" w:eastAsia="Arial" w:hAnsi="Arial"/>
                <w:sz w:val="18"/>
                <w:szCs w:val="18"/>
                <w:i w:val="1"/>
                <w:iCs w:val="1"/>
                <w:color w:val="auto"/>
              </w:rPr>
              <w:t>Revenue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34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85"/>
              </w:rPr>
              <w:t>(dollars in</w:t>
            </w:r>
          </w:p>
        </w:tc>
        <w:tc>
          <w:tcPr>
            <w:tcW w:w="2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144,232</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161,791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17,559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bl>
    <w:p>
      <w:pPr>
        <w:spacing w:after="0" w:line="2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Total revenue increased by $17.6 million, or 12% for the year ended December 31, 2020 compared to the same period in 2019. The increase was driven by a 25% increase in the monthly revenue per paying client, which was partially offset by a 18% decrease in total paying clients as a result of factors described below. Our growth in monthly revenue per paying client reflects continued growth in the average price paid for our featured listings, more client engagement driven by the increased functionality across our WM Business suite of solutions, and the removal of California-based clients who had lower monthly spend than our average client base. On December 31, 2019, we discontinued our services to California-based retail operator clients who failed to provide valid license information as a result of our previously-announced intent to transition to supporting only licensed operators within the state. As a result, we removed a significant number of paying clients who generated approximately $28.5 million in fiscal 2019. When adjusting the prior year to remove revenue associated with these non-licensed clients, our revenue for fiscal year 2020 increased by $46.1 million, or 40%, compared to fiscal 2019. The impact on revenue by the removal of the aforementioned clients was partially offset by increase in total paying clients in non-California U.S. markets and Canada.</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As a result, we removed a significant number of paying clients who generated approximately $31.4 million of revenue in fiscal 2020. This reset of Canada was completed on November 30, 2020.</w:t>
      </w:r>
    </w:p>
    <w:p>
      <w:pPr>
        <w:spacing w:after="0" w:line="14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Further, beginning in the first quarter of fiscal 2020, we experienced a significant increase in demand from retailers, including storefronts and delivery services, for its technology solutions (such as clients using WM Orders functionality to enable reservation of products by consumers for curbside pickup), which resulted in increased revenue as we experienced increased delivery orders submitted through the platform. In fiscal 2020, standard listing clients were required to pay a $5.00 technology services fee on all delivery orders submitted. As a result of the increased delivery orders submitted through the platform, the revenue associated with the technology services fee averaged approximately 2.9x more per month from the beginning of March 2020 through December 2020 when compared with the average in January 2020 and February 2020. Total revenue associated with the technology services fee represented less than 5% of our fiscal 2020 revenue. However, as we eliminated the technology services fee on January 1, 2021, and given the pricing model of our other products, it is not possible to quantify any other impact of the pandemic on revenue.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340"/>
              <w:spacing w:after="0"/>
              <w:rPr>
                <w:sz w:val="20"/>
                <w:szCs w:val="20"/>
                <w:color w:val="auto"/>
              </w:rPr>
            </w:pPr>
            <w:r>
              <w:rPr>
                <w:rFonts w:ascii="Arial" w:cs="Arial" w:eastAsia="Arial" w:hAnsi="Arial"/>
                <w:sz w:val="18"/>
                <w:szCs w:val="18"/>
                <w:i w:val="1"/>
                <w:iCs w:val="1"/>
                <w:color w:val="auto"/>
              </w:rPr>
              <w:t>Cost of 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Pr>
          <w:p>
            <w:pPr>
              <w:spacing w:after="0"/>
              <w:rPr>
                <w:sz w:val="20"/>
                <w:szCs w:val="20"/>
                <w:color w:val="auto"/>
              </w:rPr>
            </w:pPr>
          </w:p>
        </w:tc>
        <w:tc>
          <w:tcPr>
            <w:tcW w:w="860" w:type="dxa"/>
            <w:vAlign w:val="bottom"/>
            <w:gridSpan w:val="3"/>
          </w:tcPr>
          <w:p>
            <w:pPr>
              <w:ind w:left="16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(dollars in thousands)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7,074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7,630</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 increased by $0.6 million, or 8%, for the year ended December 31, 2020, compared to the same period in 2019. Credit card processing fees increased by $0.6 million as revenue increased and more clients opted to use credit cards as a form of payment.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340"/>
              <w:spacing w:after="0"/>
              <w:rPr>
                <w:sz w:val="20"/>
                <w:szCs w:val="20"/>
                <w:color w:val="auto"/>
              </w:rPr>
            </w:pPr>
            <w:r>
              <w:rPr>
                <w:rFonts w:ascii="Arial" w:cs="Arial" w:eastAsia="Arial" w:hAnsi="Arial"/>
                <w:sz w:val="18"/>
                <w:szCs w:val="18"/>
                <w:i w:val="1"/>
                <w:iCs w:val="1"/>
                <w:color w:val="auto"/>
              </w:rPr>
              <w:t>Sales and Marketing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34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39,746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30,716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(9,030)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Sales and marketing expenses decreased by $9.0 million, or 23%, for the year ended December 31, 2020, compared to the same period in 2019. Branding and advertising cost, which consisted mostly of out-of-home advertising, decreased by $6.3 million as we concentrated more on online advertising for fiscal year 2020 due to the current COVID-19 pandemic. Event related cost decreased by $3.6 million due to cost incurred in 2019 related to the Weedmaps Museum of Weed while there was minimal cost incurred related to events in 2020 due to the COVID-19 pandemic. There was also a decrease of $0.5 million and $0.1 million in travel related expenses and marketing consulting fees, respectively, due to less marketing projects as a result of the COVID-19 pandemic. The decrease in marketing spend was offset by an increase in personnel-related cost of $1.5 million, mostly due to an increase in sales incentive plan compensation due to higher revenues. The increase in personnel-related cost was partially offset by a reduction in force in October 2019 resulting in a 25 percent headcount decrease.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26"/>
        </w:trPr>
        <w:tc>
          <w:tcPr>
            <w:tcW w:w="5940" w:type="dxa"/>
            <w:vAlign w:val="bottom"/>
            <w:gridSpan w:val="2"/>
          </w:tcPr>
          <w:p>
            <w:pPr>
              <w:ind w:left="340"/>
              <w:spacing w:after="0"/>
              <w:rPr>
                <w:sz w:val="20"/>
                <w:szCs w:val="20"/>
                <w:color w:val="auto"/>
              </w:rPr>
            </w:pPr>
            <w:r>
              <w:rPr>
                <w:rFonts w:ascii="Arial" w:cs="Arial" w:eastAsia="Arial" w:hAnsi="Arial"/>
                <w:sz w:val="18"/>
                <w:szCs w:val="18"/>
                <w:i w:val="1"/>
                <w:iCs w:val="1"/>
                <w:color w:val="auto"/>
              </w:rPr>
              <w:t>Product Development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34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29,497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27,142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Product development expenses decreased by $2.3 million, or 8%, for the year ended December 31, 2020, compared to the same period in 2019. The decrease is due to a decrease of $1.7 million in personnel-related cost as a result of a reduction in force in October 2019, resulting in an overall headcount decrease for us of 25 percent. There was also a decrease in cost relate to third-party development services of $0.4 million. The reduction in headcount and third-party development services were to drive operating efficiencies and increase our liquidity position at the time. Travel related expenses also decreased by $0.2 million due to the COVID-19 pandemic.</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340"/>
              <w:spacing w:after="0"/>
              <w:rPr>
                <w:sz w:val="20"/>
                <w:szCs w:val="20"/>
                <w:color w:val="auto"/>
              </w:rPr>
            </w:pPr>
            <w:r>
              <w:rPr>
                <w:rFonts w:ascii="Arial" w:cs="Arial" w:eastAsia="Arial" w:hAnsi="Arial"/>
                <w:sz w:val="18"/>
                <w:szCs w:val="18"/>
                <w:i w:val="1"/>
                <w:iCs w:val="1"/>
                <w:color w:val="auto"/>
              </w:rPr>
              <w:t>General and Administrative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34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56,466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51,127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6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General and administrative expenses decreased by $5.3 million, or 9%, for the year ended December 31, 2020, compared to the same period in 2019. Personnel-related cost decreased by $7.5 million due to a reduction in force implemented in October 2019, resulting in an overall headcount decrease for us of 25 percent. The reduction in headcount was to drive operating efficiencies and increase our liquidity position at the time. Facility and travel related costs also decreased by $3.3 million due to a combination of the reduced headcount and the stay at home orders put into effect by us in March 2020. Professional services decreased by $2.3 million as a result of the decrease in legal and lobbying expenses. The decrease was partially offset by an increase in rent expense of $5.6 million due to a new office lease that commenced in March 2020 together with an increase in software cost of $0.9 million as we entered into new software service agreements to effectively operate the business. We also recorded additional bad debt expense of $1.3 million during the year.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340"/>
              <w:spacing w:after="0"/>
              <w:rPr>
                <w:sz w:val="20"/>
                <w:szCs w:val="20"/>
                <w:color w:val="auto"/>
              </w:rPr>
            </w:pPr>
            <w:r>
              <w:rPr>
                <w:rFonts w:ascii="Arial" w:cs="Arial" w:eastAsia="Arial" w:hAnsi="Arial"/>
                <w:sz w:val="18"/>
                <w:szCs w:val="18"/>
                <w:i w:val="1"/>
                <w:iCs w:val="1"/>
                <w:color w:val="auto"/>
              </w:rPr>
              <w:t>Depreciation and Amortization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34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5,162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3,978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Depreciation and amortization expenses decreased by $1.2 million, or 23%, for the year ended December 31, 2020, compared to the same period in 2019. The decrease is due to accelerated amortization of $2.5 million related to intangible assets of the Museum of Weed recorded in fiscal year 2019, which was partially offset by additional depreciation of $1.3 million recorded in fiscal year 2020 related capitalized software development cost for our point of sale system that launched in October 2019.</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26"/>
        </w:trPr>
        <w:tc>
          <w:tcPr>
            <w:tcW w:w="5940" w:type="dxa"/>
            <w:vAlign w:val="bottom"/>
            <w:gridSpan w:val="2"/>
          </w:tcPr>
          <w:p>
            <w:pPr>
              <w:ind w:left="340"/>
              <w:spacing w:after="0"/>
              <w:rPr>
                <w:sz w:val="20"/>
                <w:szCs w:val="20"/>
                <w:color w:val="auto"/>
              </w:rPr>
            </w:pPr>
            <w:r>
              <w:rPr>
                <w:rFonts w:ascii="Arial" w:cs="Arial" w:eastAsia="Arial" w:hAnsi="Arial"/>
                <w:sz w:val="18"/>
                <w:szCs w:val="18"/>
                <w:i w:val="1"/>
                <w:iCs w:val="1"/>
                <w:color w:val="auto"/>
              </w:rPr>
              <w:t>Other Expense, net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9"/>
              </w:rPr>
              <w:t>Years Ended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0"/>
              </w:rPr>
              <w:t>December 31,</w:t>
            </w:r>
          </w:p>
        </w:tc>
        <w:tc>
          <w:tcPr>
            <w:tcW w:w="680" w:type="dxa"/>
            <w:vAlign w:val="bottom"/>
          </w:tcPr>
          <w:p>
            <w:pPr>
              <w:spacing w:after="0"/>
              <w:rPr>
                <w:sz w:val="20"/>
                <w:szCs w:val="20"/>
                <w:color w:val="auto"/>
              </w:rPr>
            </w:pPr>
          </w:p>
        </w:tc>
        <w:tc>
          <w:tcPr>
            <w:tcW w:w="940" w:type="dxa"/>
            <w:vAlign w:val="bottom"/>
            <w:gridSpan w:val="3"/>
          </w:tcPr>
          <w:p>
            <w:pPr>
              <w:ind w:left="2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w w:val="88"/>
              </w:rPr>
              <w:t>(dollars in thousands)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(2,368)</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2,973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4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Other expenses decreased by $3.0 million, or 56%, for the year ended December 31, 2020, compared to the same period in 2019. Financing related costs decreased by $2.7 million as a result of several equity and debt transactions that we were evaluating in 2019 but ultimately decided not to pursue. Other tax and interest related expenses also decreased by $0.8 million as 2019 included tax expenses related to revenue generated by our foreign subsidiary in Canada. Political contributions also decreased by $0.2 million period over period. The decrease was partially offset by loss from foreign currency exchange of $0.7 million related to revenue generated by our foreign subsidiary in Canada.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Year Ended December 31, 2018 and 2019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ind w:left="340"/>
              <w:spacing w:after="0"/>
              <w:rPr>
                <w:sz w:val="20"/>
                <w:szCs w:val="20"/>
                <w:color w:val="auto"/>
              </w:rPr>
            </w:pPr>
            <w:r>
              <w:rPr>
                <w:rFonts w:ascii="Arial" w:cs="Arial" w:eastAsia="Arial" w:hAnsi="Arial"/>
                <w:sz w:val="18"/>
                <w:szCs w:val="18"/>
                <w:i w:val="1"/>
                <w:iCs w:val="1"/>
                <w:color w:val="auto"/>
              </w:rPr>
              <w:t>Revenue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34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85"/>
              </w:rPr>
              <w:t>(dollars in</w:t>
            </w:r>
          </w:p>
        </w:tc>
        <w:tc>
          <w:tcPr>
            <w:tcW w:w="2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101,402</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144,232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42,830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bl>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Total revenue increased by $42.8 million, or 42% in 2019 compared to 2018. The increase was driven by a 15% increase in total paying clients and a 14% increase in the monthly revenue per paying client. Our growth in total paying clients reflected our continued expansion in U.S. states outside of California as well as Canada. Our growth in monthly revenue per paying client reflects continued growth in the average price paid for our featured listings as well as more client engagement driven by the increased functionality across our WM Business suite of solutions.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gridSpan w:val="3"/>
          </w:tcPr>
          <w:p>
            <w:pPr>
              <w:jc w:val="center"/>
              <w:ind w:right="310"/>
              <w:spacing w:after="0"/>
              <w:rPr>
                <w:sz w:val="20"/>
                <w:szCs w:val="20"/>
                <w:color w:val="auto"/>
              </w:rPr>
            </w:pPr>
            <w:r>
              <w:rPr>
                <w:rFonts w:ascii="Arial" w:cs="Arial" w:eastAsia="Arial" w:hAnsi="Arial"/>
                <w:sz w:val="18"/>
                <w:szCs w:val="18"/>
                <w:b w:val="1"/>
                <w:bCs w:val="1"/>
                <w:color w:val="auto"/>
                <w:w w:val="89"/>
              </w:rPr>
              <w:t>Years Ended</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840" w:type="dxa"/>
            <w:vAlign w:val="bottom"/>
          </w:tcPr>
          <w:p>
            <w:pPr>
              <w:spacing w:after="0"/>
              <w:rPr>
                <w:sz w:val="20"/>
                <w:szCs w:val="20"/>
                <w:color w:val="auto"/>
              </w:rPr>
            </w:pPr>
          </w:p>
        </w:tc>
        <w:tc>
          <w:tcPr>
            <w:tcW w:w="2180" w:type="dxa"/>
            <w:vAlign w:val="bottom"/>
            <w:tcBorders>
              <w:bottom w:val="single" w:sz="8" w:color="auto"/>
            </w:tcBorders>
            <w:gridSpan w:val="4"/>
          </w:tcPr>
          <w:p>
            <w:pPr>
              <w:jc w:val="center"/>
              <w:ind w:left="330"/>
              <w:spacing w:after="0"/>
              <w:rPr>
                <w:sz w:val="20"/>
                <w:szCs w:val="20"/>
                <w:color w:val="auto"/>
              </w:rPr>
            </w:pPr>
            <w:r>
              <w:rPr>
                <w:rFonts w:ascii="Arial" w:cs="Arial" w:eastAsia="Arial" w:hAnsi="Arial"/>
                <w:sz w:val="18"/>
                <w:szCs w:val="18"/>
                <w:b w:val="1"/>
                <w:bCs w:val="1"/>
                <w:color w:val="auto"/>
                <w:w w:val="88"/>
              </w:rPr>
              <w:t>December 31,</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89"/>
              </w:rPr>
              <w:t>2019</w:t>
            </w:r>
          </w:p>
        </w:tc>
        <w:tc>
          <w:tcPr>
            <w:tcW w:w="4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440"/>
              <w:spacing w:after="0"/>
              <w:rPr>
                <w:sz w:val="20"/>
                <w:szCs w:val="20"/>
                <w:color w:val="auto"/>
              </w:rPr>
            </w:pPr>
            <w:r>
              <w:rPr>
                <w:rFonts w:ascii="Arial" w:cs="Arial" w:eastAsia="Arial" w:hAnsi="Arial"/>
                <w:sz w:val="18"/>
                <w:szCs w:val="18"/>
                <w:b w:val="1"/>
                <w:bCs w:val="1"/>
                <w:color w:val="auto"/>
                <w:w w:val="88"/>
              </w:rPr>
              <w:t>(dollars in</w:t>
            </w:r>
          </w:p>
        </w:tc>
        <w:tc>
          <w:tcPr>
            <w:tcW w:w="1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w w:val="72"/>
              </w:rPr>
              <w:t>thousands)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6,304</w:t>
            </w:r>
          </w:p>
        </w:tc>
        <w:tc>
          <w:tcPr>
            <w:tcW w:w="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7,074</w:t>
            </w:r>
          </w:p>
        </w:tc>
        <w:tc>
          <w:tcPr>
            <w:tcW w:w="8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w:t>
            </w:r>
          </w:p>
        </w:tc>
        <w:tc>
          <w:tcPr>
            <w:tcW w:w="3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70"/>
        </w:trPr>
        <w:tc>
          <w:tcPr>
            <w:tcW w:w="5840" w:type="dxa"/>
            <w:vAlign w:val="bottom"/>
          </w:tcPr>
          <w:p>
            <w:pPr>
              <w:spacing w:after="0"/>
              <w:rPr>
                <w:sz w:val="20"/>
                <w:szCs w:val="20"/>
                <w:color w:val="auto"/>
              </w:rPr>
            </w:pPr>
            <w:r>
              <w:rPr>
                <w:rFonts w:ascii="Arial" w:cs="Arial" w:eastAsia="Arial" w:hAnsi="Arial"/>
                <w:sz w:val="18"/>
                <w:szCs w:val="18"/>
                <w:color w:val="auto"/>
              </w:rPr>
              <w:t>Gross margin</w:t>
            </w:r>
          </w:p>
        </w:tc>
        <w:tc>
          <w:tcPr>
            <w:tcW w:w="80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80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increased by $0.8 million, or 12%, in 2019 compared to 2018. Credit card processing fees increased by $1.2 million as revenue increased and more clients opted to use credit cards as a form of payment. The increase was partially offset by a decrease of $0.5 million in web hosting and internet services cost as we were able to more efficiently manage these expenses.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26"/>
        </w:trPr>
        <w:tc>
          <w:tcPr>
            <w:tcW w:w="5940" w:type="dxa"/>
            <w:vAlign w:val="bottom"/>
            <w:gridSpan w:val="2"/>
          </w:tcPr>
          <w:p>
            <w:pPr>
              <w:ind w:left="340"/>
              <w:spacing w:after="0"/>
              <w:rPr>
                <w:sz w:val="20"/>
                <w:szCs w:val="20"/>
                <w:color w:val="auto"/>
              </w:rPr>
            </w:pPr>
            <w:r>
              <w:rPr>
                <w:rFonts w:ascii="Arial" w:cs="Arial" w:eastAsia="Arial" w:hAnsi="Arial"/>
                <w:sz w:val="18"/>
                <w:szCs w:val="18"/>
                <w:i w:val="1"/>
                <w:iCs w:val="1"/>
                <w:color w:val="auto"/>
              </w:rPr>
              <w:t>Sales and Marketing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34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17,799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39,746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21,947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4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Sales and marketing expenses increased by $22.0 million, or 123%, in 2019 compared to 2018. Personnel -related cost increased by $8.0 million due to an increase in headcount, accrual of compensation cost related to the reduction in force, and an increase in sales incentive plan compensation due to higher revenues. Branding and advertising expense, that mostly consisted of out of home advertising, increased by $5.9 million and online advertising increased by $4.4 million as more advertising options became available in the cannabis industry and we continued to invest in marketing spend. Event cost also increased by $3.5 million, mostly related to the Weedmaps Museum of Weed and sponsorships for other events.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340"/>
              <w:spacing w:after="0"/>
              <w:rPr>
                <w:sz w:val="20"/>
                <w:szCs w:val="20"/>
                <w:color w:val="auto"/>
              </w:rPr>
            </w:pPr>
            <w:r>
              <w:rPr>
                <w:rFonts w:ascii="Arial" w:cs="Arial" w:eastAsia="Arial" w:hAnsi="Arial"/>
                <w:sz w:val="18"/>
                <w:szCs w:val="18"/>
                <w:i w:val="1"/>
                <w:iCs w:val="1"/>
                <w:color w:val="auto"/>
              </w:rPr>
              <w:t>Product Development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December 31,</w:t>
            </w:r>
          </w:p>
        </w:tc>
        <w:tc>
          <w:tcPr>
            <w:tcW w:w="680" w:type="dxa"/>
            <w:vAlign w:val="bottom"/>
          </w:tcPr>
          <w:p>
            <w:pPr>
              <w:spacing w:after="0"/>
              <w:rPr>
                <w:sz w:val="20"/>
                <w:szCs w:val="20"/>
                <w:color w:val="auto"/>
              </w:rPr>
            </w:pPr>
          </w:p>
        </w:tc>
        <w:tc>
          <w:tcPr>
            <w:tcW w:w="940" w:type="dxa"/>
            <w:vAlign w:val="bottom"/>
            <w:gridSpan w:val="3"/>
          </w:tcPr>
          <w:p>
            <w:pPr>
              <w:ind w:left="2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w w:val="88"/>
              </w:rPr>
              <w:t>(dollars in thousands)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20,034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29,497</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9,463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6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Product development expenses increased by $9.5 million, or 47%, in 2019 compared to 2018. This increase was primarily due to an increase in personnel-related cost of $10.1 million as headcount increased, including an accrual for compensation cost related to the reduction in force, partially offset by a decrease in outside development services of $0.7 million. Increase in headcount was driven by development of new products and features.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340"/>
              <w:spacing w:after="0"/>
              <w:rPr>
                <w:sz w:val="20"/>
                <w:szCs w:val="20"/>
                <w:color w:val="auto"/>
              </w:rPr>
            </w:pPr>
            <w:r>
              <w:rPr>
                <w:rFonts w:ascii="Arial" w:cs="Arial" w:eastAsia="Arial" w:hAnsi="Arial"/>
                <w:sz w:val="18"/>
                <w:szCs w:val="18"/>
                <w:i w:val="1"/>
                <w:iCs w:val="1"/>
                <w:color w:val="auto"/>
              </w:rPr>
              <w:t>General and Administrative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34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38,935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56,466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17,531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 and administrative expenses increased by $17.5 million, or 45%, in 2019 compared to 2018. The increase is primarily due to an increase in personnel-related cost of $10.2 million reflecting an increase in headcount and employee benefits cost, including an accrual for compensation cost related to the reduction in force in October 2019. The headcount increases also resulted in an increase in facility cost of $0.9 million. Professional and outside services cost increased by $2.9 million, mostly related to lobbying and legal fees. Rent expense increased by $1.5 million due to leasing of additional office space and software cost increased by $2.0 million as we signed up for additional software solutions as well as an increase in licensing due to increased headcount.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26"/>
        </w:trPr>
        <w:tc>
          <w:tcPr>
            <w:tcW w:w="5940" w:type="dxa"/>
            <w:vAlign w:val="bottom"/>
            <w:gridSpan w:val="2"/>
          </w:tcPr>
          <w:p>
            <w:pPr>
              <w:ind w:left="340"/>
              <w:spacing w:after="0"/>
              <w:rPr>
                <w:sz w:val="20"/>
                <w:szCs w:val="20"/>
                <w:color w:val="auto"/>
              </w:rPr>
            </w:pPr>
            <w:r>
              <w:rPr>
                <w:rFonts w:ascii="Arial" w:cs="Arial" w:eastAsia="Arial" w:hAnsi="Arial"/>
                <w:sz w:val="18"/>
                <w:szCs w:val="18"/>
                <w:i w:val="1"/>
                <w:iCs w:val="1"/>
                <w:color w:val="auto"/>
              </w:rPr>
              <w:t>Depreciation and Amortization expense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December 31,</w:t>
            </w:r>
          </w:p>
        </w:tc>
        <w:tc>
          <w:tcPr>
            <w:tcW w:w="680" w:type="dxa"/>
            <w:vAlign w:val="bottom"/>
          </w:tcPr>
          <w:p>
            <w:pPr>
              <w:spacing w:after="0"/>
              <w:rPr>
                <w:sz w:val="20"/>
                <w:szCs w:val="20"/>
                <w:color w:val="auto"/>
              </w:rPr>
            </w:pPr>
          </w:p>
        </w:tc>
        <w:tc>
          <w:tcPr>
            <w:tcW w:w="940" w:type="dxa"/>
            <w:vAlign w:val="bottom"/>
            <w:gridSpan w:val="3"/>
          </w:tcPr>
          <w:p>
            <w:pPr>
              <w:ind w:left="2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w w:val="88"/>
              </w:rPr>
              <w:t>(dollars in thousands)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5,162</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3,013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4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Depreciation and amortization expenses increased by $3.0 million, or 140%, in 2019 compared to 2018, mostly due to $2.5 million of accelerated depreciation related to assets capitalized for Weedmaps Museum of Weed in fiscal year 2019. The remaining increase was due to an increase in headcount and leased office space in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340"/>
              <w:spacing w:after="0"/>
              <w:rPr>
                <w:sz w:val="20"/>
                <w:szCs w:val="20"/>
                <w:color w:val="auto"/>
              </w:rPr>
            </w:pPr>
            <w:r>
              <w:rPr>
                <w:rFonts w:ascii="Arial" w:cs="Arial" w:eastAsia="Arial" w:hAnsi="Arial"/>
                <w:sz w:val="18"/>
                <w:szCs w:val="18"/>
                <w:i w:val="1"/>
                <w:iCs w:val="1"/>
                <w:color w:val="auto"/>
              </w:rPr>
              <w:t>Other expense,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9"/>
              </w:rPr>
              <w:t>Years Ended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Pr>
          <w:p>
            <w:pPr>
              <w:spacing w:after="0"/>
              <w:rPr>
                <w:sz w:val="20"/>
                <w:szCs w:val="20"/>
                <w:color w:val="auto"/>
              </w:rPr>
            </w:pPr>
          </w:p>
        </w:tc>
        <w:tc>
          <w:tcPr>
            <w:tcW w:w="134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expense increased by $3.5 million, or 192%, in 2019 compared to 2018, mostly due to an increase in financing fees of $3.3 million related to several equity and debt transactions that we were evaluating but ultimately decided not to pursue, an increase in tax expenses of $0.5 million related to revenue generated by our foreign subsidiary in Canada along with an increase of $0.2 million in political contribution, partially offset by a decrease in interest expense of $0.5 million due to the repayment and closure of our secured line of credit in April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our cash, accounts receivable and working capital as of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As of the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of</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September 30,</w:t>
            </w: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1,357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3,929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9,428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12,748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10,659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(9,970)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68,161</w:t>
            </w:r>
          </w:p>
        </w:tc>
      </w:tr>
    </w:tbl>
    <w:p>
      <w:pPr>
        <w:spacing w:after="0" w:line="2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September 30, 2021, we have cash of $77.9 million. During the second quarter of fiscal year 2021, we completed the Business Combination, resulting in proceeds of approximately $80.0 million. The additional funds will be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including those described in the section captioned “Risk Factors.” We may not be able to secure additional financing to meet our operating requirements on acceptable terms, or at all.</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Since our inception, we have financed our operations and capital expenditures primarily through cash flows generated by operations, a secured revolving line of credit agreement, the private sales of equity securities, and recently, the public sales of equity securities as a result of the Business Combination.</w:t>
      </w:r>
    </w:p>
    <w:p>
      <w:pPr>
        <w:spacing w:after="0" w:line="1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Historical Cash Flows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41"/>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ind w:left="700"/>
              <w:spacing w:after="0"/>
              <w:rPr>
                <w:sz w:val="20"/>
                <w:szCs w:val="20"/>
                <w:color w:val="auto"/>
              </w:rPr>
            </w:pPr>
            <w:r>
              <w:rPr>
                <w:rFonts w:ascii="Arial" w:cs="Arial" w:eastAsia="Arial" w:hAnsi="Arial"/>
                <w:sz w:val="18"/>
                <w:szCs w:val="18"/>
                <w:b w:val="1"/>
                <w:bCs w:val="1"/>
                <w:color w:val="auto"/>
                <w:w w:val="94"/>
              </w:rPr>
              <w:t>Year Ended December 31,</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6,295</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38,620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29,566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25,173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(2,124)</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(5,129)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(1,311)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(903)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(23,246)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56,089</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from operating activities consists primarily of net income adjusted for certain non-cash items, including depreciation and amortization, change in fair value of warrant liability, impairment loss, stock-based compensation, provision for doubtful accounts, deferred taxes and the effect of changes in working capital.</w:t>
      </w:r>
    </w:p>
    <w:p>
      <w:pPr>
        <w:spacing w:after="0" w:line="15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Net cash from operating activities for the nine months ended September 30, 2021 was $25.2 million, which resulted from net income of $73.8 million, together with a net cash inflows of $3.0 million from changes in operating assets and liabilities, and non-cash items of $51.6 million, consisting of depreciation and amortization of $3.0 million, fair value of warrant liability of $83.6 million, impairment loss of $2.4 million, stock-based compensation of $23.6 million and provision for doubtful accounts of $3.0 million. The net cash inflows from changes in operating assets and liabilities were primarily due to a decrease in prepaid and other current assets of $6.5 million, an increase in accounts payable and accrued expenses of $0.3 million and an increase in deferred revenue of $2.5 million, offset by an increase in accounts receivable of $6.4 million. The changes in operating assets and liabilities are mostly due to fluctuations in timing of cash receipts and payments.</w:t>
      </w:r>
    </w:p>
    <w:p>
      <w:pPr>
        <w:spacing w:after="0" w:line="13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cash from operating activities for the nine months ended September 30, 2020 was $29.6 million, which resulted from net income of $28.7 million, together with a net cash outflows of $2.1 million from changes in operating assets and liabilities, and non-cash items of $3.0 million, consisting of depreciation and amortization. The net cash outflows from changes in operating assets and liabilities were primarily due to an increase in accounts receivables of $4.3 million, a decrease in accounts payable and accrued expenses of $1.1 million and an increase in prepaid expenses and other current assets of $0.5 million. These changes were partially offset by an increase in deferred revenue of $3.2 million and a decrease in other assets of $0.5 million. The changes in operating assets and liabilities are mostly due to fluctuations in timing of cash receipts and payments.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Net cash from operating activities during 2020 was $38.6 million, which resulted from net income of $38.8 million, together with a net cash outflow of $4.2 million from changes in operating assets and liabilities, and non-cash charges of $4.0 million, consisting of depreciation and amortization. The net cash outflows from changes in operating assets and liabilities were primarily due to an increase in accounts receivable of $5.5 million, an increase in prepaid expenses and other current asset of $3.1 million and a decrease in accounts payable and accrued expenses of $1.0 million. These changes were partially offset by an increase in deferred revenue of $0.9 million, an increase in deferred rent of $3.7 million and an increase in other assets of $0.7 million. The changes in operating assets and liabilities are mostly due to fluctuations in timing of cash receipts and payments.</w:t>
      </w:r>
    </w:p>
    <w:p>
      <w:pPr>
        <w:spacing w:after="0" w:line="13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cash from operating activities during 2019 was $6.3 million, which resulted from net loss of $0.4 million, together with a net cash inflow of $1.5 million from changes in operating assets and liabilities, and non-cash charges of $5.2 million, consisting of depreciation and amortization expense. The net cash inflows from changes in operating assets and liabilities were primarily due to an increase in accounts payable and accrued liabilities of $7.4 million, an increase in deferred rent of $0.5 million, together with an increase in deferred revenue of $0.2 million. These changes were partially offset by an increase in accounts receivable of $2.6 million and an increase in prepaid expense and other assets of $4.0 million. The changes in operating assets and liabilities are mostly due to fluctuations in timing of cash receipts and payments.</w:t>
      </w:r>
    </w:p>
    <w:p>
      <w:pPr>
        <w:spacing w:after="0" w:line="1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from operating activities during 2018 was $17.7 million, which resulted from net income of $12.7 million, together with a net cash inflow of $2.8 million from changes in operating assets and liabilities, and non-cash charges of $2.2 million, mainly consisting of depreciation and amortization expense. The net cash inflows from changes in operating assets and liabilities were primarily due to an increase in accounts payable and accrued liabilities of $1.6 million, an increase in deferred revenue of $0.7 million, together with a decrease in prepaid expenses and other assets of $0.9 million. These changes were partially offset by an increase in accounts receivable of $0.4 million. The changes in operating assets and liabilities are mostly due to fluctuations in timing of cash receipts and payments.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investing activities have consisted of purchases of property and equipment.</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used in investing activities for the nine months ended September 30, 2021 was $23.2 million, which resulted from $16.0 million cash paid for acquisitions, $4.2 million cash paid for purchases of property and equipment, including certain capitalized software development cost and $3.0 million cash paid for other investments.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Cash used in investing activities for the nine months ended September 30, 2020 was $0.9 million for purchases of property and equipment.</w:t>
      </w:r>
    </w:p>
    <w:p>
      <w:pPr>
        <w:spacing w:after="0" w:line="19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was $1.3 million in 2020, which resulted from purchases of property and equipment. These expenses decreased compared to the same period in 2019 due to no large marketing projects that required significant capital expenditures.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was $5.1 million in 2019, which resulted from purchases of assets related to Weedmaps Museum of Weed as well as other property and equipment and capitalized software development costs related to development of our POS solution. These expenses increased compared to 2018 due to one-time capital expenditures related to the Weedmaps Museum of Weed.</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was $2.1 million in 2018, which resulted from purchases of property and equipment and leasehold improvements and capitalized software development costs related to development of our POS solution. These expenses decreased in 2018 compared to 2017 due to a reduction in leasehold improvements.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Financing activities consist primarily of borrowings, sale of Class A units, repayments related to the existing line of credit and notes payable, distribution to members, the repurchase of Class B units and net proceeds from the Business Combination.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for the nine months ended September 30, 2021 was $56.1 million, which resulted from net proceeds from Business Combination of $80.0 million, offset by $18.1 million distribution payments to members, $5.6 million paid for the repurchase of Class B Units and $0.2 million repayment of notes payable to members.</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financing activities for the nine months ended September 30, 2020 was $9.5 million, which resulted from $9.2 million distributions to members and $0.3 million paid for the repurchase of Class B Units.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cash used in financing activities was $22.4 million in 2020, which was the result of $22.0 million in distribution payments to members and $0.4 million for the repurchase of Class B units.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financing activities was $22.0 million in 2019, which was attributable to $15.4 million in distribution payments to members, $5.0 million repayment of the secured line of credit, and $1.6 million for the repurchase of Class B units.</w:t>
      </w:r>
    </w:p>
    <w:p>
      <w:pPr>
        <w:spacing w:after="0" w:line="14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cash provided by financing activities was $3.2 million in 2018, which was attributable to $17.6 million related to the sale of Class A units and an additional $1.7 million borrowed on the line of credit, offset by $11.4 million distribution payments to members, $2.3 million repayment of notes payable to members, $1.7 million for the repurchase of Class B units, and repayment of other notes payable of $0.7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did not have any off-balance sheet arrangements in any of the periods presented in this prospectus, except for operating leases as discussed below.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of September 30, 2021, we leased various office facilities, including our corporate headquarters in Irvine, California under operating lease agreements that expire from 2021 to 2031. We recognize rent expense on a straight-line basis over the lease periods in accordance with the new lease accounting guidance. We do not have any debt or material capital lease obligations and most of our property, equipment and software have been purchased with cash. Our future minimum payments under non-cancelable operating leases for office facilities are as follows as of September 30, 2021: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Payments Due by Period</w:t>
            </w: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8"/>
              </w:rPr>
              <w:t>Less than</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30"/>
              <w:spacing w:after="0" w:line="198" w:lineRule="exact"/>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30"/>
              <w:spacing w:after="0" w:line="198" w:lineRule="exact"/>
              <w:rPr>
                <w:sz w:val="20"/>
                <w:szCs w:val="20"/>
                <w:color w:val="auto"/>
              </w:rPr>
            </w:pPr>
            <w:r>
              <w:rPr>
                <w:rFonts w:ascii="Arial" w:cs="Arial" w:eastAsia="Arial" w:hAnsi="Arial"/>
                <w:sz w:val="18"/>
                <w:szCs w:val="18"/>
                <w:b w:val="1"/>
                <w:bCs w:val="1"/>
                <w:color w:val="auto"/>
              </w:rPr>
              <w:t>3-5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1 year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Years</w:t>
            </w:r>
          </w:p>
        </w:tc>
        <w:tc>
          <w:tcPr>
            <w:tcW w:w="240" w:type="dxa"/>
            <w:vAlign w:val="bottom"/>
          </w:tcPr>
          <w:p>
            <w:pPr>
              <w:spacing w:after="0"/>
              <w:rPr>
                <w:sz w:val="20"/>
                <w:szCs w:val="20"/>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Years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5 Years</w:t>
            </w:r>
          </w:p>
        </w:tc>
      </w:tr>
      <w:tr>
        <w:trPr>
          <w:trHeight w:val="216"/>
        </w:trPr>
        <w:tc>
          <w:tcPr>
            <w:tcW w:w="4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66,805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8,713</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26,603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20,618</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commitment amounts in the table above are associated with agreements that are enforceable and legally binding.</w:t>
      </w:r>
    </w:p>
    <w:p>
      <w:pPr>
        <w:spacing w:after="0" w:line="18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expect that the payments we will be required to make under the Tax Receivable Agreement (as defined below) will be substantial, and such payments are not reflected in the table above.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$148.0 million over 15 years from the date of the Closing. Under this scenario, we would be required to pay to the Class A Unit holders approximately 85% of such amount, or $126.2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(as defined below)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us.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that the assumptions and estimates associated with revenue recognition, website and internal-use software development costs, income taxes, fair value measurements and equity-based compensation have the greatest potential impact on our condensed consolidated financial statements. Therefore, we consider these to be our critical accounting policies and estimates. For further information on all of our significant accounting policies, see Note 2 to our condensed consolidated financial statements included elsewhere in this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revenues are derived primarily from monthly subscriptions and additional offerings for access to our Weedmaps platform and our WM Business SaaS solution.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Revenue is recognized over-time over the subscription period, generally a one-month period as the products are provided. We may also provide services to our customers that are recognized at a point in time. For example, prior to January 1, 2021, technology services fees relating to product reservation orders submitted were recognized when an order for delivery was submitted.</w:t>
      </w:r>
    </w:p>
    <w:p>
      <w:pPr>
        <w:spacing w:after="0" w:line="15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Deferred revenue primarily consists of billings or payments received in advance of revenue recognition from subscription offerings, as described above, and is recognized as the revenue recognition criteria are met. We generally invoice customers and receive payment on an upfront basis.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Website and Internal-Use Software Development Costs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capitalize certain costs related to the development of our SaaS solutions. In accordance with authoritative guidance, we began to capitalize these costs to develop certain software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For the nine months ended September 30, 2021, we capitalized $3.7 million of costs related to the development of software applications.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We follow the guidance in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our financial assets and liabilities that are re-measured and reported at fair value at each reporting period.</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fair value of our financial assets and liabilities reflects management’s estimate of amounts that we would have received in connection with the sale of the assets or paid in connection with the transfer of the liabilities in an orderly transaction between market participants at the measurement date. In connection with measuring the fair value of its assets and liabilities, we seek to maximize the use of observable inputs (market data obtained from independent sources) and to minimize the use of unobservable inputs (internal assumptions about how market participants would price assets and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Effective January 1, 2021, we adopted ASC 842 - </w:t>
      </w:r>
      <w:r>
        <w:rPr>
          <w:rFonts w:ascii="Arial" w:cs="Arial" w:eastAsia="Arial" w:hAnsi="Arial"/>
          <w:sz w:val="16"/>
          <w:szCs w:val="16"/>
          <w:i w:val="1"/>
          <w:iCs w:val="1"/>
          <w:color w:val="auto"/>
        </w:rPr>
        <w:t>Leases</w:t>
      </w:r>
      <w:r>
        <w:rPr>
          <w:rFonts w:ascii="Arial" w:cs="Arial" w:eastAsia="Arial" w:hAnsi="Arial"/>
          <w:sz w:val="16"/>
          <w:szCs w:val="16"/>
          <w:color w:val="auto"/>
        </w:rPr>
        <w:t>. Under this guidance, lessees classify arrangements meeting the definition of a lease as operating or financing leases, and leases are recorded on the consolidated balance sheet as both a right-of-use asset and lease liability, calculated by discounting fixed lease payments over the lease term at the rate implicit in the lease or our incremental borrowing rate. Lease liabilities are increased by interest and reduced by payments each period, and the right of 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1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calculating the right-of-use asset and lease liability, we elected to combine lease and non-lease components for all classes of assets. We excluded short-term leases having initial terms of 12 months or less from the new guidance as an accounting policy election, and instead recognizes rent expense on a straight-line basis over the lease term.</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We continued to account for leases in the prior period financial statements under ASC 840 -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consider all highly liquid investments with an original maturity of three months or less to be cash equivalents. As of September 30, 2021, we did not have any cash equivalents.</w:t>
      </w:r>
    </w:p>
    <w:p>
      <w:pPr>
        <w:spacing w:after="0" w:line="14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16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also a “smaller reporting company” as defined in the Securities and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 We will no longer qualify as an emerging growth company or a smaller reporting company for Securities Act or Exchange Act reporting after December 31,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2 to our condensed consolidated financial statements included elsewhere in this prospectus for additional information regarding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18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Silver Spike’s amendment to its annual report on Form 10-K, management re-evaluated, with the participation of Silver Spike’s then-current chief executive officer and chief financial officer (Silver Spike’s “Certifying Officers”), the effectiveness of Silver Spike’s disclosure controls and procedures as of December 31, 2020, pursuant to Rule 13a-15(b) under the Exchange Act. Based upon that evaluation, Silver Spike’s Certifying Officers concluded that, solely due to the material weakness in Silver Spike’s internal control over financial reporting that led to Silver Spike’s restatement of its financial statements to reclassify its Public Warrants and warrants originally issued in a private placement (the “Private Placement Warrants” and together with the Public Warrants, the “Warrants”) as described in the Explanatory Note to Silver Spike’s amendment to its annual report on Form 10-K, Silver Spike’s disclosure controls and procedures were not effective as December 31, 2020. Based on the evaluation, and in light of the material weakness in internal controls described above, our Chief Executive Officer and Chief Financial Officer have concluded that during the period covered by this report, our disclosure controls and procedures were not effective.</w:t>
      </w:r>
    </w:p>
    <w:p>
      <w:pPr>
        <w:spacing w:after="0" w:line="15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financial statements as described in the Explanatory Note to Silver Spike’s amendment to its annual report on Form 10-K,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8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were founded in 2008, and operates a leading listings marketplace with one of the most comprehensive SaaS subscription offerings sold to retailers and brands in the U.S. state-legal and Canadian cannabis markets. We also provide information on the cannabis plant and the industry and advocates for legalization. The state-legal cannabis industry in the United States has grown consistently in recent years and is expected to double over the next five years (according to Arcview Market Research/BDS Analytics13 and Gallup), with 91% of U.S. adults now support having legal access to medical and/or adult-use cannabis. Despite these expectations of growth, the regulated cannabis market in the United States is still nascent and fragmented, with significant challenges facing both consumers seeking to understand cannabis and the cannabis industry and businesses seeking to compliantly manage their operations. Cannabis users within the United States represent less than 12% of the adult population as of December 31, 2019, with those consuming at least one time a month representing an even smaller percentage, according to the National Survey on Drug Use and Health estimates. At the same time, there are only approximately 11,500 retail licenses across U.S. and Canadian markets with medical and/or adult-use regulations in place, which is an effective retail density of approximately one retail license per 40,000 residents across these markets in the aggregate, based on data available from individual governmental cannabis license databases, U.S. Census Bureau estimates and Statistics Canada for both licenses and population.</w:t>
      </w:r>
    </w:p>
    <w:p>
      <w:pPr>
        <w:spacing w:after="0" w:line="14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these nascent consumer and business dynamics, cannabis itself is a highly complex, highly regulated and non-shelf stable consumer good spanning hundreds of strains and a growing set of form factors available for consumption across flower, pre-rolls, vapes, edibles, tinctures, and concentrates. Despite these complexities, consumers seeking information regarding cannabis still expect the same ease of discovery and price comparison across multiple channels, and transparency of information from cannabis businesses that they expect from other retailers or brands. These consumer expectations, coupled with the unique attributes of cannabis as a nascent and highly regulated consumer product, create significant challenges for retailers and brands who serve cannabis users. Retailers and brands must meet these consumer expectations and provide omni-channel engagement opportunities (to a narrow segment of the population) with the same level of (i) service, (ii) richness of product information, (iii) ability to compare prices, and (iv) ease of product and brand discovery that consumers would receive when researching other consumer product categories.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14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address the challenges facing both consumers seeking to understand cannabis products and businesses who serve cannabis users in a legally compliant fashion with our Weedmaps platform and WM Business SaaS solution. Over the past 13 years, we have grown the Weedmaps listings marketplace to become the premier destination for cannabis consumers to discover and browse information regarding cannabis and cannabis products, with 14 million monthly active users (“MAUs”) as of September 30, 2021 on the demand-side and 4,194 average monthly paying business clients during the nine months ended September 30, 2021 on the supply-side of our marketplace. These paying clients include retailers, brands and other client types (such as doctors). Further, these clients, who can choose to purchase multiple listings solutions for each business, had purchased approximately 9,100 listing pages as of September 30, 2021 (of the over 18,300 listing pages on the marketplace). The Weedmaps listings marketplace provides consumers with information regarding cannabis retailers and brands, as well as the strain, pricing, and other information regarding locally available cannabis products, through our website and mobile apps, permitting product discovery and reservations for pickup or delivery by participating retailers. We provide consumers with discovery channels to improve their knowledge of the local market for cannabis products, whether they are looking by strain, price, effects or form factors. Our weedmaps.com site also has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106045</wp:posOffset>
            </wp:positionV>
            <wp:extent cx="4174490" cy="21259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17449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Over the last three years, we have developed and launched several SaaS solutions for our retailer clients. These solutions now comprise an integrated platform for retailers, which we call “WM Business”. WM Business provides a comprehensive set of tools to enable cannabis businesses to provide their goods and services compliantly, with what we refer to as “business-in-a-box” functionality. Our “business-in-a-box” solution helps cannabis retailers to improve their workflows and regulatory compliance in the course of serving cannabis consumers.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(and complete orders and process payments – both of which only occur outside the Weedmaps listings marketplace), (iii) logistics software such as driver apps and fleet-tracking tools to permit legal compliance with state delivery regulations, (iv) retail point-of-sale, or POS, solutions to manage inventory and track-and-trace compliance reporting, (v) analytics dashboards, (vi) access to our online wholesale exchange marketplace to browse brand catalogs and efficiently identify brands to obtain inventory from (and review license information and certificates of analysis, among other compliance features), and (vii) application program interface, or API, integrations to streamline workflows, thereby helping eliminate human error in recordkeeping and promoting compliance through accuracy. We also offer a growing set of offerings for brands to reach consumers and retailers as well as manage their brand catalog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106045</wp:posOffset>
            </wp:positionV>
            <wp:extent cx="4063365" cy="22631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06336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WM Business solution is sold as a value-priced monthly subscription package. We also offer several upsell and addon products that allow businesses to have more prominent placement on the Weedmaps listings marketplace either through featured listings, display ads or promoted deal offerings. We sell our offerings in the United States, and we have a limited number of non-monetized listings in several international countries including Austria, Canada, Germany, the Netherlands, Spain, and Switzerland. As of September 30, 2021, we actively operated in over 20 U.S. states and territories that have adult-use and/or medical-use regulations in place. We define actively operated markets as those with greater than $1,000 monthly recurring revenue.</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we continue to expand the presence and increase the number of consumers on the Weedmaps listings marketplace and broaden our SaaS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SaaS solutions, we plan to continue making investments in raising brand awareness, increasing penetration within existing markets and expanding to new markets, as well as continuing to develop and monetize new software solutions to extend the functionality of our platform, deepening the consumer experience with our platform, and providing a high level of support to our business clients.</w:t>
      </w:r>
    </w:p>
    <w:p>
      <w:pPr>
        <w:spacing w:after="0" w:line="13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have a history of growth since our inception in 2008. From fiscal year 2014 through 2020, we grew our revenue at a compound annual growth rate, or CAGR, of 35% and expanded our gross margin rate from 92% to 95%. For the year ended December 31, 2020, we generated $162 million in revenue, which represented 12% growth over the prior year and 40% growth over that same period when adjusting the prior year to eliminate revenue associated with non-licensed operators in California that we removed from the Weedmaps listings marketplace at the end of fiscal year 2019. For the year ended December 31, 2020, we generated net income of $39 million and EBITDA of $43 million. For the nine months ended September 30, 2021, we generated $139 million in revenue, which represented 18% growth over the same period in the prior year. For the nine months ended September 30, 2021, we generated net income of $74 million and EBITDA of $77 million. For further information about how we calculate EBITDA, limitations of its use and a reconciliation of EBITDA to net income, see “—Key Operating and Financial Metrics-EBITDA and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While the cannabis industry is still in the early innings of what could be decades of growth, we have established a leading position and a recognized brand given our 13-year operating history. Over the coming years, we plan on expanding our solutions and service offerings.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in Our End-Markets</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Despite cannabis being a large and growing sector in the U.S., we believe that cannabis is unlike many other consumer goods and retail categories for a number of reasons:</w:t>
      </w:r>
    </w:p>
    <w:p>
      <w:pPr>
        <w:spacing w:after="0" w:line="143" w:lineRule="exact"/>
        <w:rPr>
          <w:sz w:val="20"/>
          <w:szCs w:val="20"/>
          <w:color w:val="auto"/>
        </w:rPr>
      </w:pPr>
    </w:p>
    <w:p>
      <w:pPr>
        <w:jc w:val="both"/>
        <w:ind w:left="660" w:hanging="328"/>
        <w:spacing w:after="0" w:line="30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Cannabis as a regulated industry is still in a nascent stage of development. </w:t>
      </w:r>
      <w:r>
        <w:rPr>
          <w:rFonts w:ascii="Arial" w:cs="Arial" w:eastAsia="Arial" w:hAnsi="Arial"/>
          <w:sz w:val="16"/>
          <w:szCs w:val="16"/>
          <w:color w:val="auto"/>
        </w:rPr>
        <w:t>As such, the industry lacks foundational components such as a master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catalog with standardized stock-keeping units/SKUs, normalized inventory data, consistent retail layouts, price transparency across products within markets, or other common product characteristic data. The lack of these foundational components creates challenges for consumers seeking to understand the local cannabis market as well as retailers and brands seeking brand awareness.</w:t>
      </w:r>
    </w:p>
    <w:p>
      <w:pPr>
        <w:spacing w:after="0" w:line="116" w:lineRule="exact"/>
        <w:rPr>
          <w:rFonts w:ascii="Arial" w:cs="Arial" w:eastAsia="Arial" w:hAnsi="Arial"/>
          <w:sz w:val="16"/>
          <w:szCs w:val="16"/>
          <w:color w:val="auto"/>
        </w:rPr>
      </w:pPr>
    </w:p>
    <w:p>
      <w:pPr>
        <w:jc w:val="both"/>
        <w:ind w:left="660" w:hanging="328"/>
        <w:spacing w:after="0" w:line="29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Cannabis users are less than 12% of the population today without a “typical” user profile. </w:t>
      </w:r>
      <w:r>
        <w:rPr>
          <w:rFonts w:ascii="Arial" w:cs="Arial" w:eastAsia="Arial" w:hAnsi="Arial"/>
          <w:sz w:val="16"/>
          <w:szCs w:val="16"/>
          <w:color w:val="auto"/>
        </w:rPr>
        <w:t>The National Survey on Drug Use and Health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estimated that, as of 2019, less than 12% of the U.S. adult population consumed cannabis monthly. These users are hard to target as they are statistically distributed relatively evenly across age, gender, income levels based on our consumer survey work and do not fit a narrow user profile or segment. The impact of these dynamics on traditional channels create pain-points for retailers and brands seeking to cost-effectively target cannabis consumers in compliance with audience restriction requirements under applicable law while balancing the need to preserve brand equity by ensuring the messaging is not viewed by non-cannabis consumers who still stigmatize the cannabis industry, thereby limiting future potential conversion opportunities for such consumer that could arise as cannabis continues to gain mainstream acceptance.</w:t>
      </w:r>
    </w:p>
    <w:p>
      <w:pPr>
        <w:spacing w:after="0" w:line="125" w:lineRule="exact"/>
        <w:rPr>
          <w:rFonts w:ascii="Arial" w:cs="Arial" w:eastAsia="Arial" w:hAnsi="Arial"/>
          <w:sz w:val="16"/>
          <w:szCs w:val="16"/>
          <w:color w:val="auto"/>
        </w:rPr>
      </w:pPr>
    </w:p>
    <w:p>
      <w:pPr>
        <w:jc w:val="both"/>
        <w:ind w:left="660" w:hanging="328"/>
        <w:spacing w:after="0" w:line="287"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Regulations governing cannabis are complex and vary state-by-state and by city and county within states. </w:t>
      </w:r>
      <w:r>
        <w:rPr>
          <w:rFonts w:ascii="Arial" w:cs="Arial" w:eastAsia="Arial" w:hAnsi="Arial"/>
          <w:sz w:val="16"/>
          <w:szCs w:val="16"/>
          <w:color w:val="auto"/>
        </w:rPr>
        <w:t>Cannabis regulations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governed at the state as well as city / county level resulting in disparate regulatory frameworks and “closed-border” systems that prohibit interstate commerce. Those state and local laws, regulations, and ordinances are generally materially divergent with respect to many technical aspects of operating a legal cannabis business. Additionally, several states allow local governments an unusual degree of latitude to not only set licensing limits, but also to implement their own taxes and additional regulatory requirements. The net effect of this complex regulatory framework is that the cannabis industry within the U.S. is highly fragmented, and the disparate regulatory frameworks render it difficult to standardize products or business operations across different jurisdictions. Cannabis as a product is regulated more like hazardous waste material as opposed to a consumer good, given incredibly stringent policies governing pesticide limits and track-and-trace compliance, among other restrictions governing the production, distribution and sale of cannabis products. The penalties for non-compliance with these laws and regulations can often be costly, with permanent loss of licensed operations being a possible penalty for material violations. Given this context, software that supports and enables businesses to be compliant and helps businesses identify non-compliance is an important tool to help mitigate the serious risks of non-compliance.</w:t>
      </w:r>
    </w:p>
    <w:p>
      <w:pPr>
        <w:spacing w:after="0" w:line="144"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Cannabis has wide variance in characteristics that make it complex to make an informed purchase decision. </w:t>
      </w:r>
      <w:r>
        <w:rPr>
          <w:rFonts w:ascii="Arial" w:cs="Arial" w:eastAsia="Arial" w:hAnsi="Arial"/>
          <w:sz w:val="18"/>
          <w:szCs w:val="18"/>
          <w:color w:val="auto"/>
        </w:rPr>
        <w:t>Cannabis products have wide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ranges of use-cases, flavors, and clinical effects on different users, many of which are not well-understood today given the nascency of legalized cannabis usage and limited academic research. This makes gathering information regarding cannabis products more complex than many other consumer good verticals.</w:t>
      </w:r>
    </w:p>
    <w:p>
      <w:pPr>
        <w:spacing w:after="0" w:line="14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Cannabis is a perishable good with a lack of product homogeneity. </w:t>
      </w:r>
      <w:r>
        <w:rPr>
          <w:rFonts w:ascii="Arial" w:cs="Arial" w:eastAsia="Arial" w:hAnsi="Arial"/>
          <w:sz w:val="18"/>
          <w:szCs w:val="18"/>
          <w:color w:val="auto"/>
        </w:rPr>
        <w:t>Cannabis flower and concentrate generally has limited shelf-stability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loses potency, flavor, and odor over time, creating additional challenges for retailers, who are required in certain states to report on changes in inventory weights to comply with state-level track-and-trace requirements. This, combined with the seasonality of cannabis cultivation and harvest, means that retailer and brand inventory have a wider degree of variance heterogeneity than is seen in many other consumer goods, such as alcohol.</w:t>
      </w:r>
    </w:p>
    <w:p>
      <w:pPr>
        <w:spacing w:after="0" w:line="147"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Brands are only in the early innings of establishing a consumer presence. </w:t>
      </w:r>
      <w:r>
        <w:rPr>
          <w:rFonts w:ascii="Arial" w:cs="Arial" w:eastAsia="Arial" w:hAnsi="Arial"/>
          <w:sz w:val="16"/>
          <w:szCs w:val="16"/>
          <w:color w:val="auto"/>
        </w:rPr>
        <w:t>Very few brands have been able to establish a national or regional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awareness or following given state-level restrictions and federal enforcement priorities prohibiting interstate commerce. Brands also often face restrictions and are almost always restricted from selling direct to consumers, creating challenges in winning consumer loyalty and brand affinity. There are limited data sources for brands to be able to quantitatively demonstrate their reach or affinity with cannabis consumers to retailers.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66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Competition with the illicit market. </w:t>
      </w:r>
      <w:r>
        <w:rPr>
          <w:rFonts w:ascii="Arial" w:cs="Arial" w:eastAsia="Arial" w:hAnsi="Arial"/>
          <w:sz w:val="18"/>
          <w:szCs w:val="18"/>
          <w:color w:val="auto"/>
        </w:rPr>
        <w:t>Unlike many other consumer goods, state-legal cannabis companies are competing with illicit producers,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particularly in states like California and New York. Unlike in other consumer goods sectors, the price of state-legal cannabis is significantly higher than cannabis sold on the illicit market, which is not subject to state and local taxes, compliance costs, and testing requirements. This can make it challenging for brands and cannabis companies to compete for consumers.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0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solutions are designed to address these challenges facing cannabis consumers and businesses. The Weedmaps listings marketplace allows cannabis users to search for and browse cannabis products from retailers and brands, and ultimately reserve products from certain local retailers, in a manner similar to other technology platforms with breadth and depth of product, brand, and retailer selection (although confirmation of orders and processing of payments only occur outside the Weedmaps listings marketplace through third-party service providers directly by our clients). With the development of our WM Business SaaS solution, we offer an end-to-end platform for licensed cannabis retailers to comply with state law. We sell a monthly subscription offering as well as upsell and add-on offerings to licensed retailer clients, which include both dispensaries and delivery services. We recently migrated all of our business clients from our Standard Listings subscription (which provided access to several of our SaaS solutions at no additional charge for clients with paid listings services) to our new WM Business subscription offering, which was completed by January 1, 2021. Our current solutions include:</w:t>
      </w:r>
    </w:p>
    <w:p>
      <w:pPr>
        <w:spacing w:after="0" w:line="125" w:lineRule="exact"/>
        <w:rPr>
          <w:sz w:val="20"/>
          <w:szCs w:val="20"/>
          <w:color w:val="auto"/>
        </w:rPr>
      </w:pPr>
    </w:p>
    <w:p>
      <w:pPr>
        <w:ind w:left="660" w:right="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WM Business subscription offering. </w:t>
      </w:r>
      <w:r>
        <w:rPr>
          <w:rFonts w:ascii="Arial" w:cs="Arial" w:eastAsia="Arial" w:hAnsi="Arial"/>
          <w:sz w:val="18"/>
          <w:szCs w:val="18"/>
          <w:color w:val="auto"/>
        </w:rPr>
        <w:t>Our WM Business monthly subscription package consists of the following solutions, the availability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depends on the client’s market:</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WM Pages</w:t>
      </w:r>
      <w:r>
        <w:rPr>
          <w:rFonts w:ascii="Arial" w:cs="Arial" w:eastAsia="Arial" w:hAnsi="Arial"/>
          <w:sz w:val="18"/>
          <w:szCs w:val="18"/>
          <w:color w:val="auto"/>
        </w:rPr>
        <w:t>. Listing page with product menu, which allows clients to disclose their license information, hours of operation, contact</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discount policies, and other information that may be required under applicable state law.</w:t>
      </w:r>
    </w:p>
    <w:p>
      <w:pPr>
        <w:spacing w:after="0" w:line="170"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WM Orders. </w:t>
      </w:r>
      <w:r>
        <w:rPr>
          <w:rFonts w:ascii="Arial" w:cs="Arial" w:eastAsia="Arial" w:hAnsi="Arial"/>
          <w:sz w:val="18"/>
          <w:szCs w:val="18"/>
          <w:color w:val="auto"/>
        </w:rPr>
        <w:t>Transmission of requests for reservation of products for pick-up by consumers or delivery to consumers, allowing retailers to</w:t>
      </w:r>
      <w:r>
        <w:rPr>
          <w:rFonts w:ascii="Arial" w:cs="Arial" w:eastAsia="Arial" w:hAnsi="Arial"/>
          <w:sz w:val="18"/>
          <w:szCs w:val="18"/>
          <w:i w:val="1"/>
          <w:iCs w:val="1"/>
          <w:color w:val="auto"/>
        </w:rPr>
        <w:t xml:space="preserve"> </w:t>
      </w:r>
      <w:r>
        <w:rPr>
          <w:rFonts w:ascii="Arial" w:cs="Arial" w:eastAsia="Arial" w:hAnsi="Arial"/>
          <w:sz w:val="18"/>
          <w:szCs w:val="18"/>
          <w:color w:val="auto"/>
        </w:rPr>
        <w:t>confirm product availability (and to complete orders and process payments - both of which only occur outside the Weedmaps listings marketplace). Weedmaps serves as a passive portal, passing a consumer’s inquiry to the dispensary.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187"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WM Dispatch and Cannveya. </w:t>
      </w:r>
      <w:r>
        <w:rPr>
          <w:rFonts w:ascii="Arial" w:cs="Arial" w:eastAsia="Arial" w:hAnsi="Arial"/>
          <w:sz w:val="18"/>
          <w:szCs w:val="18"/>
          <w:color w:val="auto"/>
        </w:rPr>
        <w:t>In September 2021, we acquired Transport Logistics Holding Company, LLC, which is the parent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Cannveya. Together with WM Dispatch, these services provide logistics and fulfillment software and driver apps, which provide tools that can be used for legally compliant delivery and tracking of product reserved online through WM Orders and real-time routing and tracking of delivery fleet.</w:t>
      </w:r>
    </w:p>
    <w:p>
      <w:pPr>
        <w:spacing w:after="0" w:line="18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Sprout. </w:t>
      </w:r>
      <w:r>
        <w:rPr>
          <w:rFonts w:ascii="Arial" w:cs="Arial" w:eastAsia="Arial" w:hAnsi="Arial"/>
          <w:sz w:val="18"/>
          <w:szCs w:val="18"/>
          <w:color w:val="auto"/>
        </w:rPr>
        <w:t>In September 2021, we acquired certain assets of the Sprout business (“Sprout”). Sprout is a cloud-based customer relationship</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(“CRM”) and marketing platform with the ability to run text messaging, email, and loyalty campaigns to retarget and reengage cannabis consumers.</w:t>
      </w:r>
    </w:p>
    <w:p>
      <w:pPr>
        <w:spacing w:after="0" w:line="183" w:lineRule="exact"/>
        <w:rPr>
          <w:rFonts w:ascii="Arial" w:cs="Arial" w:eastAsia="Arial" w:hAnsi="Arial"/>
          <w:sz w:val="18"/>
          <w:szCs w:val="18"/>
          <w:color w:val="auto"/>
        </w:rPr>
      </w:pPr>
    </w:p>
    <w:p>
      <w:pPr>
        <w:jc w:val="both"/>
        <w:ind w:left="980" w:hanging="324"/>
        <w:spacing w:after="0" w:line="293" w:lineRule="auto"/>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WM Retail. </w:t>
      </w:r>
      <w:r>
        <w:rPr>
          <w:rFonts w:ascii="Arial" w:cs="Arial" w:eastAsia="Arial" w:hAnsi="Arial"/>
          <w:sz w:val="16"/>
          <w:szCs w:val="16"/>
          <w:color w:val="auto"/>
        </w:rPr>
        <w:t>Retail POS system, which provides inventory management and track-and-trace compliance reporting functionality along with</w:t>
      </w:r>
      <w:r>
        <w:rPr>
          <w:rFonts w:ascii="Arial" w:cs="Arial" w:eastAsia="Arial" w:hAnsi="Arial"/>
          <w:sz w:val="16"/>
          <w:szCs w:val="16"/>
          <w:i w:val="1"/>
          <w:iCs w:val="1"/>
          <w:color w:val="auto"/>
        </w:rPr>
        <w:t xml:space="preserve"> </w:t>
      </w:r>
      <w:r>
        <w:rPr>
          <w:rFonts w:ascii="Arial" w:cs="Arial" w:eastAsia="Arial" w:hAnsi="Arial"/>
          <w:sz w:val="16"/>
          <w:szCs w:val="16"/>
          <w:color w:val="auto"/>
        </w:rPr>
        <w:t>built-in integrations with the listing page product menu and digital product reservation functionality to stream-line workflows. Our retail POS system is available in only a limited number of markets today, including Oklahoma, Michigan, and Missouri, though we have plans to continue expanding into additional states. We also support API integrations with third-party POS providers to make the Weedmaps listings marketplace more attractive for retailers who have not yet adopted our retail POS solution, including retailers in markets where our POS is not available, to replicate the labor efficiencies of the built-in listing menu and order integrations that come with our retail POS solution.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3" w:lineRule="exact"/>
        <w:rPr>
          <w:sz w:val="20"/>
          <w:szCs w:val="20"/>
          <w:color w:val="auto"/>
        </w:rPr>
      </w:pPr>
    </w:p>
    <w:p>
      <w:pPr>
        <w:ind w:left="980" w:hanging="324"/>
        <w:spacing w:after="0"/>
        <w:tabs>
          <w:tab w:leader="none" w:pos="980" w:val="left"/>
        </w:tabs>
        <w:numPr>
          <w:ilvl w:val="1"/>
          <w:numId w:val="30"/>
        </w:numPr>
        <w:rPr>
          <w:rFonts w:ascii="Arial" w:cs="Arial" w:eastAsia="Arial" w:hAnsi="Arial"/>
          <w:sz w:val="17"/>
          <w:szCs w:val="17"/>
          <w:color w:val="auto"/>
        </w:rPr>
      </w:pPr>
      <w:r>
        <w:rPr>
          <w:rFonts w:ascii="Arial" w:cs="Arial" w:eastAsia="Arial" w:hAnsi="Arial"/>
          <w:sz w:val="17"/>
          <w:szCs w:val="17"/>
          <w:i w:val="1"/>
          <w:iCs w:val="1"/>
          <w:color w:val="auto"/>
        </w:rPr>
        <w:t>WM Dashboard</w:t>
      </w:r>
      <w:r>
        <w:rPr>
          <w:rFonts w:ascii="Arial" w:cs="Arial" w:eastAsia="Arial" w:hAnsi="Arial"/>
          <w:sz w:val="17"/>
          <w:szCs w:val="17"/>
          <w:color w:val="auto"/>
        </w:rPr>
        <w:t>. Insights dashboard, which provides data and analytics on user engagement and traffic trends to a client’s listing page.</w:t>
      </w:r>
    </w:p>
    <w:p>
      <w:pPr>
        <w:spacing w:after="0" w:line="236" w:lineRule="exact"/>
        <w:rPr>
          <w:rFonts w:ascii="Arial" w:cs="Arial" w:eastAsia="Arial" w:hAnsi="Arial"/>
          <w:sz w:val="17"/>
          <w:szCs w:val="17"/>
          <w:color w:val="auto"/>
        </w:rPr>
      </w:pPr>
    </w:p>
    <w:p>
      <w:pPr>
        <w:jc w:val="both"/>
        <w:ind w:left="980" w:hanging="324"/>
        <w:spacing w:after="0" w:line="257"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WM Store. </w:t>
      </w:r>
      <w:r>
        <w:rPr>
          <w:rFonts w:ascii="Arial" w:cs="Arial" w:eastAsia="Arial" w:hAnsi="Arial"/>
          <w:sz w:val="18"/>
          <w:szCs w:val="18"/>
          <w:color w:val="auto"/>
        </w:rPr>
        <w:t>Orders and menu embed, which allows retailers to import their Weedmaps listing menu or product reservation functionality 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own white-labeled WM Store site or separately owned third party sites in a labor-efficient way to manage their online presence, inventory, and compliance workflows both on weedmaps.com and their separately branded sites. While WM Store permits consumers to reserve products, confirmation of product availability, final order entry, order fulfillment and processing of payments all take place outside of the Weedmaps listings marketplace.</w:t>
      </w:r>
    </w:p>
    <w:p>
      <w:pPr>
        <w:spacing w:after="0" w:line="187" w:lineRule="exact"/>
        <w:rPr>
          <w:rFonts w:ascii="Arial" w:cs="Arial" w:eastAsia="Arial" w:hAnsi="Arial"/>
          <w:sz w:val="18"/>
          <w:szCs w:val="18"/>
          <w:color w:val="auto"/>
        </w:rPr>
      </w:pPr>
    </w:p>
    <w:p>
      <w:pPr>
        <w:jc w:val="both"/>
        <w:ind w:left="980" w:hanging="324"/>
        <w:spacing w:after="0" w:line="275" w:lineRule="auto"/>
        <w:tabs>
          <w:tab w:leader="none" w:pos="980" w:val="left"/>
        </w:tabs>
        <w:numPr>
          <w:ilvl w:val="1"/>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WM Exchange. </w:t>
      </w:r>
      <w:r>
        <w:rPr>
          <w:rFonts w:ascii="Arial" w:cs="Arial" w:eastAsia="Arial" w:hAnsi="Arial"/>
          <w:sz w:val="17"/>
          <w:szCs w:val="17"/>
          <w:color w:val="auto"/>
        </w:rPr>
        <w:t>Access to our wholesale online exchange, which allows retailers to browse brand catalogs and identify brands to obtain</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from and brands to manage their customer relationships and wholesale operations. WM Exchange also facilitates the sharing of license information and certificates of analysis between wholesale buyers and sellers, and offers other compliance features including invoice and transportation manifest generation and recordkeeping. Our wholesale exchange is currently available in California, Oklahoma, Michigan, Maryland, Missouri, and Maine, though we have plans to continue expanding into additional states.</w:t>
      </w:r>
    </w:p>
    <w:p>
      <w:pPr>
        <w:spacing w:after="0" w:line="176"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Additional offerings for subscription clients. </w:t>
      </w:r>
      <w:r>
        <w:rPr>
          <w:rFonts w:ascii="Arial" w:cs="Arial" w:eastAsia="Arial" w:hAnsi="Arial"/>
          <w:sz w:val="17"/>
          <w:szCs w:val="17"/>
          <w:color w:val="auto"/>
        </w:rPr>
        <w:t>We offer several add-on and upsell solutions only to paying subscription clients, including:</w:t>
      </w:r>
    </w:p>
    <w:p>
      <w:pPr>
        <w:spacing w:after="0" w:line="196" w:lineRule="exact"/>
        <w:rPr>
          <w:rFonts w:ascii="Arial" w:cs="Arial" w:eastAsia="Arial" w:hAnsi="Arial"/>
          <w:sz w:val="17"/>
          <w:szCs w:val="17"/>
          <w:color w:val="auto"/>
        </w:rPr>
      </w:pPr>
    </w:p>
    <w:p>
      <w:pPr>
        <w:ind w:left="980" w:hanging="324"/>
        <w:spacing w:after="0"/>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Featured listings on our weedmaps.com marketplace;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Promoted deals, which allows retailers to showcase discounts (as is required by applicable law in some jurisdictions) and promotions on products to assist price-conscious consumers.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advertising products. </w:t>
      </w:r>
      <w:r>
        <w:rPr>
          <w:rFonts w:ascii="Arial" w:cs="Arial" w:eastAsia="Arial" w:hAnsi="Arial"/>
          <w:sz w:val="18"/>
          <w:szCs w:val="18"/>
          <w:color w:val="auto"/>
        </w:rPr>
        <w:t>We also provide several a la carte advertising solutions including banner ads and promotion tile cards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Weedmaps listings marketplace, as well as banner ads that can be tied to keyword searches. These products provide clients with targeted ad solutions in highly visible slots across our digital surfaces.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Since our founding in 2008, we have grown to become a leading provider of technology solutions to the cannabis industry by leveraging our competitive strengths, including:</w:t>
      </w:r>
    </w:p>
    <w:p>
      <w:pPr>
        <w:spacing w:after="0" w:line="130" w:lineRule="exact"/>
        <w:rPr>
          <w:sz w:val="20"/>
          <w:szCs w:val="20"/>
          <w:color w:val="auto"/>
        </w:rPr>
      </w:pPr>
    </w:p>
    <w:p>
      <w:pPr>
        <w:jc w:val="both"/>
        <w:ind w:left="660" w:hanging="328"/>
        <w:spacing w:after="0" w:line="275"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Long History as a Technology Leader Serving the Cannabis Industry. </w:t>
      </w:r>
      <w:r>
        <w:rPr>
          <w:rFonts w:ascii="Arial" w:cs="Arial" w:eastAsia="Arial" w:hAnsi="Arial"/>
          <w:sz w:val="17"/>
          <w:szCs w:val="17"/>
          <w:color w:val="auto"/>
        </w:rPr>
        <w:t>Founded in 2008, we have a long history and established relationships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cannabis businesses and consumers, particularly in California and other more established cannabis markets. This has given us several competitive strengths, such as scale, attractive operating margins, and local insights into emerging consumer and business trends across many markets. Our policy and government relations expertise allows us to anticipate and react quickly to changes in cannabis regulations and informs all aspects of our business, including our product ideation, development and go-to-market strategies.</w:t>
      </w:r>
    </w:p>
    <w:p>
      <w:pPr>
        <w:spacing w:after="0" w:line="135" w:lineRule="exact"/>
        <w:rPr>
          <w:rFonts w:ascii="Arial" w:cs="Arial" w:eastAsia="Arial" w:hAnsi="Arial"/>
          <w:sz w:val="17"/>
          <w:szCs w:val="17"/>
          <w:color w:val="auto"/>
        </w:rPr>
      </w:pPr>
    </w:p>
    <w:p>
      <w:pPr>
        <w:jc w:val="both"/>
        <w:ind w:left="660" w:hanging="328"/>
        <w:spacing w:after="0" w:line="271"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Largest Two-Sided Platform for Cannabis Businesses and Consumers. </w:t>
      </w:r>
      <w:r>
        <w:rPr>
          <w:rFonts w:ascii="Arial" w:cs="Arial" w:eastAsia="Arial" w:hAnsi="Arial"/>
          <w:sz w:val="17"/>
          <w:szCs w:val="17"/>
          <w:color w:val="auto"/>
        </w:rPr>
        <w:t>We estimate that we have approximately 52% share of all licensed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cannabis retailers across the U.S. markets we serve as paying clients on the platform. As of September 30, 2021, our Weedmaps mobile app has received 4.9 and 4.6 ratings (in each case, out of a 5.0 scale) on the Apple App Store and Google Play Store, respectively. As we continue to increase the number of users on our platform, we generate more engagements and more easily persuade our business clients to consolidate their service providers by switching to our value-priced WM Business bundled solution. As we continue to increase the number of businesses on our marketplace, we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660" w:hanging="328"/>
        <w:spacing w:after="0" w:line="273"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The Only Fully-Integrated Business-in-a-Box SaaS Solution Specific to the Cannabis Industry. </w:t>
      </w:r>
      <w:r>
        <w:rPr>
          <w:rFonts w:ascii="Arial" w:cs="Arial" w:eastAsia="Arial" w:hAnsi="Arial"/>
          <w:sz w:val="17"/>
          <w:szCs w:val="17"/>
          <w:color w:val="auto"/>
        </w:rPr>
        <w:t>Our WM Business solution enables licensed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cannabis clients to comply with state law through integrated software solutions ranging from live menus, logistics and fulfillment, POS, and inventory management, and data and analytics. We believe we offer the only comprehensive software platform that allows cannabis retailers to reach their target audience, quickly and cost effectively, addressing a wide range of needs, with compliance front-of-mind. Our platform features self-service administrative functionality that enables clients to manage their listings page, including adding images, adjusting their menus, editing product information and responding to reviews as well as analyzing traffic trends.</w:t>
      </w:r>
    </w:p>
    <w:p>
      <w:pPr>
        <w:spacing w:after="0" w:line="150"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Unique and Growing Data Asset. </w:t>
      </w:r>
      <w:r>
        <w:rPr>
          <w:rFonts w:ascii="Arial" w:cs="Arial" w:eastAsia="Arial" w:hAnsi="Arial"/>
          <w:sz w:val="17"/>
          <w:szCs w:val="17"/>
          <w:color w:val="auto"/>
        </w:rPr>
        <w:t>Given our established presence, scale, and the breadth of product offerings that provide us with a high volume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retail-level information and user insights, we have a growing and unique data asset. Currently, the cannabis industry has few reliable sources of data.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135" w:lineRule="exact"/>
        <w:rPr>
          <w:rFonts w:ascii="Arial" w:cs="Arial" w:eastAsia="Arial" w:hAnsi="Arial"/>
          <w:sz w:val="17"/>
          <w:szCs w:val="17"/>
          <w:color w:val="auto"/>
        </w:rPr>
      </w:pPr>
    </w:p>
    <w:p>
      <w:pPr>
        <w:jc w:val="both"/>
        <w:ind w:left="660" w:hanging="328"/>
        <w:spacing w:after="0" w:line="287"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Ability to Innovate Rapidly and Launch New Products Efficiently at Scale. </w:t>
      </w:r>
      <w:r>
        <w:rPr>
          <w:rFonts w:ascii="Arial" w:cs="Arial" w:eastAsia="Arial" w:hAnsi="Arial"/>
          <w:sz w:val="16"/>
          <w:szCs w:val="16"/>
          <w:color w:val="auto"/>
        </w:rPr>
        <w:t>We have an agile product innovation and deployment process.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team frequently engages with our paid clients about the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government relations and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 For example, we were able to develop our WM Store product in approximately two months using a core team of only two engineers. When we then launch these initiatives and innovations, we are well-positioned to roll them out to a ready-made and already scaled market-the clients and users on our platform.</w:t>
      </w:r>
    </w:p>
    <w:p>
      <w:pPr>
        <w:spacing w:after="0" w:line="131" w:lineRule="exact"/>
        <w:rPr>
          <w:rFonts w:ascii="Arial" w:cs="Arial" w:eastAsia="Arial" w:hAnsi="Arial"/>
          <w:sz w:val="16"/>
          <w:szCs w:val="16"/>
          <w:color w:val="auto"/>
        </w:rPr>
      </w:pPr>
    </w:p>
    <w:p>
      <w:pPr>
        <w:jc w:val="both"/>
        <w:ind w:left="660" w:hanging="328"/>
        <w:spacing w:after="0" w:line="269"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Capital-Efficient Business Model with Strong Cashflow Generation. </w:t>
      </w:r>
      <w:r>
        <w:rPr>
          <w:rFonts w:ascii="Arial" w:cs="Arial" w:eastAsia="Arial" w:hAnsi="Arial"/>
          <w:sz w:val="17"/>
          <w:szCs w:val="17"/>
          <w:color w:val="auto"/>
        </w:rPr>
        <w:t>We operate a cloud-based platform, and unlike other cannabis-related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robust margin profile and high level of EBITDA converting to free cash flow while achieving our growth. From 2014 to 2020, we grew revenue at a CAGR of 35%. Over that period of time, we expanded our gross margin rate from 92% to 95%. For 2020, our net income was $39 million and EBITDA was $43 million. For the nine months ended September 30, 2021, we generated $139 million in revenue, which represented 18% growth over the prior year. For the nine months ended September 30, 2021, we generated net income of $74 million and EBITDA of $77 million. For further information about how we calculate EBITDA, limitations of its use and a reconciliation of EBITDA to net income, see “— Key Operating and Financial Metrics-EBITDA and Adjusted EBITDA.”</w:t>
      </w:r>
    </w:p>
    <w:p>
      <w:pPr>
        <w:spacing w:after="0" w:line="158"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Operationally-Focused Management Team with Deep Experience. </w:t>
      </w:r>
      <w:r>
        <w:rPr>
          <w:rFonts w:ascii="Arial" w:cs="Arial" w:eastAsia="Arial" w:hAnsi="Arial"/>
          <w:sz w:val="18"/>
          <w:szCs w:val="18"/>
          <w:color w:val="auto"/>
        </w:rPr>
        <w:t>Our executive leadership team has over 100 years of cumulative professional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spanning the technology, consumer, retail, legal and financial services industries, with a track record of operational execution and driving growth. Our Chief Executive Officer, Christopher Beals, established our government relations, legal and compliance functions, built-out the senior leadership team, and developed (and led the execution of) our “business-in-a-box” strategy. We believe our deep knowledge of our end-markets and broad-based operational expertise spanning several industry sectors provides a key competitive advantage in executing against our growth strategy.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With our leading share of cannabis consumers and businesses, we believe we are well-positioned to capitalize on underlying growth across our end-markets by executing against our strategy as follows:</w:t>
      </w:r>
    </w:p>
    <w:p>
      <w:pPr>
        <w:spacing w:after="0" w:line="143" w:lineRule="exact"/>
        <w:rPr>
          <w:sz w:val="20"/>
          <w:szCs w:val="20"/>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Two-Sided Marketplace. </w:t>
      </w:r>
      <w:r>
        <w:rPr>
          <w:rFonts w:ascii="Arial" w:cs="Arial" w:eastAsia="Arial" w:hAnsi="Arial"/>
          <w:sz w:val="18"/>
          <w:szCs w:val="18"/>
          <w:color w:val="auto"/>
        </w:rPr>
        <w:t>We intend to continue growing the number of consumers on our platform through original content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educates, entertains, facilitates discovery of new products, increases awareness of our platform and encourages repeat usage. As we grow our users and user engagements, we can convince more businesses to increase adoption of our WM Business services through our WM Business subscription offering and additional offerings.</w:t>
      </w:r>
    </w:p>
    <w:p>
      <w:pPr>
        <w:spacing w:after="0" w:line="146"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Existing Markets and Enter New Markets. </w:t>
      </w:r>
      <w:r>
        <w:rPr>
          <w:rFonts w:ascii="Arial" w:cs="Arial" w:eastAsia="Arial" w:hAnsi="Arial"/>
          <w:sz w:val="18"/>
          <w:szCs w:val="18"/>
          <w:color w:val="auto"/>
        </w:rPr>
        <w:t>We have a significant opportunity to grow our client base both within existing markets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continuing to grow and new markets as they become open to regulated cannabis. Although we are increasingly becoming a more nationally-recognized brand, we are monetizing our platform in over 20 U.S. states and territories, as of September 30, 2021. Based on our internal research, we believe the minimum level of acceptable retail density to have a healthy and functioning licensed market is a minimum of one licensed retailer per 10,000 residents. As seen below, many of the U.S. states where we operate today are still under-penetrated with low levels of licensed retail density.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74865" cy="3634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believe that there are tremendous growth opportunities for us within our existing markets as retail licenses continue to be issued, and states move towards, and beyond, the one retail license per 10,000 people ratio. There are approximately 11,500 existing retail licenses across the United States and Canada markets. Assuming no cap on the number of licenses issued or other restrictions on the number of licenses issued, if these same markets were to issue enough licenses to match a ratio of one license per 10,000 residents, approximately 10,000 new retail licenses would be issued. This may require continued liberalization of license restrictions across cities and counties within certain of our states where we do business today. With the momentum of state legalization, including a sweep of ballot initiatives in five states during the most recent election, we believe that legalization by additional states and eventually the U.S. government is inevitable. Assuming no cap on the number of licenses issued or other restrictions on the number of licenses issued, if the entire United States and Canada reached a minimum level of density of one license per 10,000 residents, we believe the total universe of retail licenses would reach approximately 37,500, which is approximately 3.3 times the current count of retail licenses in the United States and Canada as seen below.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57720" cy="3600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60" w:hanging="328"/>
        <w:spacing w:after="0" w:line="290"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WM Business SaaS solution and grow Gross Merchandise Value (“GMV”). </w:t>
      </w:r>
      <w:r>
        <w:rPr>
          <w:rFonts w:ascii="Arial" w:cs="Arial" w:eastAsia="Arial" w:hAnsi="Arial"/>
          <w:sz w:val="16"/>
          <w:szCs w:val="16"/>
          <w:color w:val="auto"/>
        </w:rPr>
        <w:t>We intend to continue expanding the functionality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SaaS solutions through additional offerings of premium analytics, Customer Relationship Management, or CRM, and loyalty tools, among other solutions, which we intend to monetize through additional higher priced tiers within our subscription offering. We will continue to expand the availability of our POS and wholesale exchange offerings across additional states. We also are continuously improving the base-level functionality across our WM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to the extent U.S. federal regulations allow us to monetize our clients’ currently off-platform transaction activity through take-rates or payment fees, which we do not engage in today.</w:t>
      </w:r>
    </w:p>
    <w:p>
      <w:pPr>
        <w:spacing w:after="0" w:line="138"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Strategic Acquisitions. </w:t>
      </w:r>
      <w:r>
        <w:rPr>
          <w:rFonts w:ascii="Arial" w:cs="Arial" w:eastAsia="Arial" w:hAnsi="Arial"/>
          <w:sz w:val="18"/>
          <w:szCs w:val="18"/>
          <w:color w:val="auto"/>
        </w:rPr>
        <w:t>We take a measured approach to acquisition-related growth, preferring to selectively make strategic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acquisitions, such as our prior POS subsidiary, that complement our existing offerings. We intend to continue selectively pursuing opportunities to invest in and acquire technology offerings that allow us to accelerate our growth.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direct competitors for individual components of our platform include cannabis-focused, two-sided networks like Leafly (for retailer listing pages), Dutchie and Jane Technologies (for menu embed and orders functionality), Leaflink (for B2B sales) and a variety of cannabis-focused point-of-sale providers.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and ability to facilitate compliance with the complex, disparate regulations applicable to businesses operating in the cannabis industry, breadth and trustworthiness of information available to consumers, and brand. We believe we compete favorably based on these factors.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additional information about the risks to our business related to competition, see the section entitled “Risk Factors-Risks Related to our Business and Industry—We currently face intense competition in the market, and we expect competition to further intensify as the cannabis industry continues to evolve.”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sales team is primarily based out of our Irvine, California headquarters. Members of our sales team are knowledgeable about the products and add-ons that we offer, such as our Deals platform or WM Orders, and assist new and existing clients with our platform.</w:t>
      </w:r>
    </w:p>
    <w:p>
      <w:pPr>
        <w:spacing w:after="0" w:line="14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believe the quality and strength of our platform is our most valuable marketing asset, the vast majority of business sales leads being inbound. Our marketing strategy, across both consumers and businesses, consists of user acquisition, brand marketing, communications and field marketing.</w:t>
      </w:r>
    </w:p>
    <w:p>
      <w:pPr>
        <w:spacing w:after="0" w:line="10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consumer marketing efforts focus on driving awareness of the platform, acquiring new users who may be interested in the platform and increasing engagement of existing users. To augment the engagement of our platform, we employ a series of lifecycle marketing, social media and SEO tactics that have increased our direct &amp; organic traffic. Though many traditional paid marketing channels (such as broadcast television or Google search and display ads) are not available to platforms in the cannabis industry, we have been able to build a reliable network of online tactics that allow us to accelerate the growth of our consumer base at very competitive customer acquisition costs. Additionally, we seek key broad consumer opportunities to cement our place in consumers’ minds as the premier cannabis marketplace such as the recent sponsorship of the Mike Tyson vs. Roy Jones, Jr. pay-per-view fight, one of the top 10 most purchased combat sports events of all time.</w:t>
      </w:r>
    </w:p>
    <w:p>
      <w:pPr>
        <w:spacing w:after="0" w:line="1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business marketing focus is to drive awareness of the breadth of our software offering among cannabis retailers and brands, given how nascent some of our newer offerings are. We do so through direct physical and digital marketing, working with local cannabis business associations, and through lifecycle marketing with existing clients. Given the strength of our brand, we have seen strength in performance of our tactics in what is a crowded market, easing the acquisition or upsell process for our sales team.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Impact</w:t>
      </w:r>
    </w:p>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Additionally, our policy team has drafted white papers and mock legislative provisions that are designed to support the enactment of social equity licensing programs and advocates for state and local governments to enact social equity licensing programs. We have also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product development efforts focus on adding new features and solutions to our platform, as well as increasing the functionality and enhancing the ease of use of our platform. While we expect research and development expenses to increase as we continue to increase the functionality of our platform, we expect our research and development expenses to remain the same percentage of total revenues.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intellectual property and proprietary rights are valuable assets that are important to our business. In our efforts to safeguard our copyrights, trade secrets, trademarks and other intellectual property rights worldwide, we rely on a combination of federal, state, common law and international rights in the jurisdictions in which we operate.</w:t>
      </w:r>
    </w:p>
    <w:p>
      <w:pPr>
        <w:spacing w:after="0" w:line="14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1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30, 2021, we have been issued trademark registrations in the United States, Canada, Japan, the European Union, the United Kingdom and Mexico. We have also been issued an international trademark registration with designation in Australia and the European Union for “Weedmaps.” As of September 30, 2021, we have pending trademark applications in the United States covering: “WM TECH” and “WM TECHNOLOGY”, as well as a pending trademark application in the United States covering “Weedmaps” for delivery platform services. We also have pending trademark applications in Canada covering “Weedmaps” and our “wm verified logo”.</w:t>
      </w:r>
    </w:p>
    <w:p>
      <w:pPr>
        <w:spacing w:after="0" w:line="1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our numerous trademark applications and registrations, we have been issued copyright registrations in the United States for our weedmaps.com website, “Grow One,” and two versions of our Lab API documentation. Further, we own several domain names, including: weedmaps.com, marijuana.com, cannabis.com, wmpolicy.com, themuseumofweed.com, wm-retail.com, wmforbusiness.com and WM.store. Our trademarks and domain names are material to our business and brand identity.</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1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14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Circumstances outside our control could pose a threat to our intellectual property rights. For more information, see the section entitled “Risk Factors— Risks Related to our Business and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corporate headquarters is located in Irvine, California, pursuant to an operating lease that expires in 2025. We have built out a second headquarter space in Los Angeles, California, pursuant to an operating lease that expires in 2031. We lease or license additional offices in Denver, Colorado; Ontario Canada; and Barcelona, Spain.</w:t>
      </w:r>
    </w:p>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our current facilities are adequate to meet our ongoing needs. However, from time to time we may evaluate additional or substitute office spaces. We believe that we will be able to obtain additional facilities, as needed, on commercially reasonable terms. Additionally, we recently adopted a work from anywhere policy.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 Operations and Human Capital Resources</w:t>
      </w:r>
    </w:p>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2021, we had 473 full-time employees and 1 part-time employee, including 182 in engineering, product and design, 203 in sales and marketing, and 89 in general and administrative and professional services. Of these employees, 463 are located in the United States, and 11 are located in Canada.</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employees who are technologically skilled and also passionate about our mission and products. We devote substantial resources to this task. Our dedicated, best-in-class Talent Acquisition team is focused on finding and attracting diverse and capable talent, and our People &amp; Culture team is set on building a world class employer of choice for that talent once they get here. None of our employees are represented by a labor union or covered by collective bargaining agreements, and we have not experienced any work stoppages.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and Territories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Notwithstanding the trend toward further state legalization, the U.S. government continues to categorize cannabis as an illegal Schedule I controlled substance, and accordingly the cultivation, processing, distribution, sale, advertisement of sale and possession by our customers violate federal law, as discussed further in the sections entitled “Risk Factors—Risks Related to our Business and Industry.”</w:t>
      </w:r>
    </w:p>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the Obama and Trump administrations have had different stated policies, including the latter’s less friendly position on the industry, the U.S. federal government has not prioritized the enforcement of the CSA’s prohibition on cannabis against cannabis companies complying with the state law and their vendors for over five years.</w:t>
      </w:r>
    </w:p>
    <w:p>
      <w:pPr>
        <w:spacing w:after="0" w:line="1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Since 2014, versions of the U.S. omnibus spending bill have included a provision prohibiting the DOJ, which includes the Drug Enforcement Administration,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1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his campaign, President Biden promised federal reform on cannabis, including decriminalization generally. While the administration since has shown little interest in cannabis reform, Biden’s pledge to “decriminalize” cannabis may reasonably be interpreted to mean that any Attorney General under his administration will order U.S. Attorneys not to enforce the federal cannabis prohibition against state law compliant entities and others legally transacting business with them.</w:t>
      </w:r>
    </w:p>
    <w:p>
      <w:pPr>
        <w:spacing w:after="0" w:line="1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Although the U.S. Attorney General, Merrick Garland, could issue policy guidance to federal prosecutors that they should not interfere with cannabis businesses operating in compliance with states’ laws, any such guidance would not have the force of law, and could not be enforced by the courts. During his confirmation hearing before the U.S. Senate, Judge Garland testified that prosecuting state-legal cannabis companies would not be a “useful use of limited resources.” Therefore, the status quo of federal non-enforcement is likely to continue for the foreseeable future, though of course that is not certain. While industry observers are hopeful that changes in Congress and the Senate, along with a Biden presidency, will increase the chances of cannabis or at least cannabis-banking reform, it is not a certainty. A number of bills would affect the legal status of cannabis. The Secure and Fair Enforcement (“SAFE”) Banking Act, would allow financial institutions to legally provide services to state-licensed and compliant cannabis operators, and has passed the House of Representatives but not the Senate. A number of other bills expected to be introduced or reintroduced into the 117th Congress could affect the legal status of cannabis in the United States, though whether any of them will become law is uncertain. Senators Cory Booker (D-NJ), Ron Wyden (D-OR) and Chuck Schumer (D-NY) released a discussion draft of proposed legislation, the Cannabis Administration And Opportunity Act, which they plan to introduce as a bill that would decriminalize cannabis and expunge prior cannabis convictions. Recently introduced into Congress is another bill, the States Reform Act, introduced by Rep. Nancy Mace (R-SC), which would repeal the federal prohibition of cannabis. Based on the momentum seen this year, legislative efforts to legalize cannabis or cannabis banking at the national level are likely to continue in 2022.</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Some of our retail clients sell products with CBD derived from hemp with and without THC from non-hemp cannabis. Until recently, hemp and hemp’s extracts (except mature stalks, fiber produced from the stalks, oil or cake made from the seeds and any other compound, manufacture, salt derivative, mixture or preparation of such parts) were illegal Schedule I controlled substances under the CSA. The Agricultural Act of 2014, Pub. L. 113-79 (the “2014 Farm Bill”) authorized states to establish industrial hemp research programs. The majority of states established programs purportedly in compliance with the 2014 Farm Bill. Many industry participants and even states interpreted the law to include “research” into the commercialization of, and commercial markets for, CBD from hemp, including products containing CBD.</w:t>
      </w:r>
    </w:p>
    <w:p>
      <w:pPr>
        <w:spacing w:after="0" w:line="16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December 2018, the U.S. government changed hemp’s legal status. The Agriculture Improvement Act of 2018, Pub. L. 115-334 (the “2018 Farm Bill”), removed hemp and extracts of hemp, including CBD, from the CSA schedules. Accordingly, the production, sale and possession of hemp or extracts of hemp, including certain CBD products, no longer violate the CSA. The states have implemented a patchwork of different laws on hemp and its extracts, including CBD. Additionally, the FDA claims that the Food, Drugs &amp; Cosmetics Act significantly limits the legality of hemp-derived CBD products.</w:t>
      </w:r>
    </w:p>
    <w:p>
      <w:pPr>
        <w:spacing w:after="0" w:line="11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have been neither a defendant in a criminal action nor the subject of a civil or regulatory enforcement proceeding, prosecuted by a U.S. governmental authority based on our provision of products and solutions to the cannabis industry. In addition,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or ACMPR. Under the Cannabis Act, holders of licenses to cultivate and/or process cannabis are also permitted to supply cannabis under their existing licenses obtained pursuant to the ACMPR to the regulated adult-use market.</w:t>
      </w:r>
    </w:p>
    <w:p>
      <w:pPr>
        <w:spacing w:after="0" w:line="13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distribution and sale of cannabis for adult use is regulated separately by each provincial and territorial government, and as such, regulatory regimes vary from jurisdiction to jurisdiction. In each of the provinces and territories, except for Saskatchewan, a provincial distributor is responsible for purchasing cannabis from producers and selling products to its regulated retail distribution channels. In addition, in each province and territory, other than Saskatchewan and Manitoba, the provincial distributor is solely responsible for online sales. With respect to retail sales of cannabis, other than online sales, the provincial and territorial regulations in Prince Edward Island, Nova Scotia, New Brunswick, Quebec, and the Northwest Territories allow only for government-run cannabis stores, while the provincial and territorial regulations in Ontario, Manitoba, Saskatchewan, Alberta and Yukon leave the retail sale of cannabis, other than online sales, to the private sector. In Newfoundland, British Columbia and Nunavut, provincial and territorial regulations allow for a hybrid model in which both public and private stores can operate.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regulations promulgated under the Cannabis Act, or the Cannabis Regulations, provide more detail on the medical and adult-use regulatory regimes for cannabis, including regarding licensing, security clearances and physical security requirements, product practices, outdoor growing, security, packaging and labelling, cannabis-containing compounds, document retention requirements, reporting and disclosure requirements, the new access to cannabis for medical purposes regime and industrial hemp regulations (both of which are substantially similar to the medical cannabis and industrial hemp regulatory regimes that existed prior to the Cannabis Act coming into force). Under the Cannabis Act and the Cannabis Regulations, Health Canada has been granted the authority to issue a wide range of licenses, including licenses for standard cultivation, micro-cultivation, industrial hemp cultivation and nursery cultivation, licenses for standard processing and micro- processing, and sales licenses.</w:t>
      </w:r>
    </w:p>
    <w:p>
      <w:pPr>
        <w:spacing w:after="0" w:line="15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Cannabis Act prohibits all cannabis promotion unless specifically authorized thereunder. Under Subsection 17(1) of the Cannabis Act, it is prohibited to promote cannabis or a cannabis accessory or any service related to cannabis, including (a) by communicating information about its price or distribution; (b) by doing so in a manner that there are reasonable grounds to believe could be appealing to young persons; (c) by means of a testimonial or endorsement, however displayed or communicated; (d) by means of the depiction of a person, character or animal, whether real or fictional; or (e) by presenting it or any of its brand elements in a manner that associates it or the brand element with, or evokes a positive or negative emotion about or image of, a way of life such as one that includes glamour, recreation, excitement, vitality, risk or daring.</w:t>
      </w:r>
    </w:p>
    <w:p>
      <w:pPr>
        <w:spacing w:after="0" w:line="13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Authorized promotions under the Cannabis Act include those by licensed businesses and others, limited to informational content or brand preference promotion. Informational promotion is promotion that contains factual information to the consumer about cannabis, cannabis accessories, and services related to cannabis, including their availability and price. Brand-preference promotion is promotion of cannabis, cannabis accessories, and services related to cannabis based on their brand characteristics. Businesses that are authorized to produce, sell or distribute cannabis under the Act may promote cannabis by means of an informational promotion or brand preference promotion so long as the person responsible for the promotion, if a telecommunication, has taken reasonable steps to ensure that the promotion cannot be accessed by a young person.</w:t>
      </w:r>
    </w:p>
    <w:p>
      <w:pPr>
        <w:spacing w:after="0" w:line="13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As discussed elsewhere in this prospectus, we believe that Section 230 provides immunity from civil and state criminal liability to internet service provider intermediaries in the United States, such as us, for content provided on their platforms that they did not create or develop. While Article 19.17.2 of the United States-Mexico-Canada Agreement (“USMCA”), which became effective on July 1, 2020, contains language which is similar to Section 230(c)</w:t>
      </w:r>
    </w:p>
    <w:p>
      <w:pPr>
        <w:spacing w:after="0" w:line="2" w:lineRule="exact"/>
        <w:rPr>
          <w:sz w:val="20"/>
          <w:szCs w:val="20"/>
          <w:color w:val="auto"/>
        </w:rPr>
      </w:pPr>
    </w:p>
    <w:p>
      <w:pPr>
        <w:jc w:val="both"/>
        <w:ind w:firstLine="8"/>
        <w:spacing w:after="0" w:line="267" w:lineRule="auto"/>
        <w:tabs>
          <w:tab w:leader="none" w:pos="259" w:val="left"/>
        </w:tabs>
        <w:numPr>
          <w:ilvl w:val="0"/>
          <w:numId w:val="35"/>
        </w:numPr>
        <w:rPr>
          <w:rFonts w:ascii="Arial" w:cs="Arial" w:eastAsia="Arial" w:hAnsi="Arial"/>
          <w:sz w:val="17"/>
          <w:szCs w:val="17"/>
          <w:color w:val="auto"/>
        </w:rPr>
      </w:pPr>
      <w:r>
        <w:rPr>
          <w:rFonts w:ascii="Arial" w:cs="Arial" w:eastAsia="Arial" w:hAnsi="Arial"/>
          <w:sz w:val="17"/>
          <w:szCs w:val="17"/>
          <w:color w:val="auto"/>
        </w:rPr>
        <w:t>of the Communications Decency Act, there is currently no statutory equivalent to Section 230 in Canada. While the case law in Canada on this point is not extensive, however, we believe that courts in Canada have tended to exclude digital platforms in Canada, such as us, from aiding-and-abetting liability for publishing third-party content on their platforms where the platform providers act as “mere conduits” for the content. For additional information, see the section entitled “Risk Factors—Risks Related to our Business and Industry.” We do not create or develop the information that appears in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not been a defendant in a criminal action, nor have we been the subject of a civil or regulatory enforcement proceeding, prosecuted by a Canadian governmental authority based on our provision of products and solutions to the cannabis industry.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the World</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that product is legally permissible.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September 2019, we received a grand jury subpoena prepared by the United States Attorney’s Office for the Eastern District of California (“DOJ”). The subpoena demanded certain categories of information from us, some of which we have already provided. Management believes that the outcome of such inquiry will not have a material adverse impact of our financial position, results of operations, or cash flow. On August 4, 2021, the DOJ notified the Company that the DOJ was withdrawing the subpoena issued in September 2019, and that it had no present plan to exercise its discretion to proceed further in the matter. The DOJ cautioned that its decision not to proceed further did not constitute a grant of immunity, and that its plans could change in the future without notice.</w:t>
      </w:r>
    </w:p>
    <w:p>
      <w:pPr>
        <w:spacing w:after="0" w:line="16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Beginning on January 27, 2021, purported stockholders of Silver Spike filed or threatened to file lawsuits in connection with the Merger, including two actions filed in the Supreme Court of the State of New York, captioned, Brait v. Silver Spike Acquisition Corp., et al., Index No. 650629/2021 (N.Y. Sup. Ct.), and Stout v. Silver Spike Acquisition Corp., et al., No. 650686/2021 (N.Y. Sup. Ct.). The operative complaints in the Brait and Stout actions allege that the Registration Statement issued in connection with the Merger omits material information related to the proposed transaction, and asserts claims for breach of fiduciary duty against certain of Silver Spike’s then officers and directors and for aiding and abetting breach of fiduciary duty against Silver Spike. The Stout complaint also asserts aiding and abetting claims against Legacy WMH and Merger Sub. Plaintiffs seek injunctive relief to enjoin the Merger and to require defendants to issue supplemental disclosures as outlined in the complaints or, in the event the transaction is consummated in the absence of such supplemental disclosures, an order rescinding the transaction and awarding rescissory damages. Plaintiffs also seek an award of attorneys’ fees and costs. We have received similar demands from other purported shareholders of Silver Spike,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Merger, pending dissemination of supplemental disclosures, unspecified damages and attorneys’ fees and costs. The Brait action was voluntarily discontinued on June 29, 2021. We believe that these allegations are without merit. These matters are in the early stages and we are unable to reasonably determine the outcome or estimate the loss, if any, and as such, have not recorded a loss contingency.</w:t>
      </w:r>
    </w:p>
    <w:p>
      <w:pPr>
        <w:spacing w:after="0" w:line="14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names, ages and positions (as of September 30, 2021) of our directors and executive officers: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5500" w:type="dxa"/>
            <w:vAlign w:val="bottom"/>
          </w:tcPr>
          <w:p>
            <w:pPr>
              <w:ind w:left="244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3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Executive Officers</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spacing w:after="0"/>
              <w:rPr>
                <w:sz w:val="17"/>
                <w:szCs w:val="17"/>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Christopher Beals</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Brian Camire</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General Counsel and Secretary</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Chief Technology Officer and Chief Information Officer</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Juanjo Feijoo</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Chief Operating Officer</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Arden Lee</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418"/>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Tony Aquila</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Douglas Francis</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Founder and Director</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Brenda Freeman</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Olga Gonzalez</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Scott Gordon</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Justin Hartfield</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Founder and Director</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Fiona Tan</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8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Christopher Beals. </w:t>
      </w:r>
      <w:r>
        <w:rPr>
          <w:rFonts w:ascii="Arial" w:cs="Arial" w:eastAsia="Arial" w:hAnsi="Arial"/>
          <w:sz w:val="17"/>
          <w:szCs w:val="17"/>
          <w:color w:val="auto"/>
        </w:rPr>
        <w:t>Mr. Beals has served as our Chief Executive Officer and as a member of our board of directors since June 2021. Mr. Beals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Legacy WMH’s Chief Executive Officer from March 2019 to June 2021 and as a member of its board of managers since October 2015. Mr. Beals previously served as Legacy WMH’s General Counsel from September 2015, and Legacy WMH’s President from February 2016 to March 2019. Mr. Beals previously served as Senior Vice President of Colbeck Capital Management from December 2014 to August 2015 and Senior Corporate Counsel &amp; Data Privacy Officer at T-Systems International GmbH from February 2013 to December 2014. He also previously worked as an associate at Davis Polk &amp; Wardwell LLP and Covington &amp; Burling LLP. Mr. Beals holds a B.S. in Systems Engineering and a B.A. in Economics from the University of Pennsylvania and a J.D. from the University of Pennsylvania Law School.</w:t>
      </w:r>
    </w:p>
    <w:p>
      <w:pPr>
        <w:spacing w:after="0" w:line="13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Brian Camire. </w:t>
      </w:r>
      <w:r>
        <w:rPr>
          <w:rFonts w:ascii="Arial" w:cs="Arial" w:eastAsia="Arial" w:hAnsi="Arial"/>
          <w:sz w:val="17"/>
          <w:szCs w:val="17"/>
          <w:color w:val="auto"/>
        </w:rPr>
        <w:t>Mr. Camire has served as our General Counsel and Secretary since June 2021. Mr. Camire served as Legacy WMH’s General Counsel</w:t>
      </w:r>
      <w:r>
        <w:rPr>
          <w:rFonts w:ascii="Arial" w:cs="Arial" w:eastAsia="Arial" w:hAnsi="Arial"/>
          <w:sz w:val="17"/>
          <w:szCs w:val="17"/>
          <w:i w:val="1"/>
          <w:iCs w:val="1"/>
          <w:color w:val="auto"/>
        </w:rPr>
        <w:t xml:space="preserve"> </w:t>
      </w:r>
      <w:r>
        <w:rPr>
          <w:rFonts w:ascii="Arial" w:cs="Arial" w:eastAsia="Arial" w:hAnsi="Arial"/>
          <w:sz w:val="17"/>
          <w:szCs w:val="17"/>
          <w:color w:val="auto"/>
        </w:rPr>
        <w:t>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Justin Dean. </w:t>
      </w:r>
      <w:r>
        <w:rPr>
          <w:rFonts w:ascii="Arial" w:cs="Arial" w:eastAsia="Arial" w:hAnsi="Arial"/>
          <w:sz w:val="18"/>
          <w:szCs w:val="18"/>
          <w:color w:val="auto"/>
        </w:rPr>
        <w:t>Mr. Dean has served as our Chief Technology Officer and Chief Information Officer since June 2021. Mr. Dean served as Legacy WMH’s</w:t>
      </w:r>
      <w:r>
        <w:rPr>
          <w:rFonts w:ascii="Arial" w:cs="Arial" w:eastAsia="Arial" w:hAnsi="Arial"/>
          <w:sz w:val="18"/>
          <w:szCs w:val="18"/>
          <w:i w:val="1"/>
          <w:iCs w:val="1"/>
          <w:color w:val="auto"/>
        </w:rPr>
        <w:t xml:space="preserve"> </w:t>
      </w:r>
      <w:r>
        <w:rPr>
          <w:rFonts w:ascii="Arial" w:cs="Arial" w:eastAsia="Arial" w:hAnsi="Arial"/>
          <w:sz w:val="18"/>
          <w:szCs w:val="18"/>
          <w:color w:val="auto"/>
        </w:rPr>
        <w:t>Chief Technology Officer from December 2019 to June 2021 and Chief Information Officer since November 2018. He previously served as the Senior Vice President of Technology and Head of Infrastructure and Platform at Ticketmaster from February 2015 to November 2018, Vice President of Global Infrastructure and Head of Technical Operations at Shopzilla (formerly Bizrate) from January 2007 to February 2015 and Vice President of Information Technology at B3 Corp from 2002 to 2007. Mr. Dean started his career in technology while serving as a Network Systems Engineer in the U.S. Marine Corps from October 1995 to October 1999 and then went on to serve in senior technical architecture roles at National Realty Trust and Compuware (assigned to Sempra Energy).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Juanjo Feijoo. </w:t>
      </w:r>
      <w:r>
        <w:rPr>
          <w:rFonts w:ascii="Arial" w:cs="Arial" w:eastAsia="Arial" w:hAnsi="Arial"/>
          <w:sz w:val="17"/>
          <w:szCs w:val="17"/>
          <w:color w:val="auto"/>
        </w:rPr>
        <w:t>Mr. Feijoo has served as our Chief Operating Officer since July 2021 and as our Chief Marketing Officer from June 2021 to July 2021.</w:t>
      </w:r>
      <w:r>
        <w:rPr>
          <w:rFonts w:ascii="Arial" w:cs="Arial" w:eastAsia="Arial" w:hAnsi="Arial"/>
          <w:sz w:val="17"/>
          <w:szCs w:val="17"/>
          <w:i w:val="1"/>
          <w:iCs w:val="1"/>
          <w:color w:val="auto"/>
        </w:rPr>
        <w:t xml:space="preserve"> </w:t>
      </w:r>
      <w:r>
        <w:rPr>
          <w:rFonts w:ascii="Arial" w:cs="Arial" w:eastAsia="Arial" w:hAnsi="Arial"/>
          <w:sz w:val="17"/>
          <w:szCs w:val="17"/>
          <w:color w:val="auto"/>
        </w:rPr>
        <w:t>Mr. Feijoo served as Legacy WMH’s Chief Marketing Officer from May 2019 to June 2021. Previously, Mr. Feijoo served as Senior Director of Customer Engagement for Creative Cloud at Adobe, a publicly-held global technology company, from 2017 to 2019. Prior to that, from 2015 to 2017, Mr. Feijoo served various roles at Maplebear inc (d/b/a Instacart), a private company, including Vice President of Central Operations &amp; Marketing. Prior that, from 2008 to 2015, Mr. Feijoo held several roles at Google, Inc, a publicly-held global technology company, including Head of Consumer Experience, Consumer Operations. Mr. Feijoo holds a B.S. in International Business Management from Oxford Brookes University.</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Arden Lee. </w:t>
      </w:r>
      <w:r>
        <w:rPr>
          <w:rFonts w:ascii="Arial" w:cs="Arial" w:eastAsia="Arial" w:hAnsi="Arial"/>
          <w:sz w:val="18"/>
          <w:szCs w:val="18"/>
          <w:color w:val="auto"/>
        </w:rPr>
        <w:t>Mr. Lee served as our Chief Financial Officer since June 2021. Mr. Lee served as Legacy WMH’s Chief Financial Officer from February</w:t>
      </w:r>
      <w:r>
        <w:rPr>
          <w:rFonts w:ascii="Arial" w:cs="Arial" w:eastAsia="Arial" w:hAnsi="Arial"/>
          <w:sz w:val="18"/>
          <w:szCs w:val="18"/>
          <w:i w:val="1"/>
          <w:iCs w:val="1"/>
          <w:color w:val="auto"/>
        </w:rPr>
        <w:t xml:space="preserve"> </w:t>
      </w:r>
      <w:r>
        <w:rPr>
          <w:rFonts w:ascii="Arial" w:cs="Arial" w:eastAsia="Arial" w:hAnsi="Arial"/>
          <w:sz w:val="18"/>
          <w:szCs w:val="18"/>
          <w:color w:val="auto"/>
        </w:rPr>
        <w:t>2019 to June 2021. Prior to joining Legacy WMH, Mr. Lee was the Vice President of Global Business Planning at Nike, Inc. from December 2016 to July 2018 and previously worked at Goldman Sachs &amp; Co. from April 2007 to November 2016, most recently holding the position of Managing Director of Investment Banking. Mr. Lee also previously served as Vice President, Investment Banking at Citigroup, Inc. and Vice President, Mergers and Acquisitions at Deutsche Bank Securities. He holds an A.B. in Economics from Princeton University.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Tony Aquila</w:t>
      </w:r>
      <w:r>
        <w:rPr>
          <w:rFonts w:ascii="Arial" w:cs="Arial" w:eastAsia="Arial" w:hAnsi="Arial"/>
          <w:sz w:val="17"/>
          <w:szCs w:val="17"/>
          <w:color w:val="auto"/>
        </w:rPr>
        <w:t>. Mr. Aquila has served as a member of our board of directors since June 2021. In June 2019, Mr. Aquila founded AFV Partners, an</w:t>
      </w:r>
      <w:r>
        <w:rPr>
          <w:rFonts w:ascii="Arial" w:cs="Arial" w:eastAsia="Arial" w:hAnsi="Arial"/>
          <w:sz w:val="17"/>
          <w:szCs w:val="17"/>
          <w:i w:val="1"/>
          <w:iCs w:val="1"/>
          <w:color w:val="auto"/>
        </w:rPr>
        <w:t xml:space="preserve"> </w:t>
      </w:r>
      <w:r>
        <w:rPr>
          <w:rFonts w:ascii="Arial" w:cs="Arial" w:eastAsia="Arial" w:hAnsi="Arial"/>
          <w:sz w:val="17"/>
          <w:szCs w:val="17"/>
          <w:color w:val="auto"/>
        </w:rPr>
        <w:t>affirmative low-leverage capital vehicle that invests in long-term mission critical software, data and technology businesses and serves as its Chairman and Chief Executive Officer since its founding. In 2005, Mr. Aquila founded Solera Holdings Inc., and led it as Chairman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currently serves as the Chairman for Aircraft Performance Group, LLC, a global provider of mission critical flight operations software, since January 2020, RocketRoute Limited, global aviation services company, since March 2020, APG Avionics LLC, an aviation data and software company for the general aviation market, since September 2020 and Canoo Inc., a mobility technology company, since December 2020. From November 2018 to July 2020, Mr. Aquila served as the Global Chairman of Sportradar Group, a sports data and content company.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Douglas Francis</w:t>
      </w:r>
      <w:r>
        <w:rPr>
          <w:rFonts w:ascii="Arial" w:cs="Arial" w:eastAsia="Arial" w:hAnsi="Arial"/>
          <w:sz w:val="18"/>
          <w:szCs w:val="18"/>
          <w:color w:val="auto"/>
        </w:rPr>
        <w:t>. Mr. Francis has served as a member of our board of directors since June 2021. Mr. Francis is a co-founder of Legacy WMH,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chairman of Legacy WMH’s board of managers since March 2019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18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Brenda Freeman</w:t>
      </w:r>
      <w:r>
        <w:rPr>
          <w:rFonts w:ascii="Arial" w:cs="Arial" w:eastAsia="Arial" w:hAnsi="Arial"/>
          <w:sz w:val="16"/>
          <w:szCs w:val="16"/>
          <w:color w:val="auto"/>
        </w:rPr>
        <w:t>. Ms. Freeman has served as a member of our board of directors since June 2021. Since February 2020, Ms. Freeman has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for Arteza, Inc., a direct-to-consumer arts and crafts manufacturing and supply company. Ms. Freeman founded and has served as President of Joyeux Advisory Group LLC, a firm providing advisory services to early-stage startups and Fortune 500 companies, since January 2018.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Ms. Freeman has been a member of the boards of directors of Blue Apron Holdings, Inc. since October 2020, of Caleres, Inc. since April 2017 and of Avnet, Inc. since November 2018. Ms. Freeman previously served on the board of directors of Herman Miller, Inc. from January 2016 to June 2019 and on the board of directors of RTW Retailwinds, Inc. from April 2019 to April 2020. Previously, Ms. Freeman served as Chief Marketing Officer at Turner Broadcasting Systems, Inc. and was Vice President, television marketing at DreamWorks Animation SKG Inc. Ms. Freeman holds a B.S. degree in chemical engineering and an M.B.A degree from the University of Maryland.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Olga Gonzalez</w:t>
      </w:r>
      <w:r>
        <w:rPr>
          <w:rFonts w:ascii="Arial" w:cs="Arial" w:eastAsia="Arial" w:hAnsi="Arial"/>
          <w:sz w:val="16"/>
          <w:szCs w:val="16"/>
          <w:color w:val="auto"/>
        </w:rPr>
        <w:t>. Ms. Gonzalez has served as a member of our board of directors since June 2021. Since January 2021, Ms. Gonzalez has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Global Business Leader for Wild Fork Foods, an online specialty food service.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Prior to that, Ms. Gonzalez had served as Director, Internal Audit at General Motors Company from 2006 to 2010 and from 1996 to 2004, Vice President, Enterprise Risk and Assurance Services at the 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Scott Gordon. </w:t>
      </w:r>
      <w:r>
        <w:rPr>
          <w:rFonts w:ascii="Arial" w:cs="Arial" w:eastAsia="Arial" w:hAnsi="Arial"/>
          <w:sz w:val="17"/>
          <w:szCs w:val="17"/>
          <w:color w:val="auto"/>
        </w:rPr>
        <w:t>Mr. Gordon has served as a member of our board of directors since June 2021. Mr. Gordon has been the Chairman of Silver Spike’s</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and has served as its Chief Executive Officer since its inception. Since 2016, Mr. Gordon has 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Justin Hartfield</w:t>
      </w:r>
      <w:r>
        <w:rPr>
          <w:rFonts w:ascii="Arial" w:cs="Arial" w:eastAsia="Arial" w:hAnsi="Arial"/>
          <w:sz w:val="18"/>
          <w:szCs w:val="18"/>
          <w:color w:val="auto"/>
        </w:rPr>
        <w:t>. Mr. Hartfield has served as a member of our board of directors since June 2021. Mr. Hartfield is a co-founder of Legacy WMH,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a member of Legacy WMH’s board of managers since inception and served as Legacy WMH’s chairman of the board from February 2016 to March 2019. Previously, Mr. Hartfield served as Legacy WMH’s Chief Executive Officer until February 2016. Mr. Hartfield holds a B.S. in Computer and Information Sciences and Supportive Services from the University of California, Irvine.</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Fiona Tan</w:t>
      </w:r>
      <w:r>
        <w:rPr>
          <w:rFonts w:ascii="Arial" w:cs="Arial" w:eastAsia="Arial" w:hAnsi="Arial"/>
          <w:sz w:val="18"/>
          <w:szCs w:val="18"/>
          <w:color w:val="auto"/>
        </w:rPr>
        <w:t>. Ms. Tan has served as a member of our board of directors since June 2021. Since September 2020, Ms. Tan has served as Global Head of</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and Supplier Technology for Wayfair LLC. Prior to that Ms. Tan held various leadership positions at Walmart Inc., including Head of Technology, Walmart US from March 2019 to September 2020, Senior Vice President, Engineering, Customer Technology, WalmartLabs from January 2017 to March 2019 and Vice President, Engineering, International Markets, WalmartLabs Strategy, and Operations from April 2014 to January 2017. Prior to that Ms. Tan was Vice President, Engineering for Ariba, Inc. Ms. Tan also previously worked for 16 years at TIBCO Software, Inc., as well as for Oracle Corporation. Ms. Tan holds an M.S. in Computer Science from Stanford University and a B.S. in Computer Science and Engineering from the Massachusetts Institute of Technology.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business and affairs are organized under the direction of our board of directors. Our board of directors consists of eight members. In addition, there is one vacancy on our board directors, which such vacancy will be filled by an affirmative vote of a majority of our board directors. The Chair of our board of directors is Christopher Beals. The primary responsibilities of our board of directors is to provide oversight, strategic guidance, counseling and direction to our management. Our board of directors meet on a regular basis and additionally as required.</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accordance with the terms of our charter, our board of directors is divided into three classes, Class I, Class II and Class III, with only one class of directors being elected in each year and each class serving a three-year term. There is no cumulative voting with respect to the election of directors, with the result that the holders of more than 50% of the shares voted for the election of directors can elect all of the directors.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of directors is divided into the following classes:</w:t>
      </w:r>
    </w:p>
    <w:p>
      <w:pPr>
        <w:spacing w:after="0" w:line="225" w:lineRule="exact"/>
        <w:rPr>
          <w:sz w:val="20"/>
          <w:szCs w:val="20"/>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Class I, which consists of Mr. Beals, and Ms. Tan, and one vacancy, whose terms will expire at our first annual meeting of stockholders to be held after the Business Combination;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Class II, which consists of Mr. Aquila, Mses. Gonzalez and Freeman, whose terms will expire at our second annual meeting of stockholders to be held after the Business Combination;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Class III, which consists of Messrs. Francis, Gordon, and Hartfield, whose terms will expire at our third annual meeting of stockholders to be held after the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board of directors determined that each of the directors on our board of directors other than Messrs. Beals, Hartfield and Mr. Francis are independent directors, as defined under the listing rules of The Nasdaq Stock Market LLC (the “Nasdaq listing rules”), and our board of directors consists of a majority of “independent directors,” as defined under the rules of the SEC and Nasdaq listing rules relating to director independence requirements. In addition, we are subject to the rules of the SEC and Nasdaq relating to the membership, qualifications and operations of the audit committee, as discussed below.</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Lead Independent Director</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Christopher Beals, our Chief Executive Officer, serves as Chair of our board of directors. Mr. Beals is not “independent” as defined under the applicable rules and regulations of the SEC and the listing requirements and rules of Nasdaq. Our corporate governance guidelines provide that one of our independent directors may serve as the lead independent director at any time that Mr. Beals or anyone else who is not an independent director is serving as the Chair of our board of directors. The independent directors of our board of directors appointed Ms. Freeman to serve as our lead independent director. As lead independent director, Ms. Freeman presides over periodic meetings of our independent directors (including at any meetings of our board of directors where the Chair is not present) and coordinate certain activities of the independent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board of directors established an audit committee, a compensation committee and a nominating and corporate governance committee. Our board of directors adopted a charter for each of these committees, which complies with the applicable requirements of current Nasdaq rules. We intend to comply with future requirements to the extent they will be applicable to us. Copies of the charters for each committee are available on the investor relations portion of our website.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audit committee consists of Mses. Gonzalez, Freeman and Mr. Gordon. Our board of directors has determined that each of the members of the audit committee satisfy the independence requirements of Nasdaq and Rule 10A-3 under the Exchange Act. Each member of the audit committee can read and understand fundamental financial statements in accordance with Nasdaq audit committee requirements. In arriving at this determination, our board of directors examined each audit committee member’s scope of experience and the nature of their prior and/or current employment.</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named Ms. Gonzalez as the chair of the audit committee. Our board of directors determined that Ms. Gonzalez qualifies as an audit committee financial expert within the meaning of SEC regulations and meets the financial sophistication requirements of Nasdaq listing rules. In making this determination, our board of directors considered Ms. Gonzalez’s formal education and previous experience in financial roles. Both our independent registered public accounting firm and management periodically will meet privately with our audit committee.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approve the hiring, discharging and compensation of our independent registered public accounting firm;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oversee the work of our independent registered public accounting firm;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approve engagements of the independent registered public accounting firm to render any audit or permissible non-audit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 the qualifications, independence and performance of the independent registered public accounting firm;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 our financial statements and review our critical accounting policies and estimates;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 and approve related party transactions and any exchanges of Units pursuant to the exchange agreement that are proposed to be settled in cash;</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registered public accounting firm the results of our annual audit, our quarterly financial statements and our publicly filed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compensation committee consists of Messrs. Aquila and Gordon. We named Mr. Aquila as our chair of the compensation committee. Our board of directors has determined that each of the members of the compensation committee is a non-employee director, as defined in Rule 16b-3 promulgated under the Exchange Act and satisfies the independence requirements of Nasdaq.</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functions of the committee include, among other things:</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and recommend policies relating to compensation and benefits of our officers and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compensation of our chief executive officer and other senior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 the performance of our officers in light of established goals and objectives;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recommend compensation of our officers based on its evaluations;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administer the issuance of stock options and other awards under our stock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nominating and corporate governance committee consists of Mses. Tan and Freeman. Ms. Freeman serves as the chair of the nominating and corporate governance committee. Our board of directors has determined that each of the members of our nominating and corporate governance committee satisfies the independence requirements of Nasdaq.</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evaluate and make recommendations regarding the organization and governance of our board of directors and its committees;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assess the performance of members of our board of directors and make recommendations regarding committee and chair assignments;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recommend desired qualifications for board of directors membership and conduct searches for potential members of our board of directors;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and make recommendations with regard to our corporate governance guidelines.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Our board of directors expects to review director compensation periodically to ensure that director compensation remains competitive such that we are able to recruit and retain qualified directors. We developed a board of directors’ compensation program that is designed to align compensation with our business objectives and the creation of stockholder value, while enabling us to attract, retain, incentivize and reward directors who contribute to our long-term success.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board of directors adopted a Code of Business Conduct and Ethics (the “Code of Conduct”), applicable to all of our employees, executive officers and directors. The Code of Conduct is available on our website at ir.weedmaps.com. Information contained on or accessible through our website is not a part of this prospectus, and the inclusion of our website address in this prospectus is an inactive textual reference only.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None of the intended members of our compensation committee has ever been our executive officer or employee. None of our executive officers currently serve, or has served during the last completed fiscal year, on the compensation committee or board of directors of any other entity that has one or more executive officers that will serve as a member of our board of directors or compensation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charter eliminated our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spacing w:after="0" w:line="146"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our stockholders.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charter requires us to indemnify and advance expenses to, to the fullest extent permitted by applicable law, our directors, officers and agents. We maintain a directors’ and officers’ insurance policy pursuant to which our directors and officers are insured against liability for actions taken in their capacities as directors and officers. Finally, our charter prohibits any retroactive changes to the rights or protections or increase the liability of any director in effect at the time of the alleged occurrence of any act or omission to act giving rise to liability or indemnification.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these provisions in our charter are necessary to attract and retain qualified persons as our directors and officers.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named executive officers, including our principal executive officer and the next two most highly compensated executive officers, as of December 31, 2020, were:</w:t>
      </w:r>
    </w:p>
    <w:p>
      <w:pPr>
        <w:spacing w:after="0" w:line="17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Christopher Beals, Chief Executive Officer and manager;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Justin Dean, Chief Technology Officer and Chief Information Officer;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Steven Jung, President and Chief Operating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information regarding the compensation earned by or paid to our named executive officers with respect to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Non-Equity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Incentive Plan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2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Salary</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Bonus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Compensation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Compensation</w:t>
            </w: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51"/>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center"/>
              <w:ind w:right="251"/>
              <w:spacing w:after="0" w:line="243" w:lineRule="exact"/>
              <w:rPr>
                <w:sz w:val="20"/>
                <w:szCs w:val="20"/>
                <w:color w:val="auto"/>
              </w:rPr>
            </w:pPr>
            <w:r>
              <w:rPr>
                <w:rFonts w:ascii="Arial" w:cs="Arial" w:eastAsia="Arial" w:hAnsi="Arial"/>
                <w:sz w:val="17"/>
                <w:szCs w:val="17"/>
                <w:b w:val="1"/>
                <w:bCs w:val="1"/>
                <w:color w:val="auto"/>
              </w:rPr>
              <w:t>($)</w:t>
            </w:r>
            <w:r>
              <w:rPr>
                <w:rFonts w:ascii="Arial" w:cs="Arial" w:eastAsia="Arial" w:hAnsi="Arial"/>
                <w:sz w:val="28"/>
                <w:szCs w:val="28"/>
                <w:b w:val="1"/>
                <w:bCs w:val="1"/>
                <w:color w:val="auto"/>
                <w:vertAlign w:val="superscript"/>
              </w:rPr>
              <w:t>(1)</w:t>
            </w:r>
          </w:p>
        </w:tc>
        <w:tc>
          <w:tcPr>
            <w:tcW w:w="240" w:type="dxa"/>
            <w:vAlign w:val="bottom"/>
          </w:tcPr>
          <w:p>
            <w:pPr>
              <w:spacing w:after="0"/>
              <w:rPr>
                <w:sz w:val="21"/>
                <w:szCs w:val="21"/>
                <w:color w:val="auto"/>
              </w:rPr>
            </w:pPr>
          </w:p>
        </w:tc>
        <w:tc>
          <w:tcPr>
            <w:tcW w:w="114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7"/>
                <w:szCs w:val="17"/>
                <w:b w:val="1"/>
                <w:bCs w:val="1"/>
                <w:color w:val="auto"/>
                <w:w w:val="87"/>
              </w:rPr>
              <w:t>($)</w:t>
            </w:r>
            <w:r>
              <w:rPr>
                <w:rFonts w:ascii="Arial" w:cs="Arial" w:eastAsia="Arial" w:hAnsi="Arial"/>
                <w:sz w:val="28"/>
                <w:szCs w:val="28"/>
                <w:b w:val="1"/>
                <w:bCs w:val="1"/>
                <w:color w:val="auto"/>
                <w:w w:val="87"/>
                <w:vertAlign w:val="superscript"/>
              </w:rPr>
              <w:t>(2)</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7"/>
                <w:szCs w:val="17"/>
                <w:b w:val="1"/>
                <w:bCs w:val="1"/>
                <w:color w:val="auto"/>
                <w:w w:val="87"/>
              </w:rPr>
              <w:t>($)</w:t>
            </w:r>
            <w:r>
              <w:rPr>
                <w:rFonts w:ascii="Arial" w:cs="Arial" w:eastAsia="Arial" w:hAnsi="Arial"/>
                <w:sz w:val="28"/>
                <w:szCs w:val="28"/>
                <w:b w:val="1"/>
                <w:bCs w:val="1"/>
                <w:color w:val="auto"/>
                <w:w w:val="87"/>
                <w:vertAlign w:val="superscript"/>
              </w:rPr>
              <w:t>(3)</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r>
      <w:tr>
        <w:trPr>
          <w:trHeight w:val="202"/>
        </w:trPr>
        <w:tc>
          <w:tcPr>
            <w:tcW w:w="3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Christopher Beals</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600,000</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600,000</w:t>
            </w:r>
          </w:p>
        </w:tc>
      </w:tr>
      <w:tr>
        <w:trPr>
          <w:trHeight w:val="202"/>
        </w:trPr>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rPr>
              <w:t>Justin Dean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i w:val="1"/>
                <w:iCs w:val="1"/>
                <w:color w:val="auto"/>
              </w:rPr>
              <w:t>Chief Technology Officer and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i w:val="1"/>
                <w:iCs w:val="1"/>
                <w:color w:val="auto"/>
              </w:rPr>
              <w:t>Chief Information Officer</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475,000</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190,000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718,119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24,940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1,408,059</w:t>
            </w:r>
          </w:p>
        </w:tc>
      </w:tr>
      <w:tr>
        <w:trPr>
          <w:trHeight w:val="202"/>
        </w:trPr>
        <w:tc>
          <w:tcPr>
            <w:tcW w:w="3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Steven Jung</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President and Chief Operating Officer</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550,962</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697,200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1,248,162</w:t>
            </w:r>
          </w:p>
        </w:tc>
      </w:tr>
      <w:tr>
        <w:trPr>
          <w:trHeight w:val="223"/>
        </w:trPr>
        <w:tc>
          <w:tcPr>
            <w:tcW w:w="28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2"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amounts represent performance-based, discretionary bonuses.</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reflect the grant date fair value of equity awards granted in 2020, in accordance with ASC 718. For information regarding assumptions underlying the value of equity awards, see Note 8 to our financial statements included elsewhere in this prospectus.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amounts represent (a) group term life insurance premiums in excess of the broad-based benefit level and (b) with respect to Mr. Dean, $24,604 for a housing allowance.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2020, the compensation programs for our named executive officers consisted of base salary and incentive compensation delivered in the form of Plan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Base salary is set at a level that is intended to reflect the executive’s duties, authorities, contributions, prior experience and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Bonus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have a formal arrangement with our named executive officers providing for annual cash bonus awards. However, we have at times provided cash bonuses to certain members of our executive team on an ad hoc basis as deemed appropriate, in the form of spot bonuses or for achievement of certain milestones.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equity award program is the primary vehicle for offering long-term incentives to our executives. We believe that equity awards provide our executives with a strong link to long-term performance, create an ownership culture and help to align the interests of our executives and members. To date, we have used profits interests for this purpose. We believe that our equity awards are an important retention tool for our executive officers, as well as for our other employees. We award equity awards broadly to our employees, including to our non-executive employees.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Prior to the Business Combination, all of the equity awards Legacy WMH has granted were made pursuant to the 2018 Plan. The terms of our equity plans are described under the section titled “-Employee Benefit Plans”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provide benefits to our named executive officers on the same basis as provided to all of our employees, including health, dental and vision insurance; life insurance; accidental death and dismemberment insurance; disability insurance; and a tax-qualified Section 401(k) plan. We do not maintain any executive-specific benefit or executive perquisite programs.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maintain a tax-qualified retirement plan that provides our employees, including our named executive officers, who satisfy certain eligibility requirements with an opportunity to save for retirement on a tax advantaged basis. Eligible employees are able to participate in the 401(k) plan as of the first day of the month following the date they complete three months of employment and participants are able to defer, either on a pre-tax basis or on an after-tax (Roth) basis through contributions to the 401(k) plan, up to 90% of their eligible compensation, but within the limits prescribed by the Code. All participants’ interests in their deferrals are 100% vested when contributed. Under the 401(k) plan, we make matching contributions of 100% of each participant’s elective deferrals of the first 1% of such participant’s eligible compensation plus 50% of each participant’s elective deferrals of the next 2% to 6% of such participant’s eligible compensation, up to a maximum matching contribution of 3.5% of eligible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Christopher Beals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Mr. Beals previously entered into an offer letter with Ghost Management Group, LLC, dated July 31, 2015. Mr. Beals’s current annual base salary is $600,000. If Mr. Beals’s employment is terminated by us other than for cause, Mr. Beals will be eligible to receive continued payment of his base salary for a period of three months, a prorated bonus for any partial year of employment for the year in which employment termination occurs, and company-paid premiums for COBRA continuation coverage for up to six months. Mr. Beals also is eligible to participate in the employee benefit plans generally available to our employees and maintained by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Justin Dean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Mr. Dean previously entered into an offer letter with Ghost Management Group, LLC, dated October 3, 2018. Pursuant to a subsequent change of employment status form, Mr. Dean’s current annual base salary is $475,000. Mr. Dean also is eligible to participate in the employee benefit plans generally available to our employees and maintained by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Steven Jung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Mr. Jung previously entered into an offer letter with Ghost Management Group, LLC, dated May 17, 2017. Pursuant to a subsequent change of employment status form, Mr. Jung’s current annual base salary is $600,000. Mr. Jung also is eligible to participate in the employee benefit plans generally available to our employees and maintained by us.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Closing, Mr. Jung entered into a Strategic Advisor Agreement (the “Strategic Advisor Agreement”) with Ghost Management Group, LLC. Pursuant to the Strategic Advisor Agreement, Mr. Jung’s last day of active employment in his previous role as President and Chief Operating Officer of the Company and Ghost Management, LLC was on June 30, 2021, and he transitioned to a paid employee advisory role from July 1, 2021 through July 6, 2022 (the “Advisory Services Period”). The Strategic Advisor Agreement provides for Mr. Jung to be paid his regular salary during the Advisory Services Period and the continued vesting of the Class P units representing limited liability company interests of WMH LLC (the “Class P Units”) held by Mr. Jung during the Advisory Services Period, each subject to a maximum aggregate amount, and a general release of claims in favor of Ghost Management Group,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estimated information regarding outstanding equity awards held by our named executive officers as of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rPr>
              <w:t>Equity Awards</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1"/>
              </w:rPr>
              <w:t>Number of</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Market Value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Vesting</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Units that</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of Shares that</w:t>
            </w:r>
          </w:p>
        </w:tc>
        <w:tc>
          <w:tcPr>
            <w:tcW w:w="0" w:type="dxa"/>
            <w:vAlign w:val="bottom"/>
          </w:tcPr>
          <w:p>
            <w:pPr>
              <w:spacing w:after="0"/>
              <w:rPr>
                <w:sz w:val="1"/>
                <w:szCs w:val="1"/>
                <w:color w:val="auto"/>
              </w:rPr>
            </w:pPr>
          </w:p>
        </w:tc>
      </w:tr>
      <w:tr>
        <w:trPr>
          <w:trHeight w:val="216"/>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Commencement</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Have Not</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Units that Have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Have Not</w:t>
            </w:r>
          </w:p>
        </w:tc>
        <w:tc>
          <w:tcPr>
            <w:tcW w:w="0" w:type="dxa"/>
            <w:vAlign w:val="bottom"/>
          </w:tcPr>
          <w:p>
            <w:pPr>
              <w:spacing w:after="0"/>
              <w:rPr>
                <w:sz w:val="1"/>
                <w:szCs w:val="1"/>
                <w:color w:val="auto"/>
              </w:rPr>
            </w:pPr>
          </w:p>
        </w:tc>
      </w:tr>
      <w:tr>
        <w:trPr>
          <w:trHeight w:val="241"/>
        </w:trPr>
        <w:tc>
          <w:tcPr>
            <w:tcW w:w="5200" w:type="dxa"/>
            <w:vAlign w:val="bottom"/>
            <w:vMerge w:val="continue"/>
          </w:tcPr>
          <w:p>
            <w:pPr>
              <w:spacing w:after="0"/>
              <w:rPr>
                <w:sz w:val="20"/>
                <w:szCs w:val="20"/>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Vested</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Vested</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4"/>
              </w:rPr>
              <w:t>Vested</w:t>
            </w: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8/17/2015</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line="216" w:lineRule="exact"/>
              <w:rPr>
                <w:sz w:val="20"/>
                <w:szCs w:val="20"/>
                <w:color w:val="auto"/>
              </w:rPr>
            </w:pPr>
            <w:r>
              <w:rPr>
                <w:rFonts w:ascii="Arial" w:cs="Arial" w:eastAsia="Arial" w:hAnsi="Arial"/>
                <w:sz w:val="16"/>
                <w:szCs w:val="16"/>
                <w:color w:val="auto"/>
                <w:w w:val="95"/>
              </w:rPr>
              <w:t>53,333</w:t>
            </w:r>
            <w:r>
              <w:rPr>
                <w:rFonts w:ascii="Arial" w:cs="Arial" w:eastAsia="Arial" w:hAnsi="Arial"/>
                <w:sz w:val="25"/>
                <w:szCs w:val="25"/>
                <w:color w:val="auto"/>
                <w:w w:val="95"/>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Justin Dean</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11/05/2018</w:t>
            </w:r>
          </w:p>
        </w:tc>
        <w:tc>
          <w:tcPr>
            <w:tcW w:w="120" w:type="dxa"/>
            <w:vAlign w:val="bottom"/>
          </w:tcPr>
          <w:p>
            <w:pPr>
              <w:spacing w:after="0"/>
              <w:rPr>
                <w:sz w:val="18"/>
                <w:szCs w:val="18"/>
                <w:color w:val="auto"/>
              </w:rPr>
            </w:pPr>
          </w:p>
        </w:tc>
        <w:tc>
          <w:tcPr>
            <w:tcW w:w="1420" w:type="dxa"/>
            <w:vAlign w:val="bottom"/>
          </w:tcPr>
          <w:p>
            <w:pPr>
              <w:jc w:val="center"/>
              <w:spacing w:after="0" w:line="216" w:lineRule="exact"/>
              <w:rPr>
                <w:sz w:val="20"/>
                <w:szCs w:val="20"/>
                <w:color w:val="auto"/>
              </w:rPr>
            </w:pPr>
            <w:r>
              <w:rPr>
                <w:rFonts w:ascii="Arial" w:cs="Arial" w:eastAsia="Arial" w:hAnsi="Arial"/>
                <w:sz w:val="25"/>
                <w:szCs w:val="25"/>
                <w:color w:val="auto"/>
                <w:vertAlign w:val="subscript"/>
              </w:rPr>
              <w:t>1,500</w:t>
            </w:r>
            <w:r>
              <w:rPr>
                <w:rFonts w:ascii="Arial" w:cs="Arial" w:eastAsia="Arial" w:hAnsi="Arial"/>
                <w:sz w:val="12"/>
                <w:szCs w:val="12"/>
                <w:color w:val="auto"/>
              </w:rPr>
              <w:t>(2)(3)</w:t>
            </w:r>
          </w:p>
        </w:tc>
        <w:tc>
          <w:tcPr>
            <w:tcW w:w="100" w:type="dxa"/>
            <w:vAlign w:val="bottom"/>
          </w:tcPr>
          <w:p>
            <w:pPr>
              <w:spacing w:after="0"/>
              <w:rPr>
                <w:sz w:val="18"/>
                <w:szCs w:val="18"/>
                <w:color w:val="auto"/>
              </w:rPr>
            </w:pPr>
          </w:p>
        </w:tc>
        <w:tc>
          <w:tcPr>
            <w:tcW w:w="1500" w:type="dxa"/>
            <w:vAlign w:val="bottom"/>
          </w:tcPr>
          <w:p>
            <w:pPr>
              <w:jc w:val="center"/>
              <w:spacing w:after="0" w:line="216" w:lineRule="exact"/>
              <w:rPr>
                <w:sz w:val="20"/>
                <w:szCs w:val="20"/>
                <w:color w:val="auto"/>
              </w:rPr>
            </w:pPr>
            <w:r>
              <w:rPr>
                <w:rFonts w:ascii="Arial" w:cs="Arial" w:eastAsia="Arial" w:hAnsi="Arial"/>
                <w:sz w:val="16"/>
                <w:szCs w:val="16"/>
                <w:color w:val="auto"/>
                <w:w w:val="95"/>
              </w:rPr>
              <w:t>1,500</w:t>
            </w:r>
            <w:r>
              <w:rPr>
                <w:rFonts w:ascii="Arial" w:cs="Arial" w:eastAsia="Arial" w:hAnsi="Arial"/>
                <w:sz w:val="25"/>
                <w:szCs w:val="25"/>
                <w:color w:val="auto"/>
                <w:w w:val="95"/>
                <w:vertAlign w:val="superscript"/>
              </w:rPr>
              <w:t>(2)</w:t>
            </w:r>
          </w:p>
        </w:tc>
        <w:tc>
          <w:tcPr>
            <w:tcW w:w="100" w:type="dxa"/>
            <w:vAlign w:val="bottom"/>
          </w:tcPr>
          <w:p>
            <w:pPr>
              <w:spacing w:after="0"/>
              <w:rPr>
                <w:sz w:val="18"/>
                <w:szCs w:val="18"/>
                <w:color w:val="auto"/>
              </w:rPr>
            </w:pPr>
          </w:p>
        </w:tc>
        <w:tc>
          <w:tcPr>
            <w:tcW w:w="1180" w:type="dxa"/>
            <w:vAlign w:val="bottom"/>
          </w:tcPr>
          <w:p>
            <w:pPr>
              <w:jc w:val="center"/>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12/08/2020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line="216" w:lineRule="exact"/>
              <w:rPr>
                <w:sz w:val="20"/>
                <w:szCs w:val="20"/>
                <w:color w:val="auto"/>
              </w:rPr>
            </w:pPr>
            <w:r>
              <w:rPr>
                <w:rFonts w:ascii="Arial" w:cs="Arial" w:eastAsia="Arial" w:hAnsi="Arial"/>
                <w:sz w:val="25"/>
                <w:szCs w:val="25"/>
                <w:color w:val="auto"/>
                <w:vertAlign w:val="subscript"/>
              </w:rPr>
              <w:t>2,000</w:t>
            </w:r>
            <w:r>
              <w:rPr>
                <w:rFonts w:ascii="Arial" w:cs="Arial" w:eastAsia="Arial" w:hAnsi="Arial"/>
                <w:sz w:val="12"/>
                <w:szCs w:val="12"/>
                <w:color w:val="auto"/>
              </w:rPr>
              <w:t>(2)(5)</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Steven Jung</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06/19/2017</w:t>
            </w:r>
          </w:p>
        </w:tc>
        <w:tc>
          <w:tcPr>
            <w:tcW w:w="120" w:type="dxa"/>
            <w:vAlign w:val="bottom"/>
          </w:tcPr>
          <w:p>
            <w:pPr>
              <w:spacing w:after="0"/>
              <w:rPr>
                <w:sz w:val="18"/>
                <w:szCs w:val="18"/>
                <w:color w:val="auto"/>
              </w:rPr>
            </w:pPr>
          </w:p>
        </w:tc>
        <w:tc>
          <w:tcPr>
            <w:tcW w:w="1420" w:type="dxa"/>
            <w:vAlign w:val="bottom"/>
          </w:tcPr>
          <w:p>
            <w:pPr>
              <w:jc w:val="center"/>
              <w:spacing w:after="0" w:line="216" w:lineRule="exact"/>
              <w:rPr>
                <w:sz w:val="20"/>
                <w:szCs w:val="20"/>
                <w:color w:val="auto"/>
              </w:rPr>
            </w:pPr>
            <w:r>
              <w:rPr>
                <w:rFonts w:ascii="Arial" w:cs="Arial" w:eastAsia="Arial" w:hAnsi="Arial"/>
                <w:sz w:val="25"/>
                <w:szCs w:val="25"/>
                <w:color w:val="auto"/>
                <w:vertAlign w:val="subscript"/>
              </w:rPr>
              <w:t>544</w:t>
            </w:r>
            <w:r>
              <w:rPr>
                <w:rFonts w:ascii="Arial" w:cs="Arial" w:eastAsia="Arial" w:hAnsi="Arial"/>
                <w:sz w:val="12"/>
                <w:szCs w:val="12"/>
                <w:color w:val="auto"/>
              </w:rPr>
              <w:t>(2)(3)</w:t>
            </w:r>
          </w:p>
        </w:tc>
        <w:tc>
          <w:tcPr>
            <w:tcW w:w="100" w:type="dxa"/>
            <w:vAlign w:val="bottom"/>
          </w:tcPr>
          <w:p>
            <w:pPr>
              <w:spacing w:after="0"/>
              <w:rPr>
                <w:sz w:val="18"/>
                <w:szCs w:val="18"/>
                <w:color w:val="auto"/>
              </w:rPr>
            </w:pPr>
          </w:p>
        </w:tc>
        <w:tc>
          <w:tcPr>
            <w:tcW w:w="1500" w:type="dxa"/>
            <w:vAlign w:val="bottom"/>
          </w:tcPr>
          <w:p>
            <w:pPr>
              <w:jc w:val="center"/>
              <w:spacing w:after="0" w:line="216" w:lineRule="exact"/>
              <w:rPr>
                <w:sz w:val="20"/>
                <w:szCs w:val="20"/>
                <w:color w:val="auto"/>
              </w:rPr>
            </w:pPr>
            <w:r>
              <w:rPr>
                <w:rFonts w:ascii="Arial" w:cs="Arial" w:eastAsia="Arial" w:hAnsi="Arial"/>
                <w:sz w:val="16"/>
                <w:szCs w:val="16"/>
                <w:color w:val="auto"/>
                <w:w w:val="95"/>
              </w:rPr>
              <w:t>3,810</w:t>
            </w:r>
            <w:r>
              <w:rPr>
                <w:rFonts w:ascii="Arial" w:cs="Arial" w:eastAsia="Arial" w:hAnsi="Arial"/>
                <w:sz w:val="25"/>
                <w:szCs w:val="25"/>
                <w:color w:val="auto"/>
                <w:w w:val="95"/>
                <w:vertAlign w:val="superscript"/>
              </w:rPr>
              <w:t>(2)</w:t>
            </w:r>
          </w:p>
        </w:tc>
        <w:tc>
          <w:tcPr>
            <w:tcW w:w="100" w:type="dxa"/>
            <w:vAlign w:val="bottom"/>
          </w:tcPr>
          <w:p>
            <w:pPr>
              <w:spacing w:after="0"/>
              <w:rPr>
                <w:sz w:val="18"/>
                <w:szCs w:val="18"/>
                <w:color w:val="auto"/>
              </w:rPr>
            </w:pPr>
          </w:p>
        </w:tc>
        <w:tc>
          <w:tcPr>
            <w:tcW w:w="1180" w:type="dxa"/>
            <w:vAlign w:val="bottom"/>
          </w:tcPr>
          <w:p>
            <w:pPr>
              <w:jc w:val="center"/>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05/01/2018</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line="216" w:lineRule="exact"/>
              <w:rPr>
                <w:sz w:val="20"/>
                <w:szCs w:val="20"/>
                <w:color w:val="auto"/>
              </w:rPr>
            </w:pPr>
            <w:r>
              <w:rPr>
                <w:rFonts w:ascii="Arial" w:cs="Arial" w:eastAsia="Arial" w:hAnsi="Arial"/>
                <w:sz w:val="25"/>
                <w:szCs w:val="25"/>
                <w:color w:val="auto"/>
                <w:vertAlign w:val="subscript"/>
              </w:rPr>
              <w:t>1,500</w:t>
            </w:r>
            <w:r>
              <w:rPr>
                <w:rFonts w:ascii="Arial" w:cs="Arial" w:eastAsia="Arial" w:hAnsi="Arial"/>
                <w:sz w:val="12"/>
                <w:szCs w:val="12"/>
                <w:color w:val="auto"/>
              </w:rPr>
              <w:t>(2)(3)</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5"/>
              </w:rPr>
              <w:t>2,500</w:t>
            </w:r>
            <w:r>
              <w:rPr>
                <w:rFonts w:ascii="Arial" w:cs="Arial" w:eastAsia="Arial" w:hAnsi="Arial"/>
                <w:sz w:val="25"/>
                <w:szCs w:val="25"/>
                <w:color w:val="auto"/>
                <w:w w:val="95"/>
                <w:vertAlign w:val="superscript"/>
              </w:rPr>
              <w:t>(2)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471"/>
        </w:trPr>
        <w:tc>
          <w:tcPr>
            <w:tcW w:w="52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04/06/2020</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35"/>
                <w:szCs w:val="35"/>
                <w:color w:val="auto"/>
                <w:w w:val="77"/>
                <w:vertAlign w:val="subscript"/>
              </w:rPr>
              <w:t>3,500</w:t>
            </w:r>
            <w:r>
              <w:rPr>
                <w:rFonts w:ascii="Arial" w:cs="Arial" w:eastAsia="Arial" w:hAnsi="Arial"/>
                <w:sz w:val="15"/>
                <w:szCs w:val="15"/>
                <w:color w:val="auto"/>
                <w:w w:val="77"/>
              </w:rPr>
              <w:t>(2)(6)</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500</w:t>
            </w:r>
            <w:r>
              <w:rPr>
                <w:rFonts w:ascii="Arial" w:cs="Arial" w:eastAsia="Arial" w:hAnsi="Arial"/>
                <w:sz w:val="29"/>
                <w:szCs w:val="29"/>
                <w:color w:val="auto"/>
                <w:w w:val="85"/>
                <w:vertAlign w:val="superscript"/>
              </w:rPr>
              <w:t>(2)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35"/>
                <w:szCs w:val="35"/>
                <w:color w:val="auto"/>
                <w:w w:val="86"/>
                <w:vertAlign w:val="subscript"/>
              </w:rPr>
              <w:t>—</w:t>
            </w:r>
            <w:r>
              <w:rPr>
                <w:rFonts w:ascii="Arial" w:cs="Arial" w:eastAsia="Arial" w:hAnsi="Arial"/>
                <w:sz w:val="15"/>
                <w:szCs w:val="15"/>
                <w:color w:val="auto"/>
                <w:w w:val="86"/>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178308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70"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Class A-3 units.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Class B units.</w:t>
      </w:r>
    </w:p>
    <w:p>
      <w:pPr>
        <w:spacing w:after="0" w:line="225" w:lineRule="exact"/>
        <w:rPr>
          <w:rFonts w:ascii="Arial" w:cs="Arial" w:eastAsia="Arial" w:hAnsi="Arial"/>
          <w:sz w:val="18"/>
          <w:szCs w:val="18"/>
          <w:color w:val="auto"/>
        </w:rPr>
      </w:pPr>
    </w:p>
    <w:p>
      <w:pPr>
        <w:jc w:val="both"/>
        <w:ind w:left="340" w:hanging="332"/>
        <w:spacing w:after="0" w:line="301"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Twenty-five percent of the units subject to this equity award will vest on the one-year anniversary of the vesting commencement date, and thereafter the remaining seventy-five percent of the units will vest equally on a quarterly pro-rata basis over the next three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157"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Class A-3 units and Class B units represent profits interests in Legacy WMH. No value is realized as a result of vesting of these units and consistent with FASB ASC Topic 718, the grant date fair value of Class A-3 and Class B units is $0.</w:t>
      </w:r>
    </w:p>
    <w:p>
      <w:pPr>
        <w:spacing w:after="0" w:line="170"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12.5% of the units subject to this equity award will vest on the six-month anniversary of the vesting commencement date, and thereafter the remaining 87.5% of the units will vest equally on a quarterly pro-rata basis over the next four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171"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units subject to this equity award will vest equally on a quarterly pro-rata basis over four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WM Technology, Inc. 2021 Equity Incentive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June 2021, our board of directors adopted and our stockholders approved the WM Technology, Inc. 2021 Equity Incentive Plan (the “2021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2021 Plan became effective immediately upon the Closing.</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Our employees, consultants and directors, and employees and consultants of our affiliates, may be eligible to receive awards under 2021</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Award Types</w:t>
      </w:r>
      <w:r>
        <w:rPr>
          <w:rFonts w:ascii="Arial" w:cs="Arial" w:eastAsia="Arial" w:hAnsi="Arial"/>
          <w:sz w:val="18"/>
          <w:szCs w:val="18"/>
          <w:color w:val="auto"/>
        </w:rPr>
        <w:t>. The equity incentive plan provides for the grant of incentive stock options (“ISOs”) to employees and for the grant of nonstatutory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(“NSOs”), stock appreciation rights, restricted stock awards, restricted stock unit awards, performance awards and other forms of stock awards to employees, directors and consultants.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The number of shares of common stock initially reserved for issuance under the equity incentive plan is 19,209,986 shares. The number</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shares of common stock reserved for issuance under the equity incentive plan will automatically increase on January 1 of each year, for a period of ten years, from January 1, 2022 continuing through January 1, 2031, by 5% of the total number of shares of our capital stock outstanding on December 31 of the preceding calendar year, or a lesser number of shares as may be determined by our board of directors. The maximum number of shares that may be issued pursuant to the exercise of ISOs under the equity incentive plan is 57,629,388 shares. Shares issued under the equity incentive plan may be authorized but unissued or reacquired shares. Shares subject to stock awards granted under the equity incentive plan that expire or terminate without being exercised in full, or that are paid out in cash rather than in shares, will not reduce the number of shares available for issuance under the equity incentive plan. Additionally, shares issued pursuant to stock awards under the equity incentive plan that are repurchased or forfeited, as well as shares that are reacquired as consideration for the exercise or purchase price of a stock award or to satisfy tax withholding obligations related to a stock award, will become available for future grant under the equity incentive plan.</w:t>
      </w:r>
    </w:p>
    <w:p>
      <w:pPr>
        <w:spacing w:after="0" w:line="18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or a duly authorized committee thereof, has the authority to administer the equity incentive plan.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may also delegate to one or more officers the authority to (i) designate employees other than officers to receive specified stock awards and (ii) determine the number of shares to be subject to such stock awards. Subject to the terms of the equity incentive plan, the plan administrator has the authority to determine the terms of awards, including recipients, the exercise price or strike price of stock awards, if any, the number of shares subject to each stock award, the fair market value of a share, the vesting schedule applicable to the awards, together with any vesting acceleration, the form of consideration, if any, payable upon exercise or settlement of the stock award and the terms and conditions of the award agreements for use under the equity incentive plan. The plan administrator has the power to modify outstanding awards under the equity incentive plan. Subject to the terms of the equity incentive plan, the plan administrator also has the authority to reprice any outstanding option or stock award, cancel and re-grant any outstanding option or stock award in exchange for new stock awards, cash or other consideration, or take any other action that is treated as a repricing under generally accepted accounting principles, with the consent of any materially adversely affected participant.</w:t>
      </w:r>
    </w:p>
    <w:p>
      <w:pPr>
        <w:spacing w:after="0" w:line="16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ISOs and NSOs are granted under stock option agreements adopted by the plan administrator. The plan administrator determines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for stock options, within the terms and conditions of the equity incentive plan, provided that the exercise price of a stock option generally cannot be less than 100% of the fair market value of a share of common stock on the date of grant (however, a stock option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and, if applicable, 424(a) of the Code). Options granted under the equity incentive plan vest at the rate specified in the stock option agreement as determined by the plan administrator. The plan administrator determines the term of stock options granted under the equity incentive plan, up to a maximum of ten years. Unless the terms of an optionholder’s stock option agreement provide otherwise, if an optionholder’s service relationship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or our insider trading policy. If an optionholder’s service relationship ceases due to disability or death, or an optionholder dies within a certain period following cessation of service, the optionholder or a beneficiary may generally exercise any vested options for a period of 12 months in the event of disability and 18 months in the event of death. Options generally terminate immediately upon the termination of an optionholder’s service for cause. In no event may an option be exercised beyond the expiration of its term. Acceptable consideration for the purchase of common stock issued upon exercise of a stock option will be determined by the plan administrator and may include (i) cash, check, bank draft, or money order, (ii) a broker-assisted cashless exercise, (iii) the tender of shares of common stock previously owned by the optionholder, (iv) a net exercise of the option if it is an NSO and (v) other legal consideration approved by the plan administrator.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common stock with respect to ISOs that are exercisable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first time by an optionholder during any calendar year under all stock plans maintained by us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option is not exercisable after the expiration of five years from the date of grant.</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Restricted stock awards are granted under restricted stock award agreements adopted by the plan administrator. A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award may be awarded in consideration for cash, check, bank draft or money order, past services, or any other form of legal consideration that may be acceptable to the plan administrator and permissible under applicable law. The plan administrator determines the terms and conditions of restricted stock awards, including vesting and forfeiture terms. Except as provided otherwise in the applicable award agreement, if a participant’s service relationship ends for any reason, we may receive through a forfeiture condition or a repurchase right any or all of the shares held by the participant under his or her restricted stock award that have not vested as of the date the participant terminates service.</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units are granted under restricted stock unit award agreements adopted by the plan administrator.</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units may be granted in consideration for any form of legal consideration that may be acceptable to the plan administrator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Stock appreciation rights are granted under stock appreciation grant agreements adopted by the plan administrator.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determines the purchase price or strike price for a stock appreciation right, which generally cannot be less than 100% of the fair market value of common stock on the date of grant (however, a stock appreciation right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 stock appreciation right granted under the equity incentive plan vests at the rate specified in the stock appreciation right agreement as determined by the plan administrator.</w:t>
      </w:r>
    </w:p>
    <w:p>
      <w:pPr>
        <w:spacing w:after="0" w:line="19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The equity incentive plan permits the grant of performance-based stock and cash awards. The plan administrator may 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so that the shares of common stock, cash, or other property will be issued or paid only following the achievement of certain pre-established performance goals during a designated performance period. The performance criteria that will be used to establish such performance goals may be based on any measure of performance selected by the plan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plan administrator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stockholders other than regular cash dividends; (9) to exclude the effects of stock based compensation and the award of bonuses under our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plan administrator retains the discretion to reduce or eliminate the compensation or economic benefit due upon attainment of the performance goals. Partial achievement of the specified criteria may result in the payment or vesting corresponding to the degree of achievement as specified in the applicable award agreement or the written terms of a performance cash award. The performance goals may differ from participant to participant and from award to award.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Units</w:t>
      </w:r>
      <w:r>
        <w:rPr>
          <w:rFonts w:ascii="Arial" w:cs="Arial" w:eastAsia="Arial" w:hAnsi="Arial"/>
          <w:sz w:val="16"/>
          <w:szCs w:val="16"/>
          <w:color w:val="auto"/>
        </w:rPr>
        <w:t>. The equity incentive plan permits the grant of awards in the form of any class of limited liability company interests in WMH LLC, the entity</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which we conduct our business and an entity that is treated as a partnership for U.S. federal income tax purposes. Awards of Units will be valued by reference to, or otherwise determined by reference to or based on, shares of common stock. Units awarded under the equity incentive plan may be convertible, exchangeable or redeemable for other limited liability company interests in WMH LLC or shares of common stock, or may be valued by reference to the book value, fair market value or performance of WMTI. Awards of Units may be intended to qualify as “profits interests” within the meaning of IRS Revenue Procedure 93-27, as clarified by IRS Revenue Procedure 2001-43, with respect to any participant who is rendering services to or for the benefit of WMH LLC, including its subsidiaries. Awards of Units may be granted either alone or in addition to other awards granted under the equity incentive plan. Our board of directors will determine (i) the eligible participants to whom, and the time or times at which, awards of Units will be made; (ii) the number of Units to be awarded; (iii) the price, if any, to be paid by the participant for the acquisition of such Units (which may be less than the fair market value of the post-merger WMH LLC unit; (iv) and the restrictions and conditions applicable to such award of Units, with related length of the service period for vesting, minimum or maximum performance thresholds, measurement procedures and length of the performance period to be established by our board of directors at the time of grant, in its sole discretion. Our board of directors may allow awards of Units to be held through a limited partnership, or similar “look-through” entity, and our board of directors may require such limited partnership or similar entity to impose restrictions on our partners or other beneficial owners that are not inconsistent with the terms of the equity incentive plan. The provisions of the grant of Units need not be the same with respect to each participant. The award agreement or other award documentation in respect of an award of Units may provide that the recipient of Units will be entitled to receive, currently or on a deferred or contingent basis, dividends or dividend equivalents with respect to the number of shares of common stock underlying the award or other distributions from WMH LLC prior to vesting (whether based on a period of time or based on attainment of specified performance conditions), as determined at the time of grant by our board of directors, in its sole discretion, and our board of directors may provide that such amounts (if any) will be deemed to have been reinvested in additional shares of common stock or Units.</w:t>
      </w:r>
    </w:p>
    <w:p>
      <w:pPr>
        <w:spacing w:after="0" w:line="16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Other Stock Awards</w:t>
      </w:r>
      <w:r>
        <w:rPr>
          <w:rFonts w:ascii="Arial" w:cs="Arial" w:eastAsia="Arial" w:hAnsi="Arial"/>
          <w:sz w:val="18"/>
          <w:szCs w:val="18"/>
          <w:color w:val="auto"/>
        </w:rPr>
        <w:t>. The plan administrator may grant other awards based in whole or in part by reference to common stock. The plan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will set the number of shares under the stock award and all other terms and conditions of such awards.</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Non-Employee Director Compensation Limit</w:t>
      </w:r>
      <w:r>
        <w:rPr>
          <w:rFonts w:ascii="Arial" w:cs="Arial" w:eastAsia="Arial" w:hAnsi="Arial"/>
          <w:sz w:val="17"/>
          <w:szCs w:val="17"/>
          <w:color w:val="auto"/>
        </w:rPr>
        <w:t>. The aggregate value of all compensation granted or paid by us to any individual for service as a non-employee director with respect to any calendar year beginning with 2022 (such period, the “annual period”), including stock awards and cash fees paid by us to such non-employee director, will not exceed (i) $750,000 in total value or (ii) in the event such non-employee director is first appointed or elected to our board of directors during such annual period, $1,000,000 in total value. For purposes of these limitations, the value of any such stock awards is calculated based on the grant date fair value of such stock awards for financial reporting purposes.</w:t>
      </w:r>
    </w:p>
    <w:p>
      <w:pPr>
        <w:spacing w:after="0" w:line="1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 merger, consolidation,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appropriate adjustments will be made to (i) the class(es) and maximum number of shares of common stock subject to the equity incentive plan and the maximum number of shares by which the share reserve may annually increase; (ii) the class(es) and maximum number of shares that may be issued pursuant to the exercise of ISOs; and (iii) the class(es) and number of securities and exercise price, strike price or purchase price of common stock subject to outstanding awards.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The following applies to stock awards under the equity incentive plan in the event of a corporate transaction, as defined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incentive plan, unless otherwise provided in a participant’s stock award agreement or other written agreement with us or unless otherwise expressly provided by the plan administrator at the time of grant. In the event of a corporate transaction, any stock awards outstanding under the equity incentive plan may be assumed, continued or substituted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for no consideration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plan administrator, the award will accelerate at 100% of target. If the surviving or acquiring corporation (or its parent company) does not assume, continue or substitute such stock awards, then with respect to any such stock awards that are held by persons other than current participants, such awards will terminate for no consideration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 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at the effective time, to the excess (if any) of (1) the value of the property the participant would have received upon exercise of the stock award over (2) any exercise price payable by such holder in connection with such exercise.</w:t>
      </w:r>
    </w:p>
    <w:p>
      <w:pPr>
        <w:spacing w:after="0" w:line="18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In the event of a change in control, as defined under the equity incentive plan, awards granted under the equity incentive plan will</w:t>
      </w:r>
      <w:r>
        <w:rPr>
          <w:rFonts w:ascii="Arial" w:cs="Arial" w:eastAsia="Arial" w:hAnsi="Arial"/>
          <w:sz w:val="17"/>
          <w:szCs w:val="17"/>
          <w:i w:val="1"/>
          <w:iCs w:val="1"/>
          <w:color w:val="auto"/>
        </w:rPr>
        <w:t xml:space="preserve"> </w:t>
      </w:r>
      <w:r>
        <w:rPr>
          <w:rFonts w:ascii="Arial" w:cs="Arial" w:eastAsia="Arial" w:hAnsi="Arial"/>
          <w:sz w:val="17"/>
          <w:szCs w:val="17"/>
          <w:color w:val="auto"/>
        </w:rPr>
        <w:t>not receive automatic acceleration of vesting and exercisability, although this treatment may be provided for in an award agreement.</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will have the authority to amend, suspend, or terminate the equity incentive plan,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such action does not materially impair the existing rights of any participant without such participant’s written consent. No ISOs may be granted after the tenth anniversary of the date the board of directors of Silver Spike adopted the equity incentive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Amended and Restated Equity Incentive Plan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Legacy WMH’s Third Amended and Restated Equity Incentive Plan (the “2018 Plan”), was adopted by the board of managers of Legacy WMH and approved by its members in August 2018. The 2018 Plan was subsequently amended by the Legacy WMH board of managers on December 10, 2020. The 2018 Plan permitted the grant of Legacy WMH’s Class B units and Class A-3 units (the “Plan Units”), to Legacy WMH and its subsidiaries’ and affiliates’ employees, consultants, advisors, and independent contractors. As a result of the adoption of the 2021 Plan, no additional awards will be granted under the 2018 Plan. However, the 2018 Plan generally will continue to govern the terms and conditions of the outstanding awards previously granted under the 2018 Plan, as adjusted for the Business Combination and the Amended Operating Agreement (including the cancelation of all Class B units and Class A-3 units outstanding prior to the effectiveness of the Amended Operating Agreement, with certain holders of Class B units receiving Class P Units of WMH LLC and holders of Class A-3 units receiving Class A units of WMH LLC).</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As of December 31, 2020, the maximum aggregate number of Plan Units authorized for issuance under the 2018 Plan was 274,822,</w:t>
      </w:r>
      <w:r>
        <w:rPr>
          <w:rFonts w:ascii="Arial" w:cs="Arial" w:eastAsia="Arial" w:hAnsi="Arial"/>
          <w:sz w:val="16"/>
          <w:szCs w:val="16"/>
          <w:i w:val="1"/>
          <w:iCs w:val="1"/>
          <w:color w:val="auto"/>
        </w:rPr>
        <w:t xml:space="preserve"> </w:t>
      </w:r>
      <w:r>
        <w:rPr>
          <w:rFonts w:ascii="Arial" w:cs="Arial" w:eastAsia="Arial" w:hAnsi="Arial"/>
          <w:sz w:val="16"/>
          <w:szCs w:val="16"/>
          <w:color w:val="auto"/>
        </w:rPr>
        <w:t>six of which Plan Units were available for grant as of the same date. Plan Units granted under the 2018 Plan that, under certain circumstances, are cancelled, repurchased, or redeemed by Legacy WMH were available for future grant under the 2018 Plan while the 2018 Plan remained in effect. As of September 30, 2021, 25,679,122 Plan Units (consisting of Class P Units) were outstanding under the 2018 Plan, which reflects the adjustments to Plan Units made in connection with the completion of the Business Combination and the effectiveness of the Amended Operating Agreement.</w:t>
      </w:r>
    </w:p>
    <w:p>
      <w:pPr>
        <w:spacing w:after="0" w:line="1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Prior to the Business Combination, the 2018 Plan was administered by Legacy WMH’s board of managers or one or more of</w:t>
      </w:r>
      <w:r>
        <w:rPr>
          <w:rFonts w:ascii="Arial" w:cs="Arial" w:eastAsia="Arial" w:hAnsi="Arial"/>
          <w:sz w:val="18"/>
          <w:szCs w:val="18"/>
          <w:i w:val="1"/>
          <w:iCs w:val="1"/>
          <w:color w:val="auto"/>
        </w:rPr>
        <w:t xml:space="preserve"> </w:t>
      </w:r>
      <w:r>
        <w:rPr>
          <w:rFonts w:ascii="Arial" w:cs="Arial" w:eastAsia="Arial" w:hAnsi="Arial"/>
          <w:sz w:val="18"/>
          <w:szCs w:val="18"/>
          <w:color w:val="auto"/>
        </w:rPr>
        <w:t>Legacy WMH’s or its subsidiaries’ officers appointed by Legacy WMH’s board of managers. After the Business Combination, in our capacity as managing member of WMH LLC, we will administer the 2018 Plan as to any awards that remain outstanding thereunder. The administrator is authorized, in a nondiscriminatory manner, to interpret the 2018 Plan and the award agreements entered into under the 2018 Plan, prescribe rules relating to the 2018 Plan, and make all other determinations necessary or advisable for administering the 2018 Plan.</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Plan Units</w:t>
      </w:r>
      <w:r>
        <w:rPr>
          <w:rFonts w:ascii="Arial" w:cs="Arial" w:eastAsia="Arial" w:hAnsi="Arial"/>
          <w:sz w:val="16"/>
          <w:szCs w:val="16"/>
          <w:color w:val="auto"/>
        </w:rPr>
        <w:t>. Plan Units granted under the 2018 Plan may be subject to various restrictions, including restrictions on transferability and forfeiture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as determined by the administrator and consistent with the 2018 Plan terms. Subject to the terms of the 2018 Plan, the administrator determined the number of Plan Units granted and other terms and conditions of such awards. The administrator imposed whatever conditions to vesting it determined to be appropriate. Plan Units that have not vested are subject to WMH LLC’s right of repurchase or forfeiture. The economic and other rights associated with Plan Units granted under the 2018 Plan are governed by the 2018 Plan, Amended Operating Agreement and the applicable award agreement.</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The Plan Units are subject to certain transferability restrictions and requirements governed by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Operating Agreement, the 2018 Plan and the applicable award agreement.</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The outstanding Plan Units are subject to adjustment, exchange, replacement or, to the extent then unvested, cancellation for no</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by us, in our capacity as managing member of WMH LLC, at our discretion so as to fairly and equitably and/or proportionately reflect any unit splits, reverse splits, dividends or distributions, recapitalizations, reclassifications, or other relevant changes in WMH LLC’s capitalization or corporate structure, as well as certain other adjustments as may be specified in the Amended Operating Agreement.</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Amendment, Suspension and Termination</w:t>
      </w:r>
      <w:r>
        <w:rPr>
          <w:rFonts w:ascii="Arial" w:cs="Arial" w:eastAsia="Arial" w:hAnsi="Arial"/>
          <w:sz w:val="17"/>
          <w:szCs w:val="17"/>
          <w:color w:val="auto"/>
        </w:rPr>
        <w:t>. We, in our capacity as managing member of WMH LLC, have the authority to amend, suspend or terminate</w:t>
      </w:r>
      <w:r>
        <w:rPr>
          <w:rFonts w:ascii="Arial" w:cs="Arial" w:eastAsia="Arial" w:hAnsi="Arial"/>
          <w:sz w:val="17"/>
          <w:szCs w:val="17"/>
          <w:i w:val="1"/>
          <w:iCs w:val="1"/>
          <w:color w:val="auto"/>
        </w:rPr>
        <w:t xml:space="preserve"> </w:t>
      </w:r>
      <w:r>
        <w:rPr>
          <w:rFonts w:ascii="Arial" w:cs="Arial" w:eastAsia="Arial" w:hAnsi="Arial"/>
          <w:sz w:val="17"/>
          <w:szCs w:val="17"/>
          <w:color w:val="auto"/>
        </w:rPr>
        <w:t>all or any part of the 2018 Plan in our sole discretion, subject to the terms of the 2018 Plan and the Amended Operating Agreement.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is a summary of transactions since January 1, 2018,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Operating Company Agreement</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Concurrently with the Closing, the WMH LLC operating agreement was further amended and restated in its entirety to become the Fourth Amended and Restated Operating Agreement (the “Amended Operating Agreement”). Messrs. Beals, Camire, Dean, Feijoo, Lee, Francis and Hartfield and Ghost Media Group, LLC all own Paired Interests and Class P Units as described in the section titled “Principal Securityholders.”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Rights of the Units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 (iii) the use of an assumed tax rate in calculating WMH LLC’s distribution obligations, we may receive tax distributions significantly in excess of its tax liabilities and obligations to make payments under the Tax Receivable Agreement.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Transfer Restrictions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Agreement</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Concurrently with the Closing, we, WMH LLC and the Unit holders, including Messrs. Beals, Camire, Dean, Feijoo, Lee, Francis and Hartfield and Ghost Media Group, LLC, as described in the section titled “Principal Securityholders,” entered into an exchange agreement (the “Exchange Agreement”). The terms of the Exchange Agreement provide the Unit holders (or certain permitted transferees thereof) with the right from time to time at and after 180 days following the Closing to exchange their Class A Units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Concurrently with the Closing, we, the Holder Representative and the Class A Unit holders, including Messrs. Beals, Francis and Hartfield and Ghost Media Group, LLC, as described in the section titled “Principal Securityholders,”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realizes as a result of (i) increases to the tax basis of WMH LLC’s assets resulting from our acquisition of common units for cash in the Business Combination and future redemptions or exchanges of Class A Units for shares of Class A Common Stock or cash, (ii) tax benefits related to imputed interest or (iii) tax attributes resulting from payments made under Tax Receivable Agreement. The payment obligations under Tax Receivable Agreement are our obligations and not obligations of WMH LLC.</w:t>
      </w:r>
    </w:p>
    <w:p>
      <w:pPr>
        <w:spacing w:after="0" w:line="17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$148.0 million over 15 years from the Closing Date. Under this scenario, we would be required to pay to the Class A Unit holders approximately 85% of such amount, or $126.2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Payments under the Tax Receivable Agreement will be based on the tax reporting positions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7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Concurrently with the Closing, Silver Spike Sponsor, LLC (“Silver Spike Sponsor”) and certain Unit holders, including Messrs. Beals, Camire, Dean, Feijoo, Lee, Francis and Hartfield, Silver Spike Sponsor, LLC and Ghost Media Group, LLC, as described in the section titled “Principal Securityholders,”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also agreed to file within 45 days of the Closing a resale shelf registration statement covering the resale of all registrable securities.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Spike Related Transactions and Agreements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2019, Silver Spike Sponsor purchased 7,187,500 founder shares for an aggregate purchase price of $25,000, or $0.004 per share. On September 23, 2019, in connection with the expiration of the underwriter’s over-allotment option, Silver Spike Sponsor surrendered 937,500 founder shares. In connection with the closing of Silver Spike’s IPO, Silver Spike Sponsor granted sponsor LLC equity interests to Silver Spike’s independent directors that collectively comprised approximately 1% of the outstanding equity interests in Silver Spike Sponsor.</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Silver Spike Sponsor purchased an aggregate of 7,000,000 Private Placement Warrants for a purchase price of $1.00 per warrant in a private placement simultaneously with the closing of Silver Spike’s IPO. Each Private 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Silver Spike entered into an Administrative Services Agreement pursuant to which Silver Spike paid Silver Spike Sponsor up to $20,000 per month for office space, administrative and support services. Upon completion of the Business Combination, Silver Spike ceased paying any of these monthly fees. As of June 16, 2021, Silver Spike Sponsor was paid an aggregate of $79,074 for office space, administrative and support services and was entitled to be reimbursed for any out-of-pocket expenses.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Silver Spike Sponsor, Silver Spike’s officers and directors, or any of their respective affiliates, were reimbursed for any out-of-pocket expenses incurred in connection with activities on Silver Spike’s behalf, such as identifying potential target businesses and performing due diligence on suitable business combinations. As of June 16, 2021, Silver Spike Sponsor, and its respective affiliates were paid an aggregate of $88,252.</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Silver Spike Sponsor agreed to loan Silver Spike $250,000 under an unsecured promissory note to be used for Silver Spike’s working capital expenses. These loans are non-interest bearing and unsecured. The value of Silver Spike Sponsor’s interest in this loan transaction corresponded to the principal amount outstanding under any such loan. On February 18, 2021, Silver Spike Sponsor agreed to loan Silver Spike an additional $750,000 under an additional unsecured promissory note to be used for the payment of working capital expenses, including expenses incurred in connection with the Business Combination. The notes were non-interest bearing, unsecured and repaid on June 16,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Subscription Agreements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connection with the execution of the Merger Agreement, Silver Spike entered into a Subscription Agreement with (i) Silver Spike Opportunities I, LLC, an entity affiliated with certain directors and officers of Silver Spike, for the purchase of 3,500,000 shares of Silver Spike’s Class A ordinary shares for an aggregate purchase price of $35,000,000 and (ii) AFV Partners SPV-5 (WM) LLC, an entity affiliated with Tony Aquila, one of our directors, for the purchase of 5,000,000 PIPE Shares for an aggregate purchase price of $50.0 million, in each case on the same on the same terms and conditions as the form of Subscription Agreement, which is an exhibit to the registration statement of which this prospectus is a part.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Legacy WMH Transactions and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Employment Relationships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Certain immediate family members of Douglas Francis, Legacy WMH’s former chief executive officer and a current member of our board of managers, provide services to us for compensation, as described below:</w:t>
      </w:r>
    </w:p>
    <w:p>
      <w:pPr>
        <w:spacing w:after="0" w:line="170" w:lineRule="exact"/>
        <w:rPr>
          <w:sz w:val="20"/>
          <w:szCs w:val="20"/>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Russell Francis was formerly employed as one of our UI/UX developers. Mr. R. Francis, who is a brother of Mr. Francis, earned $198,606 and $15,300 in compensation in 2019 and 2020, respectively, and no compensation in the nine months ended September 30, 2021.</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Troy Francis formerly provided services to us as an independent contractor. Mr. T. Francis, who is a brother of Mr. Francis, earned $151,320 and $4,602 in compensation in 2019 and 2020, respectively, and no compensation in the nine months ended September 30, 2021.</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Kathleen Joosten was formerly employed as a corporate attorney in our legal department. Ms. Joosten, who is the sister-in-law of Mr. Francis, earned $163,462 and $167,427 in compensation in 2019 and 2020, respectively, and $151,889 in compensation in the nine months ended September 30, 2021.</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Len Townsend, who is Justin Hartfield’s father-in-law, formerly provided services to us as an independent contractor. Mr. Townsend earned $240,000 and $0 in compensation in each of 2019 and 2020, respectively, and no compensation in the nine months ended September 30,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Other Enterprises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WCC MGMT, LLC is a business of which each of Messrs. Francis and Hartfield indirectly own a minority interest. WCC MGMT, LLC uses our listing products and has participated in other brand promotion opportunities. WCC MGMT, LLC paid us a total of $98,495 and $536,750 in 2019 and 2020, respectively, and $338,955 in the nine months ended September 30, 2021, for such products and services. Mr. Beals indirectly owned a minority interest in WCC MGMT, LLC, but relinquished his indirect interest in April 2019.</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DICA Distribution, LLC is a company of which Mr. Francis indirectly owned 47.5%, Mr. Hartfield indirectly owned 47.5% and Mr. Beals indirectly owned 5% of the equity interests. DICA Distribution, LLC leased premises pursuant to a lease, in connection with which we issued a guaranty in favor of the landlord. The value of the underlying lease was $502,272 and $171,505 in 2018, and 2019, respectively. In April 2019, Mr. Beals relinquished his indirect interest in DICA Distribution, LLC. In May 2019, DICA Distribution, LLC merged with and into WCC MGMT, LLC and our guaranty was released by the landlord.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Searchcore Payments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August 2012, Searchcore, Inc., or Searchcore, purchased all of the equity ownership that Messrs. Francis and Hartfield held in Searchcore for an installment note in the amount of $1.6 million payable to each of Messrs. Francis and Hartfield. Pursuant to certain reorganization transactions, the notes were ultimately assigned to Weedmaps Media, LLC, one of our wholly owned subsidiaries.</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Pursuant to a note payable to Mr. Hartfield and that certain Global Securities Purchase, Consulting, and Resignation Agreement dated as of July 31, 2012, by and among Searchcore, Weedmaps Media, Inc. and Justin Hartfield, we paid Mr. Hartfield $0 and $0 in 2019 and 2020, respectively, and $205,323 in the nine months ended September 30, 2021. All obligations to Mr. Francis and Mr. Hartfield under these arrangements have been paid in full.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entered into employment and other agreements with certain of our executive officers. For a description of agreements with our named executive officers, see the sections entitled “Executive Compensation—Executive Employment Arrangements” and “—Outstanding Equity Awards at December 31, 2020.”</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granted equity awards to certain of our executive officers. For a description of equity awards granted to our named executive officers, see the section entitled “Executive Compensation.”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entered into indemnification agreements with our directors and executive officers. For a description of these agreements, see the section entitled “Management—Limitation of Liability and Indemnification.”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board of directors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considering related-person transactions, our audit committee takes into account the relevant available facts and circumstances, which may include, but are not limited to:</w:t>
      </w:r>
    </w:p>
    <w:p>
      <w:pPr>
        <w:spacing w:after="0" w:line="17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risk, cost and benefits to us;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SECURITYHOLDERS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information known to us regarding the beneficial ownership of our Common Stock as of November 24, 2021, by:</w:t>
      </w:r>
    </w:p>
    <w:p>
      <w:pPr>
        <w:spacing w:after="0" w:line="23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person who is known by us to be the beneficial owner of more than 5% of the outstanding shares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our current named executive officers and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beneficial ownership percentages set forth in the table below are based on 131,179,708 shares of our Common Stock issued and outstanding as of November 24, 2021 and do not take into account the issuance of any shares of Class A Common Stock upon (i) the exercise of 19,499,993 Warrants to purchase an aggregate of 19,499,993 shares of Class A Common Stock or (ii) the exchange of 25,679,122 Class P Units for up to 25,679,122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of Class A</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of Class V</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Combined %</w:t>
            </w:r>
          </w:p>
        </w:tc>
      </w:tr>
      <w:tr>
        <w:trPr>
          <w:trHeight w:val="216"/>
        </w:trPr>
        <w:tc>
          <w:tcPr>
            <w:tcW w:w="73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of</w:t>
            </w:r>
          </w:p>
        </w:tc>
      </w:tr>
      <w:tr>
        <w:trPr>
          <w:trHeight w:val="206"/>
        </w:trPr>
        <w:tc>
          <w:tcPr>
            <w:tcW w:w="73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Total Voting</w:t>
            </w:r>
          </w:p>
        </w:tc>
      </w:tr>
      <w:tr>
        <w:trPr>
          <w:trHeight w:val="251"/>
        </w:trPr>
        <w:tc>
          <w:tcPr>
            <w:tcW w:w="7320" w:type="dxa"/>
            <w:vAlign w:val="bottom"/>
          </w:tcPr>
          <w:p>
            <w:pPr>
              <w:spacing w:after="0" w:line="243" w:lineRule="exact"/>
              <w:rPr>
                <w:sz w:val="20"/>
                <w:szCs w:val="20"/>
                <w:color w:val="auto"/>
              </w:rPr>
            </w:pPr>
            <w:r>
              <w:rPr>
                <w:rFonts w:ascii="Arial" w:cs="Arial" w:eastAsia="Arial" w:hAnsi="Arial"/>
                <w:sz w:val="17"/>
                <w:szCs w:val="17"/>
                <w:b w:val="1"/>
                <w:bCs w:val="1"/>
                <w:color w:val="auto"/>
              </w:rPr>
              <w:t>Name of Beneficial Owner</w:t>
            </w:r>
            <w:r>
              <w:rPr>
                <w:rFonts w:ascii="Arial" w:cs="Arial" w:eastAsia="Arial" w:hAnsi="Arial"/>
                <w:sz w:val="28"/>
                <w:szCs w:val="28"/>
                <w:b w:val="1"/>
                <w:bCs w:val="1"/>
                <w:color w:val="auto"/>
                <w:vertAlign w:val="superscript"/>
              </w:rPr>
              <w:t>(1)</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Owned</w:t>
            </w:r>
          </w:p>
        </w:tc>
        <w:tc>
          <w:tcPr>
            <w:tcW w:w="1340" w:type="dxa"/>
            <w:vAlign w:val="bottom"/>
            <w:gridSpan w:val="2"/>
          </w:tcPr>
          <w:p>
            <w:pPr>
              <w:jc w:val="center"/>
              <w:ind w:right="220"/>
              <w:spacing w:after="0" w:line="243" w:lineRule="exact"/>
              <w:rPr>
                <w:sz w:val="20"/>
                <w:szCs w:val="20"/>
                <w:color w:val="auto"/>
              </w:rPr>
            </w:pPr>
            <w:r>
              <w:rPr>
                <w:rFonts w:ascii="Arial" w:cs="Arial" w:eastAsia="Arial" w:hAnsi="Arial"/>
                <w:sz w:val="17"/>
                <w:szCs w:val="17"/>
                <w:b w:val="1"/>
                <w:bCs w:val="1"/>
                <w:color w:val="auto"/>
                <w:w w:val="90"/>
              </w:rPr>
              <w:t>Owned</w:t>
            </w:r>
            <w:r>
              <w:rPr>
                <w:rFonts w:ascii="Arial" w:cs="Arial" w:eastAsia="Arial" w:hAnsi="Arial"/>
                <w:sz w:val="28"/>
                <w:szCs w:val="28"/>
                <w:b w:val="1"/>
                <w:bCs w:val="1"/>
                <w:color w:val="auto"/>
                <w:w w:val="90"/>
                <w:vertAlign w:val="superscript"/>
              </w:rPr>
              <w:t>(2)</w:t>
            </w:r>
          </w:p>
        </w:tc>
        <w:tc>
          <w:tcPr>
            <w:tcW w:w="1260" w:type="dxa"/>
            <w:vAlign w:val="bottom"/>
            <w:gridSpan w:val="2"/>
          </w:tcPr>
          <w:p>
            <w:pPr>
              <w:jc w:val="center"/>
              <w:ind w:right="160"/>
              <w:spacing w:after="0" w:line="243" w:lineRule="exact"/>
              <w:rPr>
                <w:sz w:val="20"/>
                <w:szCs w:val="20"/>
                <w:color w:val="auto"/>
              </w:rPr>
            </w:pPr>
            <w:r>
              <w:rPr>
                <w:rFonts w:ascii="Arial" w:cs="Arial" w:eastAsia="Arial" w:hAnsi="Arial"/>
                <w:sz w:val="17"/>
                <w:szCs w:val="17"/>
                <w:b w:val="1"/>
                <w:bCs w:val="1"/>
                <w:color w:val="auto"/>
                <w:w w:val="89"/>
              </w:rPr>
              <w:t>Power</w:t>
            </w:r>
            <w:r>
              <w:rPr>
                <w:rFonts w:ascii="Arial" w:cs="Arial" w:eastAsia="Arial" w:hAnsi="Arial"/>
                <w:sz w:val="28"/>
                <w:szCs w:val="28"/>
                <w:b w:val="1"/>
                <w:bCs w:val="1"/>
                <w:color w:val="auto"/>
                <w:w w:val="89"/>
                <w:vertAlign w:val="superscript"/>
              </w:rPr>
              <w:t>(3)</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6,166,819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Justin Dean</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Steven Jung</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line="216" w:lineRule="exact"/>
              <w:rPr>
                <w:sz w:val="20"/>
                <w:szCs w:val="20"/>
                <w:color w:val="auto"/>
              </w:rPr>
            </w:pPr>
            <w:r>
              <w:rPr>
                <w:rFonts w:ascii="Arial" w:cs="Arial" w:eastAsia="Arial" w:hAnsi="Arial"/>
                <w:sz w:val="16"/>
                <w:szCs w:val="16"/>
                <w:color w:val="auto"/>
              </w:rPr>
              <w:t>Tony Aquila</w:t>
            </w:r>
            <w:r>
              <w:rPr>
                <w:rFonts w:ascii="Arial" w:cs="Arial" w:eastAsia="Arial" w:hAnsi="Arial"/>
                <w:sz w:val="25"/>
                <w:szCs w:val="25"/>
                <w:color w:val="auto"/>
                <w:vertAlign w:val="superscript"/>
              </w:rPr>
              <w:t>(4)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5,000,000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16"/>
        </w:trPr>
        <w:tc>
          <w:tcPr>
            <w:tcW w:w="7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Douglas Francis</w:t>
            </w:r>
            <w:r>
              <w:rPr>
                <w:rFonts w:ascii="Arial" w:cs="Arial" w:eastAsia="Arial" w:hAnsi="Arial"/>
                <w:sz w:val="25"/>
                <w:szCs w:val="25"/>
                <w:color w:val="auto"/>
                <w:vertAlign w:val="superscript"/>
              </w:rPr>
              <w:t>(5)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27,700,850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r>
      <w:tr>
        <w:trPr>
          <w:trHeight w:val="216"/>
        </w:trPr>
        <w:tc>
          <w:tcPr>
            <w:tcW w:w="7320" w:type="dxa"/>
            <w:vAlign w:val="bottom"/>
          </w:tcPr>
          <w:p>
            <w:pPr>
              <w:spacing w:after="0" w:line="216" w:lineRule="exact"/>
              <w:rPr>
                <w:sz w:val="20"/>
                <w:szCs w:val="20"/>
                <w:color w:val="auto"/>
              </w:rPr>
            </w:pPr>
            <w:r>
              <w:rPr>
                <w:rFonts w:ascii="Arial" w:cs="Arial" w:eastAsia="Arial" w:hAnsi="Arial"/>
                <w:sz w:val="16"/>
                <w:szCs w:val="16"/>
                <w:color w:val="auto"/>
              </w:rPr>
              <w:t>Justin Hartfield</w:t>
            </w:r>
            <w:r>
              <w:rPr>
                <w:rFonts w:ascii="Arial" w:cs="Arial" w:eastAsia="Arial" w:hAnsi="Arial"/>
                <w:sz w:val="25"/>
                <w:szCs w:val="25"/>
                <w:color w:val="auto"/>
                <w:vertAlign w:val="superscript"/>
              </w:rPr>
              <w:t>(6)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29,328,310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Scott Gordon</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Fiona Tan</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Olga Gonzalez</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Brenda Freeman</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All Directors and Executive Officers of the Company as a Group (12 Individuals)</w:t>
            </w:r>
            <w:r>
              <w:rPr>
                <w:rFonts w:ascii="Arial" w:cs="Arial" w:eastAsia="Arial" w:hAnsi="Arial"/>
                <w:sz w:val="25"/>
                <w:szCs w:val="25"/>
                <w:b w:val="1"/>
                <w:bCs w:val="1"/>
                <w:color w:val="auto"/>
                <w:vertAlign w:val="superscript"/>
              </w:rPr>
              <w:t>(7)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54,726,788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Ghost Media Group, LLC</w:t>
            </w:r>
            <w:r>
              <w:rPr>
                <w:rFonts w:ascii="Arial" w:cs="Arial" w:eastAsia="Arial" w:hAnsi="Arial"/>
                <w:sz w:val="25"/>
                <w:szCs w:val="25"/>
                <w:color w:val="auto"/>
                <w:vertAlign w:val="superscript"/>
              </w:rPr>
              <w:t>(5)(6)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8,469,191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r>
        <w:trPr>
          <w:trHeight w:val="390"/>
        </w:trPr>
        <w:tc>
          <w:tcPr>
            <w:tcW w:w="7320" w:type="dxa"/>
            <w:vAlign w:val="bottom"/>
          </w:tcPr>
          <w:p>
            <w:pPr>
              <w:spacing w:after="0"/>
              <w:rPr>
                <w:sz w:val="20"/>
                <w:szCs w:val="20"/>
                <w:color w:val="auto"/>
              </w:rPr>
            </w:pPr>
            <w:r>
              <w:rPr>
                <w:rFonts w:ascii="Arial" w:cs="Arial" w:eastAsia="Arial" w:hAnsi="Arial"/>
                <w:sz w:val="18"/>
                <w:szCs w:val="18"/>
                <w:color w:val="auto"/>
              </w:rPr>
              <w:t>Luxor Capital Group, LP</w:t>
            </w:r>
            <w:r>
              <w:rPr>
                <w:rFonts w:ascii="Arial" w:cs="Arial" w:eastAsia="Arial" w:hAnsi="Arial"/>
                <w:sz w:val="29"/>
                <w:szCs w:val="29"/>
                <w:color w:val="auto"/>
                <w:vertAlign w:val="superscript"/>
              </w:rPr>
              <w:t>(8)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6,616,117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178308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1"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41 Discovery, Irvine, California 92618.</w:t>
      </w:r>
    </w:p>
    <w:p>
      <w:pPr>
        <w:spacing w:after="0" w:line="22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(together, a “Paired Interest”) is exchangeable for shares of Class A Common Stock on a one-for-one basis from time to time at and after December 13, 2021, unless we determine to pay cash consideration for such Paired Interests.</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percentage of voting power of the holders of Class A Common Stock and Class V Common Stock voting together as a single class.</w:t>
      </w:r>
    </w:p>
    <w:p>
      <w:pPr>
        <w:spacing w:after="0" w:line="236" w:lineRule="exact"/>
        <w:rPr>
          <w:rFonts w:ascii="Arial" w:cs="Arial" w:eastAsia="Arial" w:hAnsi="Arial"/>
          <w:sz w:val="17"/>
          <w:szCs w:val="17"/>
          <w:color w:val="auto"/>
        </w:rPr>
      </w:pPr>
    </w:p>
    <w:p>
      <w:pPr>
        <w:jc w:val="both"/>
        <w:ind w:left="340" w:hanging="332"/>
        <w:spacing w:after="0" w:line="272"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Includes 5,000,000 shares in the aggregate of shares of Class A Common Stock held by AFV Partners SPV-5 LLC (“AFV 5”), AFV Partners SPV-6 LLC (“AFV 6”) and a controlled affiliated entity of Tony Aquila upon the completion of the business combination pursuant to the PIPE subscription financing. Mr. Aquila is the Chairman and CEO of AFV Partners LLC, which exercises ultimate voting and investment power with respect to the shares held by AFV 5 and AFV 6. Furthermore, Mr. Aquila will personally hold a portion of the shares of Class A Common Stock and will be the sole member with ultimate voting and investment power with respect to the shares held by the controlled entity to be formed to hold the shares of Class A Common Stock. As such, Mr. Aquila may be deemed to be a beneficial owner of the shares held by AFV 5, AFV 6 and the controlled affiliated entity. The business address of the reporting person is 2126 Hamilton Road Suite 260, Argyle, TX 76226.</w:t>
      </w:r>
    </w:p>
    <w:p>
      <w:pPr>
        <w:spacing w:after="0" w:line="177" w:lineRule="exact"/>
        <w:rPr>
          <w:rFonts w:ascii="Arial" w:cs="Arial" w:eastAsia="Arial" w:hAnsi="Arial"/>
          <w:sz w:val="17"/>
          <w:szCs w:val="17"/>
          <w:color w:val="auto"/>
        </w:rPr>
      </w:pPr>
    </w:p>
    <w:p>
      <w:pPr>
        <w:jc w:val="both"/>
        <w:ind w:left="340" w:hanging="332"/>
        <w:spacing w:after="0" w:line="25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17,162,486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w:t>
      </w:r>
    </w:p>
    <w:p>
      <w:pPr>
        <w:spacing w:after="0" w:line="18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19,288,160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ectPr>
          <w:pgSz w:w="11900" w:h="16838" w:orient="portrait"/>
          <w:cols w:equalWidth="0" w:num="1">
            <w:col w:w="11240"/>
          </w:cols>
          <w:pgMar w:left="320" w:top="121" w:right="339" w:bottom="0" w:gutter="0" w:footer="0" w:header="0"/>
        </w:sectPr>
      </w:pPr>
    </w:p>
    <w:bookmarkStart w:id="115" w:name="page116"/>
    <w:bookmarkEnd w:id="115"/>
    <w:p>
      <w:pPr>
        <w:ind w:left="332" w:hanging="332"/>
        <w:spacing w:after="0"/>
        <w:tabs>
          <w:tab w:leader="none" w:pos="3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54,726,788 shares of Class V Common Stock beneficially owned by our directors and executive officers.</w:t>
      </w:r>
    </w:p>
    <w:p>
      <w:pPr>
        <w:spacing w:after="0" w:line="225" w:lineRule="exact"/>
        <w:rPr>
          <w:rFonts w:ascii="Arial" w:cs="Arial" w:eastAsia="Arial" w:hAnsi="Arial"/>
          <w:sz w:val="18"/>
          <w:szCs w:val="18"/>
          <w:color w:val="auto"/>
        </w:rPr>
      </w:pPr>
    </w:p>
    <w:p>
      <w:pPr>
        <w:jc w:val="both"/>
        <w:ind w:left="332" w:hanging="332"/>
        <w:spacing w:after="0" w:line="253" w:lineRule="auto"/>
        <w:tabs>
          <w:tab w:leader="none" w:pos="3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6,515,743 shares of Class A Common Stock held by Lugard Road Capital Master Fund, LP (“Lugard”) beneficially owned by Luxor Capital Group, LP, the investment manager of Lugard, 33,289 shares of Class A Common Stock held by Luxor Capital Partners Offshore Master Fund, LP (“Luxor Offshore”) beneficially owned by Luxor Capital Group, LP, the investment manager of Luxor Offshore, 53,645 shares of Class A Common Stock held by Luxor Capital Partners, LP (“Luxor Capital”) beneficially owned by Luxor Capital Group, LP, the investment manager of Luxor Capital and 13,440 shares of Class A Common Stock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367"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116" w:name="page117"/>
    <w:bookmarkEnd w:id="1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Selling Securityholders acquired 1,938,798 shares of Class A Common Stock (the “Shares”), consisting of (i) 1,244,258 shares of Class A Common Stock issued pursuant to the Asset Purchase Agreement and (ii) 694,540 shares of Class A Common Stock issued pursuant to the Equity Interest Purchase Agreement. We agreed to file a registration statement with the SEC for the purposes of registering for resale such shares of Class A Common Stock. The shares of Common Stock were issued to the Selling Securityholders in reliance on the exemption from registration in Section 4(a)(2) under the Securities Act.</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shares of Class A Common Stock to be offered by the Selling Securityholders are “restricted” securities under applicable federal and state securities laws and are being registered under the Securities Act to give the Selling Securityholders the opportunity to sell these shares publicly. The registration of these shares does not require that any of the shares be offered or sold by the Selling Securityholders. Subject to these resale restrictions, the Selling Securityholders may from time to time offer and sell all or a portion of their shares indicated below in privately negotiated transactions or on the Nasdaq Global Select Market or any other market on which our common stock may subsequently be listed.</w:t>
      </w:r>
    </w:p>
    <w:p>
      <w:pPr>
        <w:spacing w:after="0" w:line="1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registered shares may be sold directly or through brokers or dealers, or in a distribution by one or more underwriters on a firm commitment or best effort basis. To the extent required, the names of any agent or broker-dealer and applicable commissions or discounts and any other required information with respect to any particular offering will be set forth in a prospectus supplement. See the section of this prospectus entitled “Plan of Distribution”. The Selling Securityholders and any agents or broker-dealers that participate with the Selling Securityholders in the distribution of registered shares may be deemed to be “underwriters” within the meaning of the Securities Act, and any commissions received by them and any profit on the resale of the registered shares may be deemed to be underwriting commissions or discounts under the Securities Act.</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 estimate can be given as to the amount or percentage of Class A Common Stock that will be held by the Selling Securityholders after any sales made pursuant to this prospectus because the Selling Securityholders are not required to sell any of the Shares being registered under this prospectus. The following table assumes that the Selling Securityholders will sell all of the Shares listed in this prospectus.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otherwise indicated in the footnotes below, no Selling Stockholder has had any material relationship with us or any of our affiliates within the past three years other than as a security holder.</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Except as set forth in the footnotes below, the following table sets forth, based on written representations from the Selling Securityholders, certain information as of November 24, 2021 regarding the beneficial ownership of our Class A Common Stock by the Selling Securityholders and the shares of Class A Common Stock being offered by the Selling Securityholders (“Registrable Securities”). The applicable percentage ownership of Class A Common Stock is based on 65,677,361 shares of our Class A Common Stock issued and outstanding as of November 24, 2021.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with respect to shares of Class A Common Stock owned beneficially after the offering assumes the sale of all of the shares of Class A Common Stock offered and no other purchases or sales of our Class A Common Stock. The Selling Securityholders may offer and sell some, all or none of their shares of Class A Common Stock, as applicable.</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61"/>
        </w:trPr>
        <w:tc>
          <w:tcPr>
            <w:tcW w:w="46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3"/>
            <w:vMerge w:val="restart"/>
          </w:tcPr>
          <w:p>
            <w:pPr>
              <w:jc w:val="center"/>
              <w:ind w:left="150"/>
              <w:spacing w:after="0"/>
              <w:rPr>
                <w:sz w:val="20"/>
                <w:szCs w:val="20"/>
                <w:color w:val="auto"/>
              </w:rPr>
            </w:pPr>
            <w:r>
              <w:rPr>
                <w:rFonts w:ascii="Arial" w:cs="Arial" w:eastAsia="Arial" w:hAnsi="Arial"/>
                <w:sz w:val="18"/>
                <w:szCs w:val="18"/>
                <w:b w:val="1"/>
                <w:bCs w:val="1"/>
                <w:color w:val="auto"/>
                <w:w w:val="87"/>
              </w:rPr>
              <w:t>Shares of Class A</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of</w:t>
            </w:r>
          </w:p>
        </w:tc>
        <w:tc>
          <w:tcPr>
            <w:tcW w:w="2600" w:type="dxa"/>
            <w:vAlign w:val="bottom"/>
            <w:gridSpan w:val="4"/>
            <w:vMerge w:val="restart"/>
          </w:tcPr>
          <w:p>
            <w:pPr>
              <w:jc w:val="center"/>
              <w:ind w:right="140"/>
              <w:spacing w:after="0"/>
              <w:rPr>
                <w:sz w:val="20"/>
                <w:szCs w:val="20"/>
                <w:color w:val="auto"/>
              </w:rPr>
            </w:pPr>
            <w:r>
              <w:rPr>
                <w:rFonts w:ascii="Arial" w:cs="Arial" w:eastAsia="Arial" w:hAnsi="Arial"/>
                <w:sz w:val="18"/>
                <w:szCs w:val="18"/>
                <w:b w:val="1"/>
                <w:bCs w:val="1"/>
                <w:color w:val="auto"/>
                <w:w w:val="87"/>
              </w:rPr>
              <w:t>Shares of Class A</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0"/>
              </w:rPr>
              <w:t>Class A</w:t>
            </w:r>
          </w:p>
        </w:tc>
        <w:tc>
          <w:tcPr>
            <w:tcW w:w="26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60" w:type="dxa"/>
            <w:vAlign w:val="bottom"/>
            <w:gridSpan w:val="3"/>
            <w:vMerge w:val="restart"/>
          </w:tcPr>
          <w:p>
            <w:pPr>
              <w:jc w:val="center"/>
              <w:ind w:left="150"/>
              <w:spacing w:after="0"/>
              <w:rPr>
                <w:sz w:val="20"/>
                <w:szCs w:val="20"/>
                <w:color w:val="auto"/>
              </w:rPr>
            </w:pPr>
            <w:r>
              <w:rPr>
                <w:rFonts w:ascii="Arial" w:cs="Arial" w:eastAsia="Arial" w:hAnsi="Arial"/>
                <w:sz w:val="18"/>
                <w:szCs w:val="18"/>
                <w:b w:val="1"/>
                <w:bCs w:val="1"/>
                <w:color w:val="auto"/>
                <w:w w:val="89"/>
              </w:rPr>
              <w:t>Common Stock</w:t>
            </w: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600" w:type="dxa"/>
            <w:vAlign w:val="bottom"/>
            <w:gridSpan w:val="4"/>
            <w:vMerge w:val="restart"/>
          </w:tcPr>
          <w:p>
            <w:pPr>
              <w:jc w:val="center"/>
              <w:ind w:right="140"/>
              <w:spacing w:after="0"/>
              <w:rPr>
                <w:sz w:val="20"/>
                <w:szCs w:val="20"/>
                <w:color w:val="auto"/>
              </w:rPr>
            </w:pPr>
            <w:r>
              <w:rPr>
                <w:rFonts w:ascii="Arial" w:cs="Arial" w:eastAsia="Arial" w:hAnsi="Arial"/>
                <w:sz w:val="18"/>
                <w:szCs w:val="18"/>
                <w:b w:val="1"/>
                <w:bCs w:val="1"/>
                <w:color w:val="auto"/>
                <w:w w:val="89"/>
              </w:rPr>
              <w:t>Common Stock</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26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60" w:type="dxa"/>
            <w:vAlign w:val="bottom"/>
            <w:gridSpan w:val="3"/>
            <w:vMerge w:val="restart"/>
          </w:tcPr>
          <w:p>
            <w:pPr>
              <w:jc w:val="center"/>
              <w:ind w:left="150"/>
              <w:spacing w:after="0"/>
              <w:rPr>
                <w:sz w:val="20"/>
                <w:szCs w:val="20"/>
                <w:color w:val="auto"/>
              </w:rPr>
            </w:pPr>
            <w:r>
              <w:rPr>
                <w:rFonts w:ascii="Arial" w:cs="Arial" w:eastAsia="Arial" w:hAnsi="Arial"/>
                <w:sz w:val="18"/>
                <w:szCs w:val="18"/>
                <w:b w:val="1"/>
                <w:bCs w:val="1"/>
                <w:color w:val="auto"/>
                <w:w w:val="90"/>
              </w:rPr>
              <w:t>Beneficially Owned</w:t>
            </w: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600" w:type="dxa"/>
            <w:vAlign w:val="bottom"/>
            <w:gridSpan w:val="4"/>
            <w:vMerge w:val="restart"/>
          </w:tcPr>
          <w:p>
            <w:pPr>
              <w:jc w:val="center"/>
              <w:ind w:right="140"/>
              <w:spacing w:after="0"/>
              <w:rPr>
                <w:sz w:val="20"/>
                <w:szCs w:val="20"/>
                <w:color w:val="auto"/>
              </w:rPr>
            </w:pPr>
            <w:r>
              <w:rPr>
                <w:rFonts w:ascii="Arial" w:cs="Arial" w:eastAsia="Arial" w:hAnsi="Arial"/>
                <w:sz w:val="18"/>
                <w:szCs w:val="18"/>
                <w:b w:val="1"/>
                <w:bCs w:val="1"/>
                <w:color w:val="auto"/>
                <w:w w:val="90"/>
              </w:rPr>
              <w:t>Beneficially Owned</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Stock</w:t>
            </w:r>
          </w:p>
        </w:tc>
        <w:tc>
          <w:tcPr>
            <w:tcW w:w="26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60" w:type="dxa"/>
            <w:vAlign w:val="bottom"/>
            <w:gridSpan w:val="3"/>
            <w:vMerge w:val="restart"/>
          </w:tcPr>
          <w:p>
            <w:pPr>
              <w:jc w:val="center"/>
              <w:ind w:left="150"/>
              <w:spacing w:after="0"/>
              <w:rPr>
                <w:sz w:val="20"/>
                <w:szCs w:val="20"/>
                <w:color w:val="auto"/>
              </w:rPr>
            </w:pPr>
            <w:r>
              <w:rPr>
                <w:rFonts w:ascii="Arial" w:cs="Arial" w:eastAsia="Arial" w:hAnsi="Arial"/>
                <w:sz w:val="18"/>
                <w:szCs w:val="18"/>
                <w:b w:val="1"/>
                <w:bCs w:val="1"/>
                <w:color w:val="auto"/>
                <w:w w:val="92"/>
              </w:rPr>
              <w:t>Prior to the Offering</w:t>
            </w: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4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3"/>
              </w:rPr>
              <w:t>After the Offering</w:t>
            </w:r>
          </w:p>
        </w:tc>
        <w:tc>
          <w:tcPr>
            <w:tcW w:w="1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0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200"/>
              <w:spacing w:after="0" w:line="174" w:lineRule="exact"/>
              <w:rPr>
                <w:sz w:val="20"/>
                <w:szCs w:val="20"/>
                <w:color w:val="auto"/>
              </w:rPr>
            </w:pPr>
            <w:r>
              <w:rPr>
                <w:rFonts w:ascii="Arial" w:cs="Arial" w:eastAsia="Arial" w:hAnsi="Arial"/>
                <w:sz w:val="18"/>
                <w:szCs w:val="18"/>
                <w:b w:val="1"/>
                <w:bCs w:val="1"/>
                <w:color w:val="auto"/>
                <w:w w:val="87"/>
              </w:rPr>
              <w:t>Being</w:t>
            </w:r>
          </w:p>
        </w:tc>
        <w:tc>
          <w:tcPr>
            <w:tcW w:w="2440" w:type="dxa"/>
            <w:vAlign w:val="bottom"/>
            <w:tcBorders>
              <w:bottom w:val="single" w:sz="8" w:color="auto"/>
            </w:tcBorders>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Name of Selling Securityholder</w:t>
            </w: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880" w:type="dxa"/>
            <w:vAlign w:val="bottom"/>
          </w:tcPr>
          <w:p>
            <w:pPr>
              <w:ind w:left="260"/>
              <w:spacing w:after="0"/>
              <w:rPr>
                <w:sz w:val="20"/>
                <w:szCs w:val="20"/>
                <w:color w:val="auto"/>
              </w:rPr>
            </w:pPr>
            <w:r>
              <w:rPr>
                <w:rFonts w:ascii="Arial" w:cs="Arial" w:eastAsia="Arial" w:hAnsi="Arial"/>
                <w:sz w:val="18"/>
                <w:szCs w:val="18"/>
                <w:b w:val="1"/>
                <w:bCs w:val="1"/>
                <w:color w:val="auto"/>
                <w:w w:val="90"/>
              </w:rPr>
              <w:t>Percent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Offered</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shd w:val="clear" w:color="auto" w:fill="CCEEFF"/>
          </w:tcPr>
          <w:p>
            <w:pPr>
              <w:spacing w:after="0" w:line="216" w:lineRule="exact"/>
              <w:rPr>
                <w:sz w:val="20"/>
                <w:szCs w:val="20"/>
                <w:color w:val="auto"/>
              </w:rPr>
            </w:pPr>
            <w:r>
              <w:rPr>
                <w:rFonts w:ascii="Arial" w:cs="Arial" w:eastAsia="Arial" w:hAnsi="Arial"/>
                <w:sz w:val="16"/>
                <w:szCs w:val="16"/>
                <w:color w:val="auto"/>
              </w:rPr>
              <w:t>Andrew &amp; Ellen Astrove</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line="216" w:lineRule="exact"/>
              <w:rPr>
                <w:sz w:val="20"/>
                <w:szCs w:val="20"/>
                <w:color w:val="auto"/>
              </w:rPr>
            </w:pPr>
            <w:r>
              <w:rPr>
                <w:rFonts w:ascii="Arial" w:cs="Arial" w:eastAsia="Arial" w:hAnsi="Arial"/>
                <w:sz w:val="16"/>
                <w:szCs w:val="16"/>
                <w:color w:val="auto"/>
              </w:rPr>
              <w:t>Ashwin Surajbali</w:t>
            </w:r>
            <w:r>
              <w:rPr>
                <w:rFonts w:ascii="Arial" w:cs="Arial" w:eastAsia="Arial" w:hAnsi="Arial"/>
                <w:sz w:val="25"/>
                <w:szCs w:val="25"/>
                <w:color w:val="auto"/>
                <w:vertAlign w:val="superscript"/>
              </w:rPr>
              <w:t>(2)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197,843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197,843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Bradley Nathan Albert</w:t>
            </w:r>
            <w:r>
              <w:rPr>
                <w:rFonts w:ascii="Arial" w:cs="Arial" w:eastAsia="Arial" w:hAnsi="Arial"/>
                <w:sz w:val="25"/>
                <w:szCs w:val="25"/>
                <w:color w:val="auto"/>
                <w:vertAlign w:val="superscript"/>
              </w:rPr>
              <w:t>(3)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32,974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32,974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line="216" w:lineRule="exact"/>
              <w:rPr>
                <w:sz w:val="20"/>
                <w:szCs w:val="20"/>
                <w:color w:val="auto"/>
              </w:rPr>
            </w:pPr>
            <w:r>
              <w:rPr>
                <w:rFonts w:ascii="Arial" w:cs="Arial" w:eastAsia="Arial" w:hAnsi="Arial"/>
                <w:sz w:val="16"/>
                <w:szCs w:val="16"/>
                <w:color w:val="auto"/>
              </w:rPr>
              <w:t>Diane Roskind</w:t>
            </w:r>
            <w:r>
              <w:rPr>
                <w:rFonts w:ascii="Arial" w:cs="Arial" w:eastAsia="Arial" w:hAnsi="Arial"/>
                <w:sz w:val="25"/>
                <w:szCs w:val="25"/>
                <w:color w:val="auto"/>
                <w:vertAlign w:val="superscript"/>
              </w:rPr>
              <w:t>(4)</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14,184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14,184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DJK Morris Investments, LLC</w:t>
            </w:r>
            <w:r>
              <w:rPr>
                <w:rFonts w:ascii="Arial" w:cs="Arial" w:eastAsia="Arial" w:hAnsi="Arial"/>
                <w:sz w:val="25"/>
                <w:szCs w:val="25"/>
                <w:color w:val="auto"/>
                <w:vertAlign w:val="superscript"/>
              </w:rPr>
              <w:t>(5)</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395,760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395,760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line="216" w:lineRule="exact"/>
              <w:rPr>
                <w:sz w:val="20"/>
                <w:szCs w:val="20"/>
                <w:color w:val="auto"/>
              </w:rPr>
            </w:pPr>
            <w:r>
              <w:rPr>
                <w:rFonts w:ascii="Arial" w:cs="Arial" w:eastAsia="Arial" w:hAnsi="Arial"/>
                <w:sz w:val="16"/>
                <w:szCs w:val="16"/>
                <w:color w:val="auto"/>
              </w:rPr>
              <w:t>Farzin Arsanjani</w:t>
            </w:r>
            <w:r>
              <w:rPr>
                <w:rFonts w:ascii="Arial" w:cs="Arial" w:eastAsia="Arial" w:hAnsi="Arial"/>
                <w:sz w:val="25"/>
                <w:szCs w:val="25"/>
                <w:color w:val="auto"/>
                <w:vertAlign w:val="superscript"/>
              </w:rPr>
              <w:t>(6)</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7,092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7,092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Ian Cohen</w:t>
            </w:r>
            <w:r>
              <w:rPr>
                <w:rFonts w:ascii="Arial" w:cs="Arial" w:eastAsia="Arial" w:hAnsi="Arial"/>
                <w:sz w:val="25"/>
                <w:szCs w:val="25"/>
                <w:color w:val="auto"/>
                <w:vertAlign w:val="superscript"/>
              </w:rPr>
              <w:t>(7)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line="216" w:lineRule="exact"/>
              <w:rPr>
                <w:sz w:val="20"/>
                <w:szCs w:val="20"/>
                <w:color w:val="auto"/>
              </w:rPr>
            </w:pPr>
            <w:r>
              <w:rPr>
                <w:rFonts w:ascii="Arial" w:cs="Arial" w:eastAsia="Arial" w:hAnsi="Arial"/>
                <w:sz w:val="16"/>
                <w:szCs w:val="16"/>
                <w:color w:val="auto"/>
              </w:rPr>
              <w:t xml:space="preserve">Jennifer Goldman-Brisman </w:t>
            </w:r>
            <w:r>
              <w:rPr>
                <w:rFonts w:ascii="Arial" w:cs="Arial" w:eastAsia="Arial" w:hAnsi="Arial"/>
                <w:sz w:val="25"/>
                <w:szCs w:val="25"/>
                <w:color w:val="auto"/>
                <w:vertAlign w:val="superscript"/>
              </w:rPr>
              <w:t>(8)</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1,665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1,665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 xml:space="preserve">LCP Group, L.P. </w:t>
            </w:r>
            <w:r>
              <w:rPr>
                <w:rFonts w:ascii="Arial" w:cs="Arial" w:eastAsia="Arial" w:hAnsi="Arial"/>
                <w:sz w:val="25"/>
                <w:szCs w:val="25"/>
                <w:color w:val="auto"/>
                <w:vertAlign w:val="superscript"/>
              </w:rPr>
              <w:t>(9)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14,184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14,184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line="216" w:lineRule="exact"/>
              <w:rPr>
                <w:sz w:val="20"/>
                <w:szCs w:val="20"/>
                <w:color w:val="auto"/>
              </w:rPr>
            </w:pPr>
            <w:r>
              <w:rPr>
                <w:rFonts w:ascii="Arial" w:cs="Arial" w:eastAsia="Arial" w:hAnsi="Arial"/>
                <w:sz w:val="16"/>
                <w:szCs w:val="16"/>
                <w:color w:val="auto"/>
              </w:rPr>
              <w:t>LeRoy Robinson</w:t>
            </w:r>
            <w:r>
              <w:rPr>
                <w:rFonts w:ascii="Arial" w:cs="Arial" w:eastAsia="Arial" w:hAnsi="Arial"/>
                <w:sz w:val="25"/>
                <w:szCs w:val="25"/>
                <w:color w:val="auto"/>
                <w:vertAlign w:val="superscript"/>
              </w:rPr>
              <w:t>(10)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1,510</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1,665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3,175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M&amp;S Investment Group, LLC</w:t>
            </w:r>
            <w:r>
              <w:rPr>
                <w:rFonts w:ascii="Arial" w:cs="Arial" w:eastAsia="Arial" w:hAnsi="Arial"/>
                <w:sz w:val="25"/>
                <w:szCs w:val="25"/>
                <w:color w:val="auto"/>
                <w:vertAlign w:val="superscript"/>
              </w:rPr>
              <w:t>(11)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7,092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line="216" w:lineRule="exact"/>
              <w:rPr>
                <w:sz w:val="20"/>
                <w:szCs w:val="20"/>
                <w:color w:val="auto"/>
              </w:rPr>
            </w:pPr>
            <w:r>
              <w:rPr>
                <w:rFonts w:ascii="Arial" w:cs="Arial" w:eastAsia="Arial" w:hAnsi="Arial"/>
                <w:sz w:val="16"/>
                <w:szCs w:val="16"/>
                <w:color w:val="auto"/>
              </w:rPr>
              <w:t>MembersRSVP, LLC</w:t>
            </w:r>
            <w:r>
              <w:rPr>
                <w:rFonts w:ascii="Arial" w:cs="Arial" w:eastAsia="Arial" w:hAnsi="Arial"/>
                <w:sz w:val="25"/>
                <w:szCs w:val="25"/>
                <w:color w:val="auto"/>
                <w:vertAlign w:val="superscript"/>
              </w:rPr>
              <w:t>(12)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1,244,258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1,244,258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Michael Schlaefer</w:t>
            </w:r>
            <w:r>
              <w:rPr>
                <w:rFonts w:ascii="Arial" w:cs="Arial" w:eastAsia="Arial" w:hAnsi="Arial"/>
                <w:sz w:val="25"/>
                <w:szCs w:val="25"/>
                <w:color w:val="auto"/>
                <w:vertAlign w:val="superscript"/>
              </w:rPr>
              <w:t>(13)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0"/>
        </w:trPr>
        <w:tc>
          <w:tcPr>
            <w:tcW w:w="4620" w:type="dxa"/>
            <w:vAlign w:val="bottom"/>
            <w:gridSpan w:val="3"/>
          </w:tcPr>
          <w:p>
            <w:pPr>
              <w:spacing w:after="0"/>
              <w:rPr>
                <w:sz w:val="20"/>
                <w:szCs w:val="20"/>
                <w:color w:val="auto"/>
              </w:rPr>
            </w:pPr>
            <w:r>
              <w:rPr>
                <w:rFonts w:ascii="Arial" w:cs="Arial" w:eastAsia="Arial" w:hAnsi="Arial"/>
                <w:sz w:val="18"/>
                <w:szCs w:val="18"/>
                <w:color w:val="auto"/>
              </w:rPr>
              <w:t>Yael Morris</w:t>
            </w:r>
            <w:r>
              <w:rPr>
                <w:rFonts w:ascii="Arial" w:cs="Arial" w:eastAsia="Arial" w:hAnsi="Arial"/>
                <w:sz w:val="29"/>
                <w:szCs w:val="29"/>
                <w:color w:val="auto"/>
                <w:vertAlign w:val="superscript"/>
              </w:rPr>
              <w:t>(14)</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6,662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6,662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178308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Denotes less than one percent.</w:t>
      </w:r>
    </w:p>
    <w:p>
      <w:pPr>
        <w:spacing w:after="0" w:line="225"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Andrew Astrove and Ellen Astrove is deemed to have power to vote or dispose of the Registrable Securities.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Ashwin Surajbali is deemed to have power to vote or dispose of the Registrable Securities.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Bradley Nathan Albert is deemed to have power to vote or dispose of the Registrable Securities.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Diane Roskind is deemed to have power to vote or dispose of the Registrable Securities.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Keith E. Morris is deemed to have power to vote or dispose of the Registrable Securities. Keith E. Morris is our Vice President.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Farzin Arsanjani is deemed to have power to vote or dispose of the Registrable Securities.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Ian Cohen is deemed to have power to vote or dispose of the Registrable Securities.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Jennifer Goldman-Brisman is deemed to have power to vote or dispose of the Registrable Securities.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 Robert Roskind, in his capacity as Founder and Chairman of LCP Group, L.P., is deemed to have investment discretion and voting power over the Registrable Securities held by LCP Group, L.P.</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LeRoy Robinson is deemed to have power to vote or dispose of the Registrable Securities.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Mehran Aliakbar serves as the managing member of M&amp;S Investment Group, LLC. By virtue of this relationship, Mehran Aliakbar may be deemed to have voting and dispositive power with respect to the Registrable Securities held by M&amp;S Investment Group, LLC.</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Jaret Christopher serves as the Chief Executive Officer of MembersRSVP, LLC. By virtue of this relationship, Jaret Christopher may be deemed to have voting and dispositive power with respect to the Registrable Securities held by MembersRSVP, LLC. Jaret Christopher is our Vice President and General Manager of Customer Relationship Management.</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Michael Schlaefer is deemed to have power to vote or dispose of the Registrable Securities.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Yael Morris is deemed to have power to vote or dispose of the Registrable Securities.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18" w:name="page119"/>
    <w:bookmarkEnd w:id="1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Certificate of Incorporation authorizes the issuance of 2,075,000,000 shares of capital stock, consisting of (x) 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November 24, 2021, there were (1) 65,677,361 shares of Class A Common Stock, (2) 65,502,347 shares of Class V Common Stock and no shares of preferred stock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Preemptive or Other Rights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holders of the Class V Common Stock will not participate in any dividends declared by our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are not entitled to receive any of our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or Other Rights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and Retirement of Class V Common Stock</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WMH LLC.</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6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17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1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redeem the Public Warrants for redemption:</w:t>
      </w:r>
    </w:p>
    <w:p>
      <w:pPr>
        <w:spacing w:after="0" w:line="22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holder of Public Warrants; and</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16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Private Placement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18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8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1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1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1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Restrictions</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Pursuant to the letter agreement entered into between Silver Spike and Silver Spike Sponsor, after the completion of the Business Combination and subject to certain exceptions, the Sponsor is contractually restricted from selling or transferring any of its shares of Class A Common Stock until the earlier of (A) one year after the completion of the Business Combination or (B) subsequent to the Business Combination, (x) if the last reported sale price of the Class A Common Stock equals or exceeds $12.00 per share (as adjusted for share splits, share dividends, rights issuances, subdivisions, reorganizations, recapitalizations and the like) for any 20 trading days within any 30-trading day period commencing at least 150 days after the Business Combination or (y) the date following the completion of the Business Combination on which we complete a liquidation, merger, amalgamation, share exchange, reorganization or other similar transaction that results in all of our stockholders having the right to exchange their Class A Common Stock for cash, securities or other property. After the consummation of the business combination and subject to certain exceptions, Unit holders are contractually restricted from selling or transferring any of their respective shares of common stock until 180 days after completion of the Business Combination. See the section entitled “Certain Relationships and Related Party Transactions” for lock-up restrictions on our securities under the Exchange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Special Meetings of Stockholders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225"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nor earlier than the open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and no later than the close of business on the latter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Authorized but Unissued Shares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Exclusive Forum Selection</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Section 203 of the Delaware General Corporation Law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opt out of Section 203 of the DGCL under our Certificate of Incorporation.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 on Liability and Indemnification of Directors and Officers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146"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170"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184"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Closing, we ceased to be a shell company.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84"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one percent (1%) of the total number of shares of Class A Common Stock then outstanding; or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Common Stock during the four calendar weeks preceding the filing of a notice on Form 144 with respect to the sale.</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Sales by our affiliates under Rule 144 will also be limited by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Warrant Agent and Registrar</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transfer agent, warrant agent and registrar for our Class A Common Stock, Class V Common Stock and Warrants is Continental Stock Transfer &amp; Trust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and Public Warrants are listed on Nasdaq under the symbols “MAPS” and “MAPW,”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discussion is a summary of material U.S. federal income tax considerations generally applicable to the purchase, ownership and disposition of our Class A Common Stock. The Class A Common Stock is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18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 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16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1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170"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 Applicable to U.S.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Holders—Gain or Loss on Sale, Taxable Exchange or Other Taxable Disposition of Class A Common Stock” below.</w:t>
      </w:r>
    </w:p>
    <w:p>
      <w:pPr>
        <w:spacing w:after="0" w:line="19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Class A Common Stock</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general, information reporting requirements may apply to dividends paid to a U.S. Holder and to the proceeds of the sale or other disposition of our shares of Class A Common Stock,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 Applicable to Non-U.S.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general, any distributions (including constructive distributions) we make to a non-U.S. Holder of shares on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“Non-U.S. Holders— Possible Constructive Distributions”), it is possible that this tax would be withheld from any amount owed to a non-U.S. Holder by the applicable withholding agent, including cash distributions on other property or sale proceeds from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Holders—Gain on Sale, Taxable Exchange or Other Taxable Disposition of Class A Common” below. In addition, if we determine that we are likely to be classified as a “United States real property holding corporation” (see the section entitled “Non-U.S. Holders—Gain on Sale, Exchange or Other Taxable Disposition of Class A Common Stock” below), we will withhold 15% of any distribution that exceeds our current and accumulated earnings and profits.</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Exchange or Other Taxable Disposition of Class A Common Stock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non-U.S. Holder generally will not be subject to U.S. federal income or withholding tax in respect of gain recognized on a sale, taxable exchange or other taxable disposition of our Class A Common Stock, unless:</w:t>
      </w:r>
    </w:p>
    <w:p>
      <w:pPr>
        <w:spacing w:after="0" w:line="170" w:lineRule="exact"/>
        <w:rPr>
          <w:sz w:val="20"/>
          <w:szCs w:val="20"/>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170"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or not regularly traded on an established securities market for this purpose.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the third bullet point above applies to a non-U.S. Holder and applicable exceptions are not available, gain recognized by such holder on the sale, exchange or other disposition of our Class A Common Stock, as applicable, will be subject to tax at generally applicable U.S. federal income tax rates. In addition, a buyer of our Class A Common Stock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2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Provisions of the Code and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Information returns will be filed with the IRS in connection with payments of dividends and the proceeds from a sale or other disposition of our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registering the resale by the Selling Securityholders or their permitted transferees from time to time of up to 1,938,798 shares of Class A Common Stock. We are required to pay all fees and expenses incident to the registration of the securities to be offered and sold pursuant to this prospectus. The Selling Securityholders will pay any underwriting discounts, selling commissions or transfer taxes incurred in disposing of the Shares and the expenses of any attorney or other advisor they decide to employ. We will bear all other costs, fees and expenses incurred in effecting the registration of the Shares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w:t>
      </w:r>
    </w:p>
    <w:p>
      <w:pPr>
        <w:spacing w:after="0" w:line="1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will not receive any of the proceeds from the sale of the securities by the Selling Securityholders. The aggregate proceeds to the Selling Securityholders will be the purchase price of the securities less any discounts and commissions borne by the Selling Securityholders.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Selling Securityholders may sell their securities by one or more of, or a combination of, the following methods:</w:t>
      </w:r>
    </w:p>
    <w:p>
      <w:pPr>
        <w:spacing w:after="0" w:line="225"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225"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distribution to employees, members, limited partners or stockholders of the Selling Securityholders;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 whether through an options exchange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delayed delivery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or through underwriters or broker-dealers;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6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validity of any securities offered by this prospectus will be passed upon for us by Cooley LLP.</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consolidated financial statements of WMH LLC as of December 31, 2020 and 2019 and for each of the years in periods ended December 31, 2020, 2019, and 2018 have been audited by Baker Tilly US, LLP (“Baker Tilly”), an independent registered public accounting firm, as stated in their report thereon which report expresses an unqualified opinion and includes an emphasis of matter paragraph relating to the industry in which WMTI operates, have been included in this prospectus in reliance upon such reports and upon the authority of such firm as experts in accounting and auditing.</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required to file annual, quarterly and current reports, proxy statements and other information with the SEC as required by the Exchange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can read our SEC filings, including this prospectus,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www.weedmaps.com</w:t>
      </w:r>
      <w:r>
        <w:rPr>
          <w:rFonts w:ascii="Arial" w:cs="Arial" w:eastAsia="Arial" w:hAnsi="Arial"/>
          <w:sz w:val="17"/>
          <w:szCs w:val="17"/>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61"/>
        </w:trPr>
        <w:tc>
          <w:tcPr>
            <w:tcW w:w="10120" w:type="dxa"/>
            <w:vAlign w:val="bottom"/>
            <w:gridSpan w:val="1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20" w:type="dxa"/>
            <w:vAlign w:val="bottom"/>
            <w:gridSpan w:val="5"/>
          </w:tcPr>
          <w:p>
            <w:pPr>
              <w:jc w:val="center"/>
              <w:ind w:right="2808"/>
              <w:spacing w:after="0"/>
              <w:rPr>
                <w:sz w:val="20"/>
                <w:szCs w:val="20"/>
                <w:color w:val="auto"/>
              </w:rPr>
            </w:pPr>
            <w:r>
              <w:rPr>
                <w:rFonts w:ascii="Arial" w:cs="Arial" w:eastAsia="Arial" w:hAnsi="Arial"/>
                <w:sz w:val="18"/>
                <w:szCs w:val="18"/>
                <w:b w:val="1"/>
                <w:bCs w:val="1"/>
                <w:color w:val="auto"/>
              </w:rPr>
              <w:t>INDEX TO FINANCIAL STATEMENTS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14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10120" w:type="dxa"/>
            <w:vAlign w:val="bottom"/>
            <w:tcBorders>
              <w:top w:val="single" w:sz="8" w:color="CCEEFF"/>
            </w:tcBorders>
            <w:gridSpan w:val="13"/>
            <w:shd w:val="clear" w:color="auto" w:fill="CCEEFF"/>
          </w:tcPr>
          <w:p>
            <w:pPr>
              <w:spacing w:after="0"/>
              <w:rPr>
                <w:sz w:val="20"/>
                <w:szCs w:val="20"/>
                <w:color w:val="auto"/>
              </w:rPr>
            </w:pPr>
            <w:r>
              <w:rPr>
                <w:rFonts w:ascii="Arial" w:cs="Arial" w:eastAsia="Arial" w:hAnsi="Arial"/>
                <w:sz w:val="18"/>
                <w:szCs w:val="18"/>
                <w:b w:val="1"/>
                <w:bCs w:val="1"/>
                <w:color w:val="auto"/>
              </w:rPr>
              <w:t>WM HOLDING COMPANY, LLC</w:t>
            </w: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13"/>
          </w:tcPr>
          <w:p>
            <w:pPr>
              <w:spacing w:after="0"/>
              <w:rPr>
                <w:sz w:val="20"/>
                <w:szCs w:val="20"/>
                <w:color w:val="auto"/>
              </w:rPr>
            </w:pPr>
            <w:r>
              <w:rPr>
                <w:rFonts w:ascii="Arial" w:cs="Arial" w:eastAsia="Arial" w:hAnsi="Arial"/>
                <w:sz w:val="18"/>
                <w:szCs w:val="18"/>
                <w:b w:val="1"/>
                <w:bCs w:val="1"/>
                <w:color w:val="auto"/>
              </w:rPr>
              <w:t>Audited Financial Statements of WM Holding Company, LLC</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120" w:type="dxa"/>
            <w:vAlign w:val="bottom"/>
            <w:gridSpan w:val="13"/>
            <w:shd w:val="clear" w:color="auto" w:fill="CCEEFF"/>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Report of Independent Registered Public Accounting Firm</w:t>
              </w:r>
            </w:hyperlink>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2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Consolidated Balance Sheets</w:t>
              </w:r>
            </w:hyperlink>
          </w:p>
        </w:tc>
        <w:tc>
          <w:tcPr>
            <w:tcW w:w="5900" w:type="dxa"/>
            <w:vAlign w:val="bottom"/>
            <w:tcBorders>
              <w:top w:val="single" w:sz="8" w:color="CCEEFF"/>
            </w:tcBorders>
            <w:gridSpan w:val="4"/>
          </w:tcPr>
          <w:p>
            <w:pPr>
              <w:spacing w:after="0"/>
              <w:rPr>
                <w:sz w:val="15"/>
                <w:szCs w:val="15"/>
                <w:color w:val="auto"/>
              </w:rPr>
            </w:pPr>
          </w:p>
        </w:tc>
        <w:tc>
          <w:tcPr>
            <w:tcW w:w="11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F-3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139">
              <w:r>
                <w:rPr>
                  <w:rFonts w:ascii="Arial" w:cs="Arial" w:eastAsia="Arial" w:hAnsi="Arial"/>
                  <w:sz w:val="18"/>
                  <w:szCs w:val="18"/>
                  <w:color w:val="0000EE"/>
                  <w:w w:val="89"/>
                </w:rPr>
                <w:t>Consolidated Statements of Income</w:t>
              </w:r>
            </w:hyperlink>
          </w:p>
        </w:tc>
        <w:tc>
          <w:tcPr>
            <w:tcW w:w="7540" w:type="dxa"/>
            <w:vAlign w:val="bottom"/>
            <w:tcBorders>
              <w:bottom w:val="single" w:sz="8" w:color="CCEEFF"/>
            </w:tcBorders>
            <w:gridSpan w:val="1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F-4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120" w:type="dxa"/>
            <w:vAlign w:val="bottom"/>
            <w:gridSpan w:val="13"/>
          </w:tcPr>
          <w:p>
            <w:pPr>
              <w:spacing w:after="0" w:line="176" w:lineRule="exact"/>
              <w:rPr>
                <w:rFonts w:ascii="Arial" w:cs="Arial" w:eastAsia="Arial" w:hAnsi="Arial"/>
                <w:sz w:val="18"/>
                <w:szCs w:val="18"/>
                <w:color w:val="0000EE"/>
              </w:rPr>
            </w:pPr>
            <w:hyperlink w:anchor="page140">
              <w:r>
                <w:rPr>
                  <w:rFonts w:ascii="Arial" w:cs="Arial" w:eastAsia="Arial" w:hAnsi="Arial"/>
                  <w:sz w:val="18"/>
                  <w:szCs w:val="18"/>
                  <w:color w:val="0000EE"/>
                </w:rPr>
                <w:t>Consolidated Statements of Members’ Equity</w:t>
              </w:r>
            </w:hyperlink>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F-5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9"/>
              </w:rPr>
            </w:pPr>
            <w:hyperlink w:anchor="page141">
              <w:r>
                <w:rPr>
                  <w:rFonts w:ascii="Arial" w:cs="Arial" w:eastAsia="Arial" w:hAnsi="Arial"/>
                  <w:sz w:val="18"/>
                  <w:szCs w:val="18"/>
                  <w:color w:val="0000EE"/>
                  <w:w w:val="89"/>
                </w:rPr>
                <w:t>Consolidated Statements of Cash Flows</w:t>
              </w:r>
            </w:hyperlink>
          </w:p>
        </w:tc>
        <w:tc>
          <w:tcPr>
            <w:tcW w:w="7240" w:type="dxa"/>
            <w:vAlign w:val="bottom"/>
            <w:tcBorders>
              <w:bottom w:val="single" w:sz="8" w:color="CCEEFF"/>
            </w:tcBorders>
            <w:gridSpan w:val="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F-6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120" w:type="dxa"/>
            <w:vAlign w:val="bottom"/>
            <w:gridSpan w:val="13"/>
          </w:tcPr>
          <w:p>
            <w:pPr>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Notes to Audited Consolidated Financial Statements</w:t>
              </w:r>
            </w:hyperlink>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F-7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13"/>
          </w:tcPr>
          <w:p>
            <w:pPr>
              <w:spacing w:after="0"/>
              <w:rPr>
                <w:sz w:val="20"/>
                <w:szCs w:val="20"/>
                <w:color w:val="auto"/>
              </w:rPr>
            </w:pPr>
            <w:r>
              <w:rPr>
                <w:rFonts w:ascii="Arial" w:cs="Arial" w:eastAsia="Arial" w:hAnsi="Arial"/>
                <w:sz w:val="18"/>
                <w:szCs w:val="18"/>
                <w:b w:val="1"/>
                <w:bCs w:val="1"/>
                <w:color w:val="auto"/>
              </w:rPr>
              <w:t>Unaudited Condensed Consolidated Financial Statements of WM Holding Company, LLC</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153">
              <w:r>
                <w:rPr>
                  <w:rFonts w:ascii="Arial" w:cs="Arial" w:eastAsia="Arial" w:hAnsi="Arial"/>
                  <w:sz w:val="18"/>
                  <w:szCs w:val="18"/>
                  <w:color w:val="0000EE"/>
                  <w:w w:val="89"/>
                </w:rPr>
                <w:t>Interim Condensed Consolidated Balance Sheets</w:t>
              </w:r>
            </w:hyperlink>
          </w:p>
        </w:tc>
        <w:tc>
          <w:tcPr>
            <w:tcW w:w="6600" w:type="dxa"/>
            <w:vAlign w:val="bottom"/>
            <w:tcBorders>
              <w:bottom w:val="single" w:sz="8" w:color="CCEEFF"/>
            </w:tcBorders>
            <w:gridSpan w:val="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F-18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120" w:type="dxa"/>
            <w:vAlign w:val="bottom"/>
            <w:gridSpan w:val="13"/>
          </w:tcPr>
          <w:p>
            <w:pPr>
              <w:spacing w:after="0" w:line="176" w:lineRule="exact"/>
              <w:rPr>
                <w:rFonts w:ascii="Arial" w:cs="Arial" w:eastAsia="Arial" w:hAnsi="Arial"/>
                <w:sz w:val="18"/>
                <w:szCs w:val="18"/>
                <w:color w:val="0000EE"/>
              </w:rPr>
            </w:pPr>
            <w:hyperlink w:anchor="page154">
              <w:r>
                <w:rPr>
                  <w:rFonts w:ascii="Arial" w:cs="Arial" w:eastAsia="Arial" w:hAnsi="Arial"/>
                  <w:sz w:val="18"/>
                  <w:szCs w:val="18"/>
                  <w:color w:val="0000EE"/>
                </w:rPr>
                <w:t>Interim Condensed Consolidated Statements of Income</w:t>
              </w:r>
            </w:hyperlink>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F-19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w:anchor="page155">
              <w:r>
                <w:rPr>
                  <w:rFonts w:ascii="Arial" w:cs="Arial" w:eastAsia="Arial" w:hAnsi="Arial"/>
                  <w:sz w:val="18"/>
                  <w:szCs w:val="18"/>
                  <w:color w:val="0000EE"/>
                  <w:w w:val="90"/>
                </w:rPr>
                <w:t>Interim Condensed Consolidated Statements of Members’ Equity</w:t>
              </w:r>
            </w:hyperlink>
          </w:p>
        </w:tc>
        <w:tc>
          <w:tcPr>
            <w:tcW w:w="54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F-20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120" w:type="dxa"/>
            <w:vAlign w:val="bottom"/>
            <w:gridSpan w:val="13"/>
          </w:tcPr>
          <w:p>
            <w:pPr>
              <w:spacing w:after="0" w:line="176" w:lineRule="exact"/>
              <w:rPr>
                <w:rFonts w:ascii="Arial" w:cs="Arial" w:eastAsia="Arial" w:hAnsi="Arial"/>
                <w:sz w:val="18"/>
                <w:szCs w:val="18"/>
                <w:color w:val="0000EE"/>
              </w:rPr>
            </w:pPr>
            <w:hyperlink w:anchor="page156">
              <w:r>
                <w:rPr>
                  <w:rFonts w:ascii="Arial" w:cs="Arial" w:eastAsia="Arial" w:hAnsi="Arial"/>
                  <w:sz w:val="18"/>
                  <w:szCs w:val="18"/>
                  <w:color w:val="0000EE"/>
                </w:rPr>
                <w:t>Interim Condensed Consolidated Statements of Cash Flows</w:t>
              </w:r>
            </w:hyperlink>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F-21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20" w:type="dxa"/>
            <w:vAlign w:val="bottom"/>
            <w:gridSpan w:val="13"/>
            <w:shd w:val="clear" w:color="auto" w:fill="CCEEFF"/>
          </w:tcPr>
          <w:p>
            <w:pPr>
              <w:spacing w:after="0" w:line="176" w:lineRule="exact"/>
              <w:rPr>
                <w:rFonts w:ascii="Arial" w:cs="Arial" w:eastAsia="Arial" w:hAnsi="Arial"/>
                <w:sz w:val="18"/>
                <w:szCs w:val="18"/>
                <w:color w:val="0000EE"/>
              </w:rPr>
            </w:pPr>
            <w:hyperlink w:anchor="page157">
              <w:r>
                <w:rPr>
                  <w:rFonts w:ascii="Arial" w:cs="Arial" w:eastAsia="Arial" w:hAnsi="Arial"/>
                  <w:sz w:val="18"/>
                  <w:szCs w:val="18"/>
                  <w:color w:val="0000EE"/>
                </w:rPr>
                <w:t>Notes to Interim Condensed Consolidated Financial Statements</w:t>
              </w:r>
            </w:hyperlink>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68"/>
        </w:trPr>
        <w:tc>
          <w:tcPr>
            <w:tcW w:w="10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400" w:type="dxa"/>
            <w:vAlign w:val="bottom"/>
            <w:tcBorders>
              <w:top w:val="single" w:sz="8" w:color="CCEEFF"/>
            </w:tcBorders>
          </w:tcPr>
          <w:p>
            <w:pPr>
              <w:jc w:val="center"/>
              <w:ind w:right="3528"/>
              <w:spacing w:after="0"/>
              <w:rPr>
                <w:sz w:val="20"/>
                <w:szCs w:val="20"/>
                <w:color w:val="auto"/>
              </w:rPr>
            </w:pPr>
            <w:r>
              <w:rPr>
                <w:rFonts w:ascii="Arial" w:cs="Arial" w:eastAsia="Arial" w:hAnsi="Arial"/>
                <w:sz w:val="14"/>
                <w:szCs w:val="14"/>
                <w:color w:val="auto"/>
                <w:w w:val="95"/>
              </w:rPr>
              <w:t>F-1</w:t>
            </w:r>
          </w:p>
        </w:tc>
        <w:tc>
          <w:tcPr>
            <w:tcW w:w="11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136" w:name="page137"/>
    <w:bookmarkEnd w:id="1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Members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WM Holding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have audited the accompanying consolidated balance sheets of WM Holding Company, LLC and its subsidiaries (collectively the “Company”) as of December 31, 2020 and 2019, the related consolidated statements of operations, members’ equity, and cash flows for each of the years ended December 31, 2020, 2019 and 2018, and the related notes to the consolidated financial statements (collectively, the “financial statements”). In our opinion, the consolidated financial statements present fairly, in all material respects, the financial position of the Company as of December 31, 2020 and 2019, and the results of its operations and its cash flows for each of the years ended December 31, 2020, 2019, and 2018,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w:t>
      </w:r>
    </w:p>
    <w:p>
      <w:pPr>
        <w:spacing w:after="0" w:line="22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Company is an organization that provides online directory services to legalized cannabis companies. As discussed in Note 1,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Baker Tilly US,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5"/>
              <w:spacing w:after="0"/>
              <w:rPr>
                <w:sz w:val="20"/>
                <w:szCs w:val="20"/>
                <w:color w:val="auto"/>
              </w:rPr>
            </w:pPr>
            <w:r>
              <w:rPr>
                <w:rFonts w:ascii="Arial" w:cs="Arial" w:eastAsia="Arial" w:hAnsi="Arial"/>
                <w:sz w:val="18"/>
                <w:szCs w:val="18"/>
                <w:b w:val="1"/>
                <w:bCs w:val="1"/>
                <w:color w:val="auto"/>
              </w:rPr>
              <w:t>WM HOLDING COMPANY, LLC AND SUBSIDIARIES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5"/>
              <w:spacing w:after="0"/>
              <w:rPr>
                <w:sz w:val="20"/>
                <w:szCs w:val="20"/>
                <w:color w:val="auto"/>
              </w:rPr>
            </w:pPr>
            <w:r>
              <w:rPr>
                <w:rFonts w:ascii="Arial" w:cs="Arial" w:eastAsia="Arial" w:hAnsi="Arial"/>
                <w:sz w:val="18"/>
                <w:szCs w:val="18"/>
                <w:b w:val="1"/>
                <w:bCs w:val="1"/>
                <w:color w:val="auto"/>
                <w:w w:val="99"/>
              </w:rPr>
              <w:t>CONSOLIDATED BALANCE SHEETS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jc w:val="center"/>
              <w:ind w:left="1455"/>
              <w:spacing w:after="0"/>
              <w:rPr>
                <w:sz w:val="20"/>
                <w:szCs w:val="20"/>
                <w:color w:val="auto"/>
              </w:rPr>
            </w:pPr>
            <w:r>
              <w:rPr>
                <w:rFonts w:ascii="Arial" w:cs="Arial" w:eastAsia="Arial" w:hAnsi="Arial"/>
                <w:sz w:val="18"/>
                <w:szCs w:val="18"/>
                <w:b w:val="1"/>
                <w:bCs w:val="1"/>
                <w:color w:val="auto"/>
                <w:w w:val="90"/>
              </w:rPr>
              <w:t>December 31, 2020 and 2019</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4,967,954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19,918,914</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3,929,321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9,428,166</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1,783,783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4,819,968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10,681,058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34,167,048</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9,155,525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7,387,420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3,961,122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3,961,122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5,402,956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4,504,408</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4,553,009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3,874,155</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33,753,670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53,894,153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MEMBERS’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14,886,301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12,651,130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4,328,635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5,264,373</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1,435,691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5,128,755</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to members, current portion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205,324</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20,650,627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23,249,582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Notes payable to members, non-current portion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205,324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98,964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1,373,836</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20,954,915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24,623,418</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Class A-1 Units - no par value; 821,769 units authorized, issued and outstanding at December 31, 2020 and 2019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3,306,922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2,543,998</w:t>
            </w: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5"/>
              </w:rPr>
              <w:t>Class A-2 Units - no par value; 34,264 units authorized, 24,058 issued and outstanding at December 31, 2020 and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020" w:type="dxa"/>
            <w:vAlign w:val="bottom"/>
          </w:tcPr>
          <w:p>
            <w:pPr>
              <w:ind w:left="180"/>
              <w:spacing w:after="0"/>
              <w:rPr>
                <w:sz w:val="20"/>
                <w:szCs w:val="20"/>
                <w:color w:val="auto"/>
              </w:rPr>
            </w:pPr>
            <w:r>
              <w:rPr>
                <w:rFonts w:ascii="Arial" w:cs="Arial" w:eastAsia="Arial" w:hAnsi="Arial"/>
                <w:sz w:val="18"/>
                <w:szCs w:val="18"/>
                <w:color w:val="auto"/>
              </w:rPr>
              <w:t>2019</w:t>
            </w:r>
          </w:p>
        </w:tc>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17,108,743</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16,864,901</w:t>
            </w: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Class A-3 Units/Class B Units - no par value; 274,822 units authorized, 53,333 Class A-3 units and 221,483 Class B</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units issued and outstanding at December 31, 2020, 274,667 units authorized, 53,333 Class A-3 units and 210,744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Class B units issued and outstanding at December 31, 2019</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Retained earnings/accumulated deficit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(7,616,910)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9,861,836</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members’ equity</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12,798,755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29,270,735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Total liabilities and members’ equity</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33,753,670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53,894,153</w:t>
            </w:r>
          </w:p>
        </w:tc>
      </w:tr>
      <w:tr>
        <w:trPr>
          <w:trHeight w:val="569"/>
        </w:trPr>
        <w:tc>
          <w:tcPr>
            <w:tcW w:w="1020" w:type="dxa"/>
            <w:vAlign w:val="bottom"/>
          </w:tcPr>
          <w:p>
            <w:pPr>
              <w:spacing w:after="0"/>
              <w:rPr>
                <w:sz w:val="24"/>
                <w:szCs w:val="24"/>
                <w:color w:val="auto"/>
              </w:rPr>
            </w:pPr>
          </w:p>
        </w:tc>
        <w:tc>
          <w:tcPr>
            <w:tcW w:w="7660" w:type="dxa"/>
            <w:vAlign w:val="bottom"/>
          </w:tcPr>
          <w:p>
            <w:pPr>
              <w:jc w:val="center"/>
              <w:ind w:left="1455"/>
              <w:spacing w:after="0"/>
              <w:rPr>
                <w:sz w:val="20"/>
                <w:szCs w:val="20"/>
                <w:color w:val="auto"/>
              </w:rPr>
            </w:pPr>
            <w:r>
              <w:rPr>
                <w:rFonts w:ascii="Arial" w:cs="Arial" w:eastAsia="Arial" w:hAnsi="Arial"/>
                <w:sz w:val="14"/>
                <w:szCs w:val="14"/>
                <w:color w:val="auto"/>
                <w:w w:val="95"/>
              </w:rPr>
              <w:t>F-3</w:t>
            </w: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7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3" w:right="339" w:bottom="1440" w:gutter="0" w:footer="0" w:header="0"/>
        </w:sectPr>
      </w:pPr>
    </w:p>
    <w:bookmarkStart w:id="138" w:name="page139"/>
    <w:bookmarkEnd w:id="1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101,402,007</w:t>
            </w:r>
          </w:p>
        </w:tc>
        <w:tc>
          <w:tcPr>
            <w:tcW w:w="200" w:type="dxa"/>
            <w:vAlign w:val="bottom"/>
            <w:tcBorders>
              <w:left w:val="single" w:sz="8" w:color="CCEEFF"/>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144,231,479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161,790,762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6,304,059</w:t>
            </w: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7,073,728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7,629,965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17,798,973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39,745,946</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30,716,015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20,033,481</w:t>
            </w: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29,496,687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27,142,129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38,934,680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56,465,609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51,127,116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2,148,628</w:t>
            </w: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5,162,595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3,977,805</w:t>
            </w:r>
          </w:p>
        </w:tc>
      </w:tr>
      <w:tr>
        <w:trPr>
          <w:trHeight w:val="27"/>
        </w:trPr>
        <w:tc>
          <w:tcPr>
            <w:tcW w:w="7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85,219,821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w w:val="91"/>
              </w:rPr>
              <w:t>137,944,565</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w w:val="93"/>
              </w:rPr>
              <w:t>120,593,030</w:t>
            </w: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16,182,186</w:t>
            </w:r>
          </w:p>
        </w:tc>
        <w:tc>
          <w:tcPr>
            <w:tcW w:w="200" w:type="dxa"/>
            <w:vAlign w:val="bottom"/>
            <w:tcBorders>
              <w:lef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6,286,914</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41,197,732</w:t>
            </w: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OTHER EXPENSE</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74"/>
              <w:spacing w:after="0"/>
              <w:rPr>
                <w:sz w:val="20"/>
                <w:szCs w:val="20"/>
                <w:color w:val="auto"/>
              </w:rPr>
            </w:pPr>
            <w:r>
              <w:rPr>
                <w:rFonts w:ascii="Arial" w:cs="Arial" w:eastAsia="Arial" w:hAnsi="Arial"/>
                <w:sz w:val="18"/>
                <w:szCs w:val="18"/>
                <w:color w:val="auto"/>
              </w:rPr>
              <w:t>(621,462)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(124,220)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(2,116)</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19"/>
                <w:szCs w:val="19"/>
                <w:color w:val="auto"/>
              </w:rPr>
            </w:pPr>
          </w:p>
        </w:tc>
        <w:tc>
          <w:tcPr>
            <w:tcW w:w="1220" w:type="dxa"/>
            <w:vAlign w:val="bottom"/>
            <w:gridSpan w:val="2"/>
          </w:tcPr>
          <w:p>
            <w:pPr>
              <w:jc w:val="right"/>
              <w:ind w:right="174"/>
              <w:spacing w:after="0"/>
              <w:rPr>
                <w:sz w:val="20"/>
                <w:szCs w:val="20"/>
                <w:color w:val="auto"/>
              </w:rPr>
            </w:pPr>
            <w:r>
              <w:rPr>
                <w:rFonts w:ascii="Arial" w:cs="Arial" w:eastAsia="Arial" w:hAnsi="Arial"/>
                <w:sz w:val="18"/>
                <w:szCs w:val="18"/>
                <w:color w:val="auto"/>
              </w:rPr>
              <w:t>(1,206,475)</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(5,217,334)</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(2,365,623)</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(1,827,937</w:t>
            </w:r>
          </w:p>
        </w:tc>
        <w:tc>
          <w:tcPr>
            <w:tcW w:w="200" w:type="dxa"/>
            <w:vAlign w:val="bottom"/>
            <w:tcBorders>
              <w:left w:val="single" w:sz="8" w:color="CCEEFF"/>
              <w:bottom w:val="single" w:sz="8" w:color="CCEEFF"/>
            </w:tcBorders>
            <w:shd w:val="clear" w:color="auto" w:fill="CCEEFF"/>
          </w:tcPr>
          <w:p>
            <w:pPr>
              <w:jc w:val="right"/>
              <w:ind w:right="174"/>
              <w:spacing w:after="0"/>
              <w:rPr>
                <w:sz w:val="20"/>
                <w:szCs w:val="20"/>
                <w:color w:val="auto"/>
              </w:rPr>
            </w:pPr>
            <w:r>
              <w:rPr>
                <w:rFonts w:ascii="Arial" w:cs="Arial" w:eastAsia="Arial" w:hAnsi="Arial"/>
                <w:sz w:val="1"/>
                <w:szCs w:val="1"/>
                <w:color w:val="auto"/>
                <w:w w:val="4294967281"/>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(5,341,554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(2,367,739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14,354,249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945,360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38,829,993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DISCONTINUED OPERATIONS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74"/>
              <w:spacing w:after="0"/>
              <w:rPr>
                <w:sz w:val="20"/>
                <w:szCs w:val="20"/>
                <w:color w:val="auto"/>
              </w:rPr>
            </w:pPr>
            <w:r>
              <w:rPr>
                <w:rFonts w:ascii="Arial" w:cs="Arial" w:eastAsia="Arial" w:hAnsi="Arial"/>
                <w:sz w:val="18"/>
                <w:szCs w:val="18"/>
                <w:color w:val="auto"/>
              </w:rPr>
              <w:t>(1,674,738)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12,679,511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945,360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38,829,993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Provision from income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1,321,045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12,679,511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(375,685)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38,829,993</w:t>
            </w:r>
          </w:p>
        </w:tc>
      </w:tr>
      <w:tr>
        <w:trPr>
          <w:trHeight w:val="20"/>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UNIT</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w w:val="98"/>
              </w:rPr>
              <w:t>Basic and diluted earnings (loss) per Class A-1, A-2 and A-3 units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16.95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(0.42)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43.18</w:t>
            </w:r>
          </w:p>
        </w:tc>
      </w:tr>
      <w:tr>
        <w:trPr>
          <w:trHeight w:val="20"/>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loss per Class A-1, A-2 and A-3 units from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Borders>
              <w:left w:val="single" w:sz="8" w:color="CCEEFF"/>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color w:val="auto"/>
              </w:rPr>
              <w:t>Basic and diluted earnings (loss) per Class A-1, A-2 and A-3 units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14.97</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(0.42)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43.18</w:t>
            </w:r>
          </w:p>
        </w:tc>
      </w:tr>
      <w:tr>
        <w:trPr>
          <w:trHeight w:val="21"/>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weighted-average number of units outstanding</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847,024</w:t>
            </w:r>
          </w:p>
        </w:tc>
        <w:tc>
          <w:tcPr>
            <w:tcW w:w="200" w:type="dxa"/>
            <w:vAlign w:val="bottom"/>
            <w:tcBorders>
              <w:left w:val="single" w:sz="8" w:color="CCEEFF"/>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899,160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899,160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62"/>
        </w:trPr>
        <w:tc>
          <w:tcPr>
            <w:tcW w:w="7320" w:type="dxa"/>
            <w:vAlign w:val="bottom"/>
          </w:tcPr>
          <w:p>
            <w:pPr>
              <w:ind w:left="5520"/>
              <w:spacing w:after="0"/>
              <w:rPr>
                <w:sz w:val="20"/>
                <w:szCs w:val="20"/>
                <w:color w:val="auto"/>
              </w:rPr>
            </w:pPr>
            <w:r>
              <w:rPr>
                <w:rFonts w:ascii="Arial" w:cs="Arial" w:eastAsia="Arial" w:hAnsi="Arial"/>
                <w:sz w:val="14"/>
                <w:szCs w:val="14"/>
                <w:color w:val="auto"/>
              </w:rPr>
              <w:t>F-4</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7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39" w:name="page140"/>
    <w:bookmarkEnd w:id="1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Class A-1</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Class A-2</w:t>
            </w: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Class A-3/B</w:t>
            </w:r>
          </w:p>
        </w:tc>
        <w:tc>
          <w:tcPr>
            <w:tcW w:w="1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Retained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Member’s</w:t>
            </w:r>
          </w:p>
        </w:tc>
      </w:tr>
      <w:tr>
        <w:trPr>
          <w:trHeight w:val="241"/>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Units</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Units</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earnings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2017</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4,546,847</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8,891,183</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13,438,030</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Sale of Class A Units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17,553,601</w:t>
            </w:r>
          </w:p>
        </w:tc>
        <w:tc>
          <w:tcPr>
            <w:tcW w:w="10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17,553,601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(524,894)</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(66,840)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(10,832,926)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(11,424,660)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Repurchase of Class B Units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(1,694,407)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(1,694,407)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 on divestiture of controlled entities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(428,417)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(428,417)</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12,679,511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12,679,511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2018</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4,021,953</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17,486,761</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8,614,944</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30,123,658</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Distributions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(715,031)</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(378,018)</w:t>
            </w:r>
          </w:p>
        </w:tc>
        <w:tc>
          <w:tcPr>
            <w:tcW w:w="10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(14,289,441)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(15,382,490)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Class B Units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(1,566,728)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(1,566,728)</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(375,685)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(375,685)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3,306,922</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17,108,743</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(7,616,910)</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12,798,755</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Distributions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(762,924)</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(243,842)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(20,944,766)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(21,951,532)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Class B Units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(406,481)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(406,481)</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38,829,993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38,829,993</w:t>
            </w:r>
          </w:p>
        </w:tc>
      </w:tr>
      <w:tr>
        <w:trPr>
          <w:trHeight w:val="25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2,543,998</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16,864,901</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9,861,836</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29,270,735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F-5</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40" w:name="page141"/>
    <w:bookmarkEnd w:id="1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12,679,511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(375,685)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38,829,993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2,148,628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5,162,595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3,977,805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Accretion of debt discounts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59,079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(432,095)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(2,572,107)</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(5,498,845)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871,245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(610,758)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(3,036,185)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65,948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(3,344,195)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678,854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1,651,975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7,373,723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(960,299)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496,065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3,693,064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165,488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935,738</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Assets and liabilities held for sale</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(82,507)</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17,689,431</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6,295,126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38,620,125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(2,124,408)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(5,129,470)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(1,311,152)</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(2,124,408)</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(5,129,470)</w:t>
            </w: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(1,311,152)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proceeds (repayments) from secured line of credit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1,748,038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(5,019,814)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Sale of Class A Units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17,553,601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(11,424,660)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(15,382,490)</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(21,951,532)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Class B Units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(1,694,407)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(1,566,728)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(406,481)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Principal payments on notes payable to members</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(2,243,611)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3,243,961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(21,969,032)</w:t>
            </w: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(22,358,013)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18,808,984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(20,803,376)</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14,950,960</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CASH – beginning of year</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6,962,346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25,771,330</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4,967,954</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end of year</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25,771,330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4,967,954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19,918,914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579,793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157,407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117,848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1,335,998</w:t>
            </w: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 on divestiture of controlled entities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428,417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569"/>
        </w:trPr>
        <w:tc>
          <w:tcPr>
            <w:tcW w:w="7320" w:type="dxa"/>
            <w:vAlign w:val="bottom"/>
            <w:tcBorders>
              <w:top w:val="single" w:sz="8" w:color="CCEEFF"/>
            </w:tcBorders>
          </w:tcPr>
          <w:p>
            <w:pPr>
              <w:ind w:left="5520"/>
              <w:spacing w:after="0"/>
              <w:rPr>
                <w:sz w:val="20"/>
                <w:szCs w:val="20"/>
                <w:color w:val="auto"/>
              </w:rPr>
            </w:pPr>
            <w:r>
              <w:rPr>
                <w:rFonts w:ascii="Arial" w:cs="Arial" w:eastAsia="Arial" w:hAnsi="Arial"/>
                <w:sz w:val="14"/>
                <w:szCs w:val="14"/>
                <w:color w:val="auto"/>
              </w:rPr>
              <w:t>F-6</w:t>
            </w: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7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41" w:name="page142"/>
    <w:bookmarkEnd w:id="1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organization</w:t>
      </w:r>
    </w:p>
    <w:p>
      <w:pPr>
        <w:spacing w:after="0" w:line="2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WM Holding Company, LLC, a Delaware limited liability company, and its subsidiaries (the “Company”), is a technology and software infrastructure provider to retailers and brands in the U.S. state-legal and Canadian cannabis markets. The Company also provides information on the cannabis plant and the industry and advocates for legalization. The Weedmaps listings marketplace provides consumers with information regarding cannabis retailers and brands, as well as the strain, pricing, and other information regarding locally available cannabis products, through the Company’s website and mobile apps, permitting product discovery and reservation of products for pickup by consumers or delivery to consumers by participating retailers. The Company sells its offerings in the United States and Canada, and the Company has a limited number of non-monetized listings in several international countries including Austria, Germany, the Netherlands, Spain, and Switzerland. Through December 31, 2020, the Company offered standard listing subscription clients access to a listing page on weedmaps.com in addition to free access to its SaaS solutions, including WM Orders, WM Dispatch, WM Exchange, WM Retail and WM Store, along with its API integrations with third-party point-of-sale (“POS”) systems. For access to the orders functionality, beginning in September 2019, standard listing clients were also then required to pay a fixed services fee per delivery order submitted which we imposed regardless of whether the proposed order was canceled or completed. As of January 1, 2021, the Company migrated all standard listing subscription clients to our new WM Business subscription package. Under this new subscription package, all retailers continue to receive access to a standard listing page and SaaS solutions. In addition, the Company began including access to WM Dashboard and eliminated the technology services fee on delivery orders as part of the transition to the new WM Business subscription package. The Company operates in the United States, Canada, and other foreign jurisdictions where medical and/or adult use cannabis is legal under state or applicable national law. The Company is headquartered in Irvine, California.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summary of significant accounting policies presented below is designed to assist in understanding the Company’s consolidated financial statements. Such consolidated financial statements and accompanying notes are the representations of the Company’s management, who is responsible for their integrity and objectivity. Management believes that these accounting policies conform to accounting principles generally accepted in the United States of America (“GAAP”) in all material respects, and have been consistently applied in preparing the accompanying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consolidated financial statements include the accounts of WM Holding Company, LLC and its subsidiaries, GMG Holdco, Inc., Weedmaps Media, LLC (“Weedmaps”), Ghost Management Group, LLC, WM Canada Holdings, Inc., WM Enterprise, LLC, WM Marketplace, LLC, Weedmaps Spain, S.L.U., WM Retail, LLC, Grow One Software (Canada), Inc., Discovery Opco, LLC, Weedmaps Germany GmbH, WM Teal, LLC, WM Museum, LLC, Weedmaps Artist Management, LLC, Ghost Gaming Holdings, LLC, WMBP Investment, LLC, and WMG Pharma GmbH. All significant intercompany balance and transactions have been eliminated upon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Effective April 30, 2018, the Company sold 100% of the equity interests in WMG Pharma GmbH to an entity owned by its founders for $13,490 and on May 31, 2018, the Company divested its equity interests in Ghost Gaming Holdings, LLC, Weedmaps Artist Management, LLC, and WMBP Investment, LLC (collectively, “Divested Entities”) to certain of its members. The fair value based on a valuation report for the Divested Entities was $1,495,000. No gain or loss was recorded due to the related party nature of the divestiture; instead the divestiture was recorded as a deemed distribution in member’s equity. The activities of the Divested Entities were included in the consolidated financial statements through the date of the divestiture.</w:t>
      </w:r>
    </w:p>
    <w:p>
      <w:pPr>
        <w:spacing w:after="0" w:line="16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a result of the Company’s decision to divest its interest in Divested Entities, the Company has reclassified and presented all related historical financial information as it relates to the Divested Entities as “discontinued operations” in the accompanying consolidated statements of operations as of and for the year ended December 31, 2018. In addition, all related activities have been excluded from footnote disclosures unless specifically referenced. These reclassifications have no effect on previously reported net income.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2020, 2019 and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Significant estimates made by management include, among others, the valuation of accounts receivable, the useful lives of long-lived assets, income taxes, website and internal-use software development costs, valuation of goodwill and other intangible assets, revenue recognition, stock-based compensation, and the recognition and disclosure of contingent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operates in a relatively new industry where laws and regulations vary significantly by jurisdiction. Currently, several states permit medical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to be cash equivalents. At December 31, 2020, 2019 and 2018, the Company did not have any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Accounts receivable is recorded at the invoiced amount and does not bear interest. The allowance for doubtful accounts is the Company’s best estimate of the amount of probable credit losses in existing accounts receivable. The allowance for doubtful accounts is reviewed monthly and past due balances are reviewed individually for collectability. Account balances are written off against the allowance when it is determined that it is probable that the receivable will not be recovered. As of December 31, 2020, and 2019, the Company recorded an allowance for bad debt of $857,382 and $913,715,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Property and equipment are stated at historical cost less accumulated depreciation. Depreciation is computed using the straight-line method over the estimated useful lives of the assets, which range from three to ten years. Leasehold improvements are amortized over the lesser of the related lease term or their estimated useful life. Expenditures for major renewals and betterments are capitalized, while minor replacements, maintenance and repairs, which do not extend the asset lives, are charged to operations as incurred. Costs related to website and internal-use software are primarily related to the Company’s website. The Company capitalizes its costs to develop software when preliminary development efforts are successfully completed, management has authorized and committed project funding and it is probable that the project will be completed, and the software will be used as intended. Such costs are amortized on a straight-line basis over the estimated useful life of the related asset.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Costs incurred prior to meeting these criteria, together with costs incurred for training and maintenance, are expensed as incurred. Costs incurred for enhancements that are expected to result in additional material functionality are capitalized and amortized over the estimated useful life of the upgrades. Upon sale or disposition, the cost and related accumulated depreciation and amortization are removed from the accounts, and any gain or loss is included in the Company’s results from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Goodwill is the excess of the cost of an acquired entity over the net of the amounts assigned to assets acquired and liabilities assumed.</w:t>
      </w:r>
    </w:p>
    <w:p>
      <w:pPr>
        <w:spacing w:after="0" w:line="23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For impairment purposes, the Company assesses qualitative factors to determine if it is necessary to perform the two-step quantitative goodwill impairment test. The Company assesses qualitative factors to determine if its sole reporting unit’s fair value is more likely than not to exceed its carrying value, including goodwill. In the event the Company determines that it is more likely than not that its reporting unit’s fair value is less than its carrying amount, quantitative testing is performed comparing recorded values to estimated fair values. Quantitative testing compares the fair value of the reporting unit to its book value, including goodwill. If the book value exceeds the fair value, then the Company would calculate the potential impairment loss by comparing the implied fair value of goodwill with the book value. If the implied fair value of goodwill is less than the book value, then an impairment charge would be recorded. For the years ended December 31, 2020 and 2019, there were no impairment of goodwill. The Company has elected not to amortize goodwill.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Company’s intangible assets consist of trade and domain names, and software technology which are amortized using the straight-line method over 5 to 15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Company reviews its long-lived assets for impairment whenever events or changes in circumstances indicate that the carrying amount of an asset may not be recoverable.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estimated fair value. For the years ended December 31, 2020 and 2019, there were no such impairments.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Company’s revenues are derived primarily from monthly subscriptions and additional offerings for access to the Company’s Weedmaps platform and our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w:t>
      </w:r>
    </w:p>
    <w:p>
      <w:pPr>
        <w:spacing w:after="0" w:line="16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Substantially all of the Company’s revenue is generated by providing standard listing subscription services and other paid listing subscriptions services, including featured listings, promoted deals, nearby listings and other display advertising to its customers. These arrangements are recognized over-time, generally during a month-to-month subscription period as the products are provided. The Company may also provide services to its customers, including access to the Company’s orders functionality, which are recognized at a point in time, typically when an order for delivery or pickup is submitted.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Deferred revenue primarily consists of billings or payments received in advance of revenue recognition from subscription offerings, as described above, and is recognized as the revenue recognition criteria are met. The prior year deferred revenue balance of $4.3 million was fully recognized in fiscal year 2020, and the current year deferred revenue balance of $5.3 million is expected to be recognized in 2021, which is expected to be within the next year.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Company’s disaggregated net revenue information for the years ended December 31, 2020, 2019 and 2018: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Revenues recognized over time</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101,402,007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143,489,929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155,362,875</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line="216" w:lineRule="exact"/>
              <w:rPr>
                <w:sz w:val="20"/>
                <w:szCs w:val="20"/>
                <w:color w:val="auto"/>
              </w:rPr>
            </w:pPr>
            <w:r>
              <w:rPr>
                <w:rFonts w:ascii="Arial" w:cs="Arial" w:eastAsia="Arial" w:hAnsi="Arial"/>
                <w:sz w:val="16"/>
                <w:szCs w:val="16"/>
                <w:color w:val="auto"/>
              </w:rPr>
              <w:t>Revenues recognized at a point in time</w:t>
            </w:r>
            <w:r>
              <w:rPr>
                <w:rFonts w:ascii="Arial" w:cs="Arial" w:eastAsia="Arial" w:hAnsi="Arial"/>
                <w:sz w:val="25"/>
                <w:szCs w:val="25"/>
                <w:color w:val="auto"/>
                <w:vertAlign w:val="superscript"/>
              </w:rPr>
              <w:t>(2)</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741,550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6,427,887</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101,402,007</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144,231,479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161,790,762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Revenues from listing subscription services, featured listings and other advertising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Revenues from use of orders functionality.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U.S. and foreign revenues for the years ended December 31, 2020,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U.S.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100,670,847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132,076,823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130,373,022</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Foreign revenues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731,160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12,154,656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31,417,740</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101,402,007</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144,231,479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161,790,762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foreign revenues were generated in Canada.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Other than for the Company’s foreign subsidiaries that are subject to their jurisdictions’ income tax laws, the remaining subsidiaries, as well as the holding entity, are not subject to income tax, with the members of the Company including their respective share of the Company’s profits and losses in their individual income tax returns. For the year ended December 31, 2019, the Company recorded a provision for income taxes of approximately $1.3 million, related to estimated taxable income from operations of WM Canada Holdings, Inc., in the accompanying statement of operations. No provision for income taxes was recorded for the year ended December 31, 2020 and 2018.</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income (loss) before income taxes for the years ended December 31, 2020, 2019 and 2018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7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12,010,276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(4,152,308)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38,877,652</w:t>
            </w:r>
          </w:p>
        </w:tc>
        <w:tc>
          <w:tcPr>
            <w:tcW w:w="100" w:type="dxa"/>
            <w:vAlign w:val="bottom"/>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Foreign</w:t>
            </w:r>
          </w:p>
        </w:tc>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669,235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5,097,668</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(47,659)</w:t>
            </w:r>
          </w:p>
        </w:tc>
      </w:tr>
      <w:tr>
        <w:trPr>
          <w:trHeight w:val="257"/>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before provision for income taxes</w:t>
            </w:r>
          </w:p>
        </w:tc>
        <w:tc>
          <w:tcPr>
            <w:tcW w:w="2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12,679,511</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945,360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38,829,993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46"/>
        </w:trPr>
        <w:tc>
          <w:tcPr>
            <w:tcW w:w="4620" w:type="dxa"/>
            <w:vAlign w:val="bottom"/>
          </w:tcPr>
          <w:p>
            <w:pPr>
              <w:spacing w:after="0"/>
              <w:rPr>
                <w:sz w:val="24"/>
                <w:szCs w:val="24"/>
                <w:color w:val="auto"/>
              </w:rPr>
            </w:pPr>
          </w:p>
        </w:tc>
        <w:tc>
          <w:tcPr>
            <w:tcW w:w="2920" w:type="dxa"/>
            <w:vAlign w:val="bottom"/>
            <w:gridSpan w:val="2"/>
          </w:tcPr>
          <w:p>
            <w:pPr>
              <w:jc w:val="right"/>
              <w:ind w:right="1690"/>
              <w:spacing w:after="0"/>
              <w:rPr>
                <w:sz w:val="20"/>
                <w:szCs w:val="20"/>
                <w:color w:val="auto"/>
              </w:rPr>
            </w:pPr>
            <w:r>
              <w:rPr>
                <w:rFonts w:ascii="Arial" w:cs="Arial" w:eastAsia="Arial" w:hAnsi="Arial"/>
                <w:sz w:val="14"/>
                <w:szCs w:val="14"/>
                <w:color w:val="auto"/>
              </w:rPr>
              <w:t>F-10</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45" w:name="page146"/>
    <w:bookmarkEnd w:id="1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While electing Limited Liability Company status, the Company does not believe it has any uncertain income tax positions that are more likely that not to materially affect its consolidated financial statements. The Company’s federal and state income tax returns remain open to agency examination for the standard statutory length of time after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At December 31, 2020 and 2019, the Company did not have any assets or liabilities measured at fair value on a recurring or nonrecurring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cost of revenue primarily consists of web hosting, internet service costs, and credit card processing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225"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expenses the cost of all advertising in the period incurred. Advertising expense totaled $10.6 million, $20.6 million, and $6.6 million, for the years ended December 31, 2020, 2019 and 2018, respectively, and are included in sales and marketing expense in the accompanying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company records interest expense, financing fees, political contributions, legal settlements, gain (loss) on currency exchange, and other tax related expenses in other expenses in the accompanying statement of operations. Total political contributions for the year ended December 31, 2020, 2019 and 2018 was $773,370, $915,250, and $795,275, respectively. The Company expenses the cost of all political contributions in the period incurred. Financing fees totaled $807,474, $3,540,636, and $286,228 for the years ended December 31, 2020, 2019 and 2018, respectively. The large increase in financing fees in 2019 related to legal and other consulting fees the Company incurred while working on multiple financing projects. The Company also incurred $610,539 in sales tax paid by one of the Company’s Canadian subsidiaries in 2019 due to certain sales taxes not collected from customers in the foreign jurisdiction and ultimately paid by the Company. No such cost was incurred in 2020 and 2018. The Company also recorded a gain (loss) from currency exchange of ($729,505), ($34,705) and $7,455 for fiscal years ended December 31, 2020, 2019 and 2018 related to revenue generated in Canada.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measures all employee stock-based compensation awards on the date of grant using the Black-Scholes-Merton valuation model and allocates the related expense over the requisite service period. When awards include a performance condition that impacts the vesting for exercisability of the award, the Company records compensation cost when it becomes probable that the performance condition will be met and the service is provided. The expected volatility is based on the historical volatility and implied volatilities for comparable companies, the expected life of the award is based on the simplified method.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2019 and 2018</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and its subsidiaries operate in one business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Unit</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Earnings per unit amounts are computed independently for earnings per unit from continuing operations, loss per unit from discontinued operations and net earnings per unit. As a result, the sum of per unit amounts from continuing operations and discontinued operations may not equal the total per unit amounts for net earnings.</w:t>
      </w:r>
    </w:p>
    <w:p>
      <w:pPr>
        <w:spacing w:after="0" w:line="18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All Class A Units, including Class A-1, Class A-2, and Class A-3 Units, have been included in the calculations for earnings per unit as of December 31, 2020, 2019 and 2018 primarily due to their voting and distribution rights. Since Class B Units had no voting, distribution, or dividend rights and were subject to exercise limitations, such units have been excluded from the calculations for earnings per unit as of December 31, 2020, 2019 and 2018. No other dilutive instruments were outstanding as of December 31, 2020, 2019, and 2018. See Note 8 for further discussion.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consolidated statements of operations. The new guidance is effective for private companies for annual periods beginning after December 15, 2020, with early adoption permitted. A modified retrospective transition approach is required for lessees for capital and operating leases existing at, or entered into after, the beginning of the earliest comparative period presented in the consolidated financial statements, with certain practical expedients available. The Company has multiple long-term operating leases and is currently in the process of evaluating the impact of the new accounting guidance on its consolidated balance sheets, consolidated statement of income and cash flows.</w:t>
      </w:r>
    </w:p>
    <w:p>
      <w:pPr>
        <w:spacing w:after="0" w:line="16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GAAP when it becomes effective and permits the use of either a full retrospective or retrospective with cumulative effect transition method. The Company used the modified retrospective method of adoption, which would require the cumulative effect of initially applying the new revenue standard as an adjustment to the opening balance of retained earnings on January 1, 2019. Comparative prior year periods would not be adjusted. The new accounting standard was applied to all contracts at the date of initial application. There was no cumulative effect of applying the new revenue standard to contracts executed in prior periods. As such, the adoption of the new accounting standard had no impact on the balance sheet and statement of operations in the current or prior periods.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The ASU simplifies the measurement of goodwill impairment by eliminating the requirement that an entity compute the implied fair value of goodwill based on the fair values of its assets and liabilities to measure impairment. Instead, goodwill impairment will be measured as the difference between the fair value of the reporting unit and the carrying value of the reporting unit. The ASU also clarifies the treatment of the income tax effect of tax deductible goodwill when measuring goodwill impairment loss. The guidance is effective for reporting periods beginning after December 15, 2021. The Company is currently evaluating the impact of the adoption of this guidance on its consolidated financial statements.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3. Property and equipment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500"/>
              <w:spacing w:after="0"/>
              <w:rPr>
                <w:sz w:val="20"/>
                <w:szCs w:val="20"/>
                <w:color w:val="auto"/>
              </w:rPr>
            </w:pPr>
            <w:r>
              <w:rPr>
                <w:rFonts w:ascii="Arial" w:cs="Arial" w:eastAsia="Arial" w:hAnsi="Arial"/>
                <w:sz w:val="18"/>
                <w:szCs w:val="18"/>
                <w:color w:val="auto"/>
              </w:rPr>
              <w:t>Property and equipment consists of the following as of December 31, 2020 and 2019:</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6,585,289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7,117,299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Capitalized software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5,122,650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5,122,650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1,213,132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1,285,880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1,892,172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2,598,566</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14,813,243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16,124,395</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(5,657,718)</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(8,736,975)</w:t>
            </w:r>
          </w:p>
        </w:tc>
      </w:tr>
      <w:tr>
        <w:trPr>
          <w:trHeight w:val="257"/>
        </w:trPr>
        <w:tc>
          <w:tcPr>
            <w:tcW w:w="86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9,155,525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7,387,420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Depreciation and amortization expense for the years ended December 31, 2020, 2019 and 2018 amounted to $3,079,257, $1,776,983, and $1,266,508,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At December 31, 2020 and 2019, the Company held $78,921, and $174,361 of property and equipment, net at its foreign locations, respectively.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4. Intangible assets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500"/>
              <w:spacing w:after="0"/>
              <w:rPr>
                <w:sz w:val="20"/>
                <w:szCs w:val="20"/>
                <w:color w:val="auto"/>
              </w:rPr>
            </w:pPr>
            <w:r>
              <w:rPr>
                <w:rFonts w:ascii="Arial" w:cs="Arial" w:eastAsia="Arial" w:hAnsi="Arial"/>
                <w:sz w:val="18"/>
                <w:szCs w:val="18"/>
                <w:color w:val="auto"/>
              </w:rPr>
              <w:t>Intangible assets consisted of the following as of December 31, 2020 and 2019:</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Trade and domain names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7,255,381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7,255,381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Software technology</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3,468,534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3,468,534</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10,723,915</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10,723,915</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(5,320,959)</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(6,219,507)</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5,402,956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4,504,408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Amortization expense for the years ended December 31, 2020, 2019 and 2018 amounted to $898,548, $3,385,613, and $882,120, respectively. Included in amortization in 2019, is accelerated amortization of $2,479,029 related to intangible assets that the Company initially determined had a useful life of three years. All these intangible assets related to a marketing project that the Company determined will not continue past the end of the fiscal year 2019 and therefore all amortization related to these assets were accelerated and all cost and accumulated amortization written off.</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a result of the Company’s decision to divest its interest in Divested Entities, the results of operations relating to the Divested Entities have been reclassified to discontinued operations in the consolidated statements of operations for all periods presented.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and net loss related to discontinued operations for the years ended December 31, 2020, 2019 and 2018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85,907</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(1,674,738)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8" w:name="page149"/>
    <w:bookmarkEnd w:id="1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38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flow from discontinued operations for the year ended December 31, 2020, 2019 and 2018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(1,670,873</w:t>
            </w:r>
          </w:p>
        </w:tc>
        <w:tc>
          <w:tcPr>
            <w:tcW w:w="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355,536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1,268,121</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payable to members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assumed four notes payable to the two majority members in connection with the purchase of Weedmaps in 2012. Of the four notes assumed with the purchase, three notes were paid off in full in prior periods. As of December 31, 2020 and 2019, the principal balance of the remaining note totaled $205,324, which bears no interest, and is due in June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Members’ equity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authorized the following number of Units which have been designated as follows:</w:t>
      </w:r>
    </w:p>
    <w:p>
      <w:pPr>
        <w:spacing w:after="0" w:line="225"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Class A-1 Units - 821,769 authorized, issued and outstanding at December 31, 2020, 2019 and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Class A-2 Units - 34,264 authorized; 24,058 Class A-2 Units issued and outstanding as of December 31, 2020, 2019, and 2018;</w:t>
      </w:r>
    </w:p>
    <w:p>
      <w:pPr>
        <w:spacing w:after="0" w:line="225"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Class A-3 Units / Class B Units - Class B Units or Class A-3 Units can be issued interchangeably, as determined by the Company’s Board of Managers. 274,822 Units authorized; 53,333 Class A-3 Units and 221,483 Class B Units issued and outstanding as of December 31, 2020. 274,667 Units authorized; 53,333 Class A-3 Units and 210,744 Class B Units issued and outstanding as of December 31, 2019. 274,667 Units authorized; 53,333 Class A-3 Units and 192,038 Class B Units issued and outstanding as of December 31, 2018.</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December 31, 2018, 821,769 Class A-1 Units were authorized, issued and outstanding. On August 15, 2018, the Company’s operating agreement was amended to authorize the subclasses of Class A Units above, and the existing Class A Units prior to such date were designated as Class A-1 Units.</w:t>
      </w:r>
    </w:p>
    <w:p>
      <w:pPr>
        <w:spacing w:after="0" w:line="18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2014, the Company adopted the 2014 WM Holding Company Equity Incentive Plan (the “Original Equity Plan”) to allow for the issuance of Class B Units to employees, consultants, and other service providers. The Original Equity Plan was amended and restated in October 2015 and May 2018 to, among other things, increase the number of Units available for issuance under the Original Equity Plan, as amended. On August 15, 2018, the Company entered into the Third Amended and Restated Equity Incentive Plan, which allows the Company to grant profits interest in the form of both Class B Units and Class A-3 Units and further increases the Units available for issuance under the Original Equity Plan, as amended. The Third Amended and Restated Equity Incentive Plan was further revised in 2020 to increase the number of Units available for issuance.</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Class A Units are voting and all profits, losses and distributions are allocated in accordance with the terms set forth in the operating agreement of WM Holding Company, LLC.</w:t>
      </w:r>
    </w:p>
    <w:p>
      <w:pPr>
        <w:spacing w:after="0" w:line="1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On various dates throughout 2018, starting on August 15, 2018, the Company issued and sold 24,058 newly designated Class A-2 Units to a group of third-party investors for a total consideration of $17.6 million.</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Class B Units are nonvoting, do not receive an income allocation or distributions, but will share in the sale proceeds in the event of a change of control transaction or be converted to common stock in the event of an initial public offering (a “Triggering Event”). Once vested, the Class A-3 and Class B Units do not expire and holders are not required to be employed by the Company at the time of a Triggering Event to share in the proceeds of a transaction.</w:t>
      </w:r>
    </w:p>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Such Class A-3 and Class B Units are treated as profits interests under the Internal Revenue Code and are therefore subject to distribution hurdles before they participate in distributions from Triggering Events.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Members’ equity (continued)</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issuances of Class A-3 and Class B Units during the years ended December 31, 2020, 2019 and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2017</w:t>
            </w: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252,241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44,125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Repurchase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(12,391)</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Cancellations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(38,604)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2018</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245,371</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25,990</w:t>
            </w: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(7,284)</w:t>
            </w:r>
          </w:p>
        </w:tc>
      </w:tr>
      <w:tr>
        <w:trPr>
          <w:trHeight w:val="223"/>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Outstanding at December 31, 2019</w:t>
            </w:r>
          </w:p>
        </w:tc>
        <w:tc>
          <w:tcPr>
            <w:tcW w:w="1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264,077</w:t>
            </w:r>
          </w:p>
        </w:tc>
        <w:tc>
          <w:tcPr>
            <w:tcW w:w="2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14,250</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Repurchase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(1,900)</w:t>
            </w: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(1,611)</w:t>
            </w:r>
          </w:p>
        </w:tc>
      </w:tr>
      <w:tr>
        <w:trPr>
          <w:trHeight w:val="216"/>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Outstanding at December 31, 2020</w:t>
            </w: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274,816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as of December 31, 2019</w:t>
            </w: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207,398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Vested as of December 31, 2020</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234,114</w:t>
            </w:r>
          </w:p>
        </w:tc>
        <w:tc>
          <w:tcPr>
            <w:tcW w:w="100" w:type="dxa"/>
            <w:vAlign w:val="bottom"/>
            <w:gridSpan w:val="2"/>
          </w:tcPr>
          <w:p>
            <w:pPr>
              <w:spacing w:after="0"/>
              <w:rPr>
                <w:sz w:val="18"/>
                <w:szCs w:val="18"/>
                <w:color w:val="auto"/>
              </w:rPr>
            </w:pPr>
          </w:p>
        </w:tc>
      </w:tr>
      <w:tr>
        <w:trPr>
          <w:trHeight w:val="21"/>
        </w:trPr>
        <w:tc>
          <w:tcPr>
            <w:tcW w:w="710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26"/>
        </w:trPr>
        <w:tc>
          <w:tcPr>
            <w:tcW w:w="11240" w:type="dxa"/>
            <w:vAlign w:val="bottom"/>
            <w:gridSpan w:val="12"/>
          </w:tcPr>
          <w:p>
            <w:pPr>
              <w:ind w:left="500"/>
              <w:spacing w:after="0"/>
              <w:rPr>
                <w:sz w:val="20"/>
                <w:szCs w:val="20"/>
                <w:color w:val="auto"/>
              </w:rPr>
            </w:pPr>
            <w:r>
              <w:rPr>
                <w:rFonts w:ascii="Arial" w:cs="Arial" w:eastAsia="Arial" w:hAnsi="Arial"/>
                <w:sz w:val="18"/>
                <w:szCs w:val="18"/>
                <w:color w:val="auto"/>
                <w:w w:val="98"/>
              </w:rPr>
              <w:t>The following presents a summary of unvested Class A-3 and Class B Units during the years ended December 31, 2020, 2019 and 2018:</w:t>
            </w:r>
          </w:p>
        </w:tc>
      </w:tr>
      <w:tr>
        <w:trPr>
          <w:trHeight w:val="439"/>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ind w:left="360"/>
              <w:spacing w:after="0"/>
              <w:rPr>
                <w:sz w:val="20"/>
                <w:szCs w:val="20"/>
                <w:color w:val="auto"/>
              </w:rPr>
            </w:pPr>
            <w:r>
              <w:rPr>
                <w:rFonts w:ascii="Arial" w:cs="Arial" w:eastAsia="Arial" w:hAnsi="Arial"/>
                <w:sz w:val="18"/>
                <w:szCs w:val="18"/>
                <w:b w:val="1"/>
                <w:bCs w:val="1"/>
                <w:color w:val="auto"/>
              </w:rPr>
              <w:t>Weighted - Average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5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5"/>
              </w:rPr>
              <w:t>Grant Date</w:t>
            </w: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240"/>
              <w:spacing w:after="0" w:line="198" w:lineRule="exact"/>
              <w:rPr>
                <w:sz w:val="20"/>
                <w:szCs w:val="20"/>
                <w:color w:val="auto"/>
              </w:rPr>
            </w:pPr>
            <w:r>
              <w:rPr>
                <w:rFonts w:ascii="Arial" w:cs="Arial" w:eastAsia="Arial" w:hAnsi="Arial"/>
                <w:sz w:val="18"/>
                <w:szCs w:val="18"/>
                <w:b w:val="1"/>
                <w:bCs w:val="1"/>
                <w:color w:val="auto"/>
                <w:w w:val="91"/>
              </w:rPr>
              <w:t>Remaining</w:t>
            </w:r>
          </w:p>
        </w:tc>
      </w:tr>
      <w:tr>
        <w:trPr>
          <w:trHeight w:val="241"/>
        </w:trPr>
        <w:tc>
          <w:tcPr>
            <w:tcW w:w="5980" w:type="dxa"/>
            <w:vAlign w:val="bottom"/>
          </w:tcPr>
          <w:p>
            <w:pPr>
              <w:spacing w:after="0"/>
              <w:rPr>
                <w:sz w:val="20"/>
                <w:szCs w:val="20"/>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Fair Value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Years to Vest</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9"/>
              </w:rPr>
              <w:t>Unrecognized</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December 31, 2018</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62,024</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236.37</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12,215,953</w:t>
            </w:r>
          </w:p>
        </w:tc>
        <w:tc>
          <w:tcPr>
            <w:tcW w:w="100" w:type="dxa"/>
            <w:vAlign w:val="bottom"/>
            <w:tcBorders>
              <w:bottom w:val="single" w:sz="8" w:color="CCEEFF"/>
            </w:tcBorders>
            <w:gridSpan w:val="2"/>
            <w:shd w:val="clear" w:color="auto" w:fill="CCEEFF"/>
          </w:tcPr>
          <w:p>
            <w:pPr>
              <w:spacing w:after="0"/>
              <w:rPr>
                <w:sz w:val="22"/>
                <w:szCs w:val="22"/>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25,990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531.80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(24,051)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231.74</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Cancelled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(7,284)</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238.87</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December 31, 2019</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56,679</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373.47</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18,682,331</w:t>
            </w:r>
          </w:p>
        </w:tc>
        <w:tc>
          <w:tcPr>
            <w:tcW w:w="100" w:type="dxa"/>
            <w:vAlign w:val="bottom"/>
            <w:tcBorders>
              <w:bottom w:val="single" w:sz="8" w:color="CCEEFF"/>
            </w:tcBorders>
            <w:gridSpan w:val="2"/>
            <w:shd w:val="clear" w:color="auto" w:fill="CCEEFF"/>
          </w:tcPr>
          <w:p>
            <w:pPr>
              <w:spacing w:after="0"/>
              <w:rPr>
                <w:sz w:val="22"/>
                <w:szCs w:val="22"/>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14,250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724.28</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(28,616)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359.45</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Cancelled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450.83</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40,702</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518.13</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22,474,033</w:t>
            </w:r>
          </w:p>
        </w:tc>
        <w:tc>
          <w:tcPr>
            <w:tcW w:w="100" w:type="dxa"/>
            <w:vAlign w:val="bottom"/>
            <w:tcBorders>
              <w:bottom w:val="single" w:sz="8" w:color="CCEEFF"/>
            </w:tcBorders>
            <w:gridSpan w:val="2"/>
            <w:shd w:val="clear" w:color="auto" w:fill="CCEEFF"/>
          </w:tcPr>
          <w:p>
            <w:pPr>
              <w:spacing w:after="0"/>
              <w:rPr>
                <w:sz w:val="22"/>
                <w:szCs w:val="22"/>
                <w:color w:val="auto"/>
              </w:rPr>
            </w:pP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has accounted for the issuance of Class A-3 and Class B Units in accordance with ASC 718, Stock Based Compensation. The Company considers the limitation on the exercisability of the Class A-3 and Class B Units to be a performance condition and, therefore, records compensation cost when it becomes probable that the performance condition will be met. As of December 31, 2020, and 2019, no compensation cost has been recorded in connection with the issuance of the Class A-3 and Class B Units as management did not believe that achievement of the performance condition was probable.</w:t>
      </w:r>
    </w:p>
    <w:p>
      <w:pPr>
        <w:spacing w:after="0" w:line="18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 measures all employee stock-based compensation awards on the date of grant using the Black-Scholes-Merton valuation model and allocates the related expense over the requisite service period (generally the vesting period of the equity award) which is typically four years. When awards include a performance condition that impacts the vesting or exercisability of the award, the Company records compensation cost when it becomes probable that the performance condition will be met and the service is provided. The expected volatility is based on the historical volatility and implied volatilities for comparable companies, the expected life of the award is based on the simplified method.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Members’ equity (continued)</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fair value of Class A-3 and B-Units granted were estimated on their respective grant dates using the Black-Scholes-Merton option pricing model and the following assumptions for the years ended December 31, 2020, 2019 and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6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70%</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- 70%</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Risk - free interest rate</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2.65% - 2.90%</w:t>
            </w:r>
          </w:p>
        </w:tc>
        <w:tc>
          <w:tcPr>
            <w:tcW w:w="1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1.68% - 2.49%</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0.21%</w:t>
            </w:r>
          </w:p>
        </w:tc>
        <w:tc>
          <w:tcPr>
            <w:tcW w:w="800" w:type="dxa"/>
            <w:vAlign w:val="bottom"/>
          </w:tcPr>
          <w:p>
            <w:pPr>
              <w:ind w:left="20"/>
              <w:spacing w:after="0"/>
              <w:rPr>
                <w:sz w:val="20"/>
                <w:szCs w:val="20"/>
                <w:color w:val="auto"/>
              </w:rPr>
            </w:pPr>
            <w:r>
              <w:rPr>
                <w:rFonts w:ascii="Arial" w:cs="Arial" w:eastAsia="Arial" w:hAnsi="Arial"/>
                <w:sz w:val="18"/>
                <w:szCs w:val="18"/>
                <w:color w:val="auto"/>
              </w:rPr>
              <w:t>- 0.29%</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0.00%</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Expected life of option (in years)</w:t>
            </w:r>
          </w:p>
        </w:tc>
        <w:tc>
          <w:tcPr>
            <w:tcW w:w="1640" w:type="dxa"/>
            <w:vAlign w:val="bottom"/>
            <w:gridSpan w:val="2"/>
          </w:tcPr>
          <w:p>
            <w:pPr>
              <w:ind w:left="500"/>
              <w:spacing w:after="0"/>
              <w:rPr>
                <w:sz w:val="20"/>
                <w:szCs w:val="20"/>
                <w:color w:val="auto"/>
              </w:rPr>
            </w:pPr>
            <w:r>
              <w:rPr>
                <w:rFonts w:ascii="Arial" w:cs="Arial" w:eastAsia="Arial" w:hAnsi="Arial"/>
                <w:sz w:val="18"/>
                <w:szCs w:val="18"/>
                <w:color w:val="auto"/>
              </w:rPr>
              <w:t>4 years</w:t>
            </w: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rPr>
              <w:t>4 years</w:t>
            </w:r>
          </w:p>
        </w:tc>
        <w:tc>
          <w:tcPr>
            <w:tcW w:w="1520" w:type="dxa"/>
            <w:vAlign w:val="bottom"/>
            <w:gridSpan w:val="2"/>
          </w:tcPr>
          <w:p>
            <w:pPr>
              <w:ind w:left="500"/>
              <w:spacing w:after="0"/>
              <w:rPr>
                <w:sz w:val="20"/>
                <w:szCs w:val="20"/>
                <w:color w:val="auto"/>
              </w:rPr>
            </w:pPr>
            <w:r>
              <w:rPr>
                <w:rFonts w:ascii="Arial" w:cs="Arial" w:eastAsia="Arial" w:hAnsi="Arial"/>
                <w:sz w:val="18"/>
                <w:szCs w:val="18"/>
                <w:color w:val="auto"/>
              </w:rPr>
              <w:t>4 years</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Weighted - average fair value of common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$305.35</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$531.80</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$724.28</w:t>
            </w:r>
          </w:p>
        </w:tc>
      </w:tr>
    </w:tbl>
    <w:p>
      <w:pPr>
        <w:spacing w:after="0" w:line="20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total cumulative amount of compensation cost that would have been recognized had all performance conditions been met is $12.0 million as of December 31, 2020. As a limited liability company, each member’s liability is limited to the capital invested. Should the Company consummate the business combination with Silver Spike Acquisition Corp. and become a publicly traded entity, the limitations on the exercisability of the Class A-3 an B units will be removed and all performance obligations would have been met, resulting in the recognition of all cumulative compensation cost. The Company has an unlimited life subject to consents to dissolve the Company by a majority of the Company’s members.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Company leases space in Irvine, California; Los Angeles, California; Denver, Colorado; New York, New York; Ontario, Canada; and Barcelona, Spain. Minimum lease obligations under noncancelable operating leases, which expire at various dates through the year ended 2031,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8,225,436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9,605,487</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9,897,648</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9,405,482</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 and beyond</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35,561,951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20" w:type="dxa"/>
            <w:vAlign w:val="bottom"/>
            <w:gridSpan w:val="2"/>
          </w:tcPr>
          <w:p>
            <w:pPr>
              <w:ind w:left="100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72,696,004</w:t>
            </w:r>
          </w:p>
        </w:tc>
        <w:tc>
          <w:tcPr>
            <w:tcW w:w="10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Rent expense for the years ended December 31, 2020, 2019 and 2018 amounted to $11.1 million, $5.6 million, and $4.1 million, respectively, and is included in general and administrative expense in the accompanying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46"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September 2019, the Company received a grand jury subpoena prepared by the United States Attorney’s Office for the Eastern District of California. The subpoena demanded certain categories of information from the Company, some of which the Company has already provided. Management believes that the outcome of such inquiry will not have a material adverse impact of the Company’s financial position, results of operations, or cash flow.</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2019 and 2018</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evaluated events subsequent to December 31, 2020 for their potential impact on the consolidated financial statements and disclosures through March 9, 2021, the date the consolidated financial statements were available to be issued.</w:t>
      </w:r>
    </w:p>
    <w:p>
      <w:pPr>
        <w:spacing w:after="0" w:line="170"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With respect to the ongoing and evolving coronavirus (COVID-19) outbreak, which was designated as a pandemic by the World Health Organization on March 11, 2020, the outbreak has caused substantial disruption in international and U.S. economies and markets. The outbreak has potential to have an adverse impact on the manufacturing, distribution, logistics, and technology industries and, if repercussions of the outbreak are prolonged, could have a significant adverse impact on the cannabis industry and the Company, which could be material. The Company’s management cannot at this point estimate the impact of the outbreak on its business and no provision for this outbreak are reflected in the accompanying financial statements.</w:t>
      </w:r>
    </w:p>
    <w:p>
      <w:pPr>
        <w:spacing w:after="0" w:line="16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December 10, 2020, the Company announced an agreement for a business combination with Silver Spike Acquisition Corp., a publicly traded special purpose acquisition company, that would result in the Company becoming a publicly traded entity following the close of the transaction. The estimated gross proceeds of the transaction are $575 million made up of $250 million of cash held-in-trust by Silver Spike Acquisition Corp. and an additional $325 million of fully committed common stock from a private investment in public equity. The transaction is estimated to close in the second quarter of fiscal year 2021.</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rPr>
              <w:t>WM TECHNOLOGY,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89"/>
              </w:rPr>
              <w:t>(In thousands, except for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19,919</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9,428</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106,057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34,167</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7,387</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3,961</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4,505</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Right-of-use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6,787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3,874</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362,624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23,881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12,651</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5,129</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Notes payable to members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23,249</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Tax receivable agreement liability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126,150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315,209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Commitments and contingencies (Note 4)</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equity/Members’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0"/>
              </w:rPr>
              <w:t>Preferred Stock - $0.0001 par value; 75,000,000 shares authorized; no shares issued and outstanding at September 30,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2021 and December 31, 2020</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Class A Common Stock - $0.0001 par value; 1,500,000,000 shares authorized; 65,677,361 shares issued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2021 and no shares issued and outstanding at December 31, 2020</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rPr>
              <w:t>Class V Common Stock - $0.0001 par value; 500,000,000 shares authorized, 65,502,347 shares issued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outstanding at September 30, 2021 and no shares issued and outstanding at December 31, 2020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WM Technology, Inc. stockholders’ equity</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29,271</w:t>
            </w:r>
          </w:p>
        </w:tc>
      </w:tr>
      <w:tr>
        <w:trPr>
          <w:trHeight w:val="223"/>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equity</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47,415</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29,271</w:t>
            </w:r>
          </w:p>
        </w:tc>
        <w:tc>
          <w:tcPr>
            <w:tcW w:w="100" w:type="dxa"/>
            <w:vAlign w:val="bottom"/>
            <w:tcBorders>
              <w:top w:val="single" w:sz="8" w:color="CCEEFF"/>
            </w:tcBorders>
          </w:tcPr>
          <w:p>
            <w:pPr>
              <w:spacing w:after="0"/>
              <w:rPr>
                <w:sz w:val="19"/>
                <w:szCs w:val="19"/>
                <w:color w:val="auto"/>
              </w:rPr>
            </w:pP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equity/members’ equity</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362,624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3" w:name="page154"/>
    <w:bookmarkEnd w:id="1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40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4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117,470</w:t>
            </w: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Cost of revenues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2,109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5,800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5,572</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7,384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37,194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21,437</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Product development</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6,923</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25,921</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20,325</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12,906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70,356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37,147</w:t>
            </w: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2,970</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2,980</w:t>
            </w:r>
          </w:p>
        </w:tc>
      </w:tr>
      <w:tr>
        <w:trPr>
          <w:trHeight w:val="223"/>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30,313</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142,241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87,461</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16,192</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(3,272)</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30,009</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45,837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83,628</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w:t>
            </w:r>
          </w:p>
        </w:tc>
      </w:tr>
      <w:tr>
        <w:trPr>
          <w:trHeight w:val="27"/>
        </w:trPr>
        <w:tc>
          <w:tcPr>
            <w:tcW w:w="47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15,530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74,015</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28,732</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15,530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73,773</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28,732</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48,675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income attributable to WM Technology, Inc.</w:t>
            </w:r>
          </w:p>
        </w:tc>
        <w:tc>
          <w:tcPr>
            <w:tcW w:w="1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20,835</w:t>
            </w:r>
          </w:p>
        </w:tc>
        <w:tc>
          <w:tcPr>
            <w:tcW w:w="140" w:type="dxa"/>
            <w:vAlign w:val="bottom"/>
          </w:tcPr>
          <w:p>
            <w:pPr>
              <w:spacing w:after="0"/>
              <w:rPr>
                <w:sz w:val="18"/>
                <w:szCs w:val="18"/>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15,530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25,098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28,732</w:t>
            </w:r>
          </w:p>
        </w:tc>
      </w:tr>
      <w:tr>
        <w:trPr>
          <w:trHeight w:val="21"/>
        </w:trPr>
        <w:tc>
          <w:tcPr>
            <w:tcW w:w="4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7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Class A Common Stock:</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1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 xml:space="preserve">N/A </w:t>
            </w:r>
            <w:r>
              <w:rPr>
                <w:rFonts w:ascii="Arial" w:cs="Arial" w:eastAsia="Arial" w:hAnsi="Arial"/>
                <w:sz w:val="14"/>
                <w:szCs w:val="14"/>
                <w:color w:val="auto"/>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line="216" w:lineRule="exact"/>
              <w:rPr>
                <w:sz w:val="20"/>
                <w:szCs w:val="20"/>
                <w:color w:val="auto"/>
              </w:rPr>
            </w:pPr>
            <w:r>
              <w:rPr>
                <w:rFonts w:ascii="Arial" w:cs="Arial" w:eastAsia="Arial" w:hAnsi="Arial"/>
                <w:sz w:val="16"/>
                <w:szCs w:val="16"/>
                <w:color w:val="auto"/>
              </w:rPr>
              <w:t xml:space="preserve">N/A </w:t>
            </w:r>
            <w:r>
              <w:rPr>
                <w:rFonts w:ascii="Arial" w:cs="Arial" w:eastAsia="Arial" w:hAnsi="Arial"/>
                <w:sz w:val="25"/>
                <w:szCs w:val="25"/>
                <w:color w:val="auto"/>
                <w:vertAlign w:val="superscript"/>
              </w:rPr>
              <w:t>1</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Diluted income (loss) per share</w:t>
            </w:r>
          </w:p>
        </w:tc>
        <w:tc>
          <w:tcPr>
            <w:tcW w:w="1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580"/>
              <w:spacing w:after="0" w:line="216" w:lineRule="exact"/>
              <w:rPr>
                <w:sz w:val="20"/>
                <w:szCs w:val="20"/>
                <w:color w:val="auto"/>
              </w:rPr>
            </w:pPr>
            <w:r>
              <w:rPr>
                <w:rFonts w:ascii="Arial" w:cs="Arial" w:eastAsia="Arial" w:hAnsi="Arial"/>
                <w:sz w:val="16"/>
                <w:szCs w:val="16"/>
                <w:color w:val="auto"/>
              </w:rPr>
              <w:t xml:space="preserve">N/A </w:t>
            </w:r>
            <w:r>
              <w:rPr>
                <w:rFonts w:ascii="Arial" w:cs="Arial" w:eastAsia="Arial" w:hAnsi="Arial"/>
                <w:sz w:val="25"/>
                <w:szCs w:val="25"/>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line="216" w:lineRule="exact"/>
              <w:rPr>
                <w:sz w:val="20"/>
                <w:szCs w:val="20"/>
                <w:color w:val="auto"/>
              </w:rPr>
            </w:pPr>
            <w:r>
              <w:rPr>
                <w:rFonts w:ascii="Arial" w:cs="Arial" w:eastAsia="Arial" w:hAnsi="Arial"/>
                <w:sz w:val="16"/>
                <w:szCs w:val="16"/>
                <w:color w:val="auto"/>
              </w:rPr>
              <w:t xml:space="preserve">N/A </w:t>
            </w:r>
            <w:r>
              <w:rPr>
                <w:rFonts w:ascii="Arial" w:cs="Arial" w:eastAsia="Arial" w:hAnsi="Arial"/>
                <w:sz w:val="25"/>
                <w:szCs w:val="25"/>
                <w:color w:val="auto"/>
                <w:vertAlign w:val="superscript"/>
              </w:rPr>
              <w:t>1</w:t>
            </w:r>
          </w:p>
        </w:tc>
      </w:tr>
      <w:tr>
        <w:trPr>
          <w:trHeight w:val="216"/>
        </w:trPr>
        <w:tc>
          <w:tcPr>
            <w:tcW w:w="47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Class A Common Stock:</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shares outstanding</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64,216,732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80"/>
              <w:spacing w:after="0" w:line="216" w:lineRule="exact"/>
              <w:rPr>
                <w:sz w:val="20"/>
                <w:szCs w:val="20"/>
                <w:color w:val="auto"/>
              </w:rPr>
            </w:pPr>
            <w:r>
              <w:rPr>
                <w:rFonts w:ascii="Arial" w:cs="Arial" w:eastAsia="Arial" w:hAnsi="Arial"/>
                <w:sz w:val="16"/>
                <w:szCs w:val="16"/>
                <w:color w:val="auto"/>
              </w:rPr>
              <w:t xml:space="preserve">N/A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64,149,699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line="216" w:lineRule="exact"/>
              <w:rPr>
                <w:sz w:val="20"/>
                <w:szCs w:val="20"/>
                <w:color w:val="auto"/>
              </w:rPr>
            </w:pPr>
            <w:r>
              <w:rPr>
                <w:rFonts w:ascii="Arial" w:cs="Arial" w:eastAsia="Arial" w:hAnsi="Arial"/>
                <w:sz w:val="16"/>
                <w:szCs w:val="16"/>
                <w:color w:val="auto"/>
              </w:rPr>
              <w:t xml:space="preserve">N/A </w:t>
            </w:r>
            <w:r>
              <w:rPr>
                <w:rFonts w:ascii="Arial" w:cs="Arial" w:eastAsia="Arial" w:hAnsi="Arial"/>
                <w:sz w:val="25"/>
                <w:szCs w:val="25"/>
                <w:color w:val="auto"/>
                <w:vertAlign w:val="superscript"/>
              </w:rPr>
              <w:t>1</w:t>
            </w: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Weighted average diluted shares outstanding</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w w:val="99"/>
              </w:rPr>
              <w:t>68,304,372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580"/>
              <w:spacing w:after="0" w:line="201" w:lineRule="exact"/>
              <w:rPr>
                <w:sz w:val="20"/>
                <w:szCs w:val="20"/>
                <w:color w:val="auto"/>
              </w:rPr>
            </w:pPr>
            <w:r>
              <w:rPr>
                <w:rFonts w:ascii="Arial" w:cs="Arial" w:eastAsia="Arial" w:hAnsi="Arial"/>
                <w:sz w:val="15"/>
                <w:szCs w:val="15"/>
                <w:color w:val="auto"/>
              </w:rPr>
              <w:t xml:space="preserve">N/A </w:t>
            </w:r>
            <w:r>
              <w:rPr>
                <w:rFonts w:ascii="Arial" w:cs="Arial" w:eastAsia="Arial" w:hAnsi="Arial"/>
                <w:sz w:val="23"/>
                <w:szCs w:val="23"/>
                <w:color w:val="auto"/>
                <w:vertAlign w:val="superscript"/>
              </w:rPr>
              <w:t>1</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w w:val="99"/>
              </w:rPr>
              <w:t>69,950,141</w:t>
            </w:r>
          </w:p>
        </w:tc>
        <w:tc>
          <w:tcPr>
            <w:tcW w:w="220" w:type="dxa"/>
            <w:vAlign w:val="bottom"/>
          </w:tcPr>
          <w:p>
            <w:pPr>
              <w:spacing w:after="0"/>
              <w:rPr>
                <w:sz w:val="17"/>
                <w:szCs w:val="17"/>
                <w:color w:val="auto"/>
              </w:rPr>
            </w:pPr>
          </w:p>
        </w:tc>
        <w:tc>
          <w:tcPr>
            <w:tcW w:w="1040" w:type="dxa"/>
            <w:vAlign w:val="bottom"/>
            <w:gridSpan w:val="2"/>
          </w:tcPr>
          <w:p>
            <w:pPr>
              <w:jc w:val="right"/>
              <w:ind w:right="40"/>
              <w:spacing w:after="0" w:line="201" w:lineRule="exact"/>
              <w:rPr>
                <w:sz w:val="20"/>
                <w:szCs w:val="20"/>
                <w:color w:val="auto"/>
              </w:rPr>
            </w:pPr>
            <w:r>
              <w:rPr>
                <w:rFonts w:ascii="Arial" w:cs="Arial" w:eastAsia="Arial" w:hAnsi="Arial"/>
                <w:sz w:val="15"/>
                <w:szCs w:val="15"/>
                <w:color w:val="auto"/>
              </w:rPr>
              <w:t xml:space="preserve">N/A </w:t>
            </w:r>
            <w:r>
              <w:rPr>
                <w:rFonts w:ascii="Arial" w:cs="Arial" w:eastAsia="Arial" w:hAnsi="Arial"/>
                <w:sz w:val="23"/>
                <w:szCs w:val="23"/>
                <w:color w:val="auto"/>
                <w:vertAlign w:val="superscript"/>
              </w:rPr>
              <w:t>1</w:t>
            </w:r>
          </w:p>
        </w:tc>
      </w:tr>
      <w:tr>
        <w:trPr>
          <w:trHeight w:val="230"/>
        </w:trPr>
        <w:tc>
          <w:tcPr>
            <w:tcW w:w="4780" w:type="dxa"/>
            <w:vAlign w:val="bottom"/>
          </w:tcPr>
          <w:p>
            <w:pPr>
              <w:ind w:left="60"/>
              <w:spacing w:after="0"/>
              <w:rPr>
                <w:sz w:val="20"/>
                <w:szCs w:val="20"/>
                <w:color w:val="auto"/>
              </w:rPr>
            </w:pPr>
            <w:r>
              <w:rPr>
                <w:rFonts w:ascii="Arial" w:cs="Arial" w:eastAsia="Arial" w:hAnsi="Arial"/>
                <w:sz w:val="18"/>
                <w:szCs w:val="18"/>
                <w:color w:val="auto"/>
              </w:rPr>
              <w:t>__________________</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jc w:val="both"/>
        <w:ind w:left="340" w:hanging="332"/>
        <w:spacing w:after="0" w:line="253"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Prior to the Business Combination,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 (Note 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61"/>
        </w:trPr>
        <w:tc>
          <w:tcPr>
            <w:tcW w:w="17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gridSpan w:val="23"/>
          </w:tcPr>
          <w:p>
            <w:pPr>
              <w:jc w:val="center"/>
              <w:ind w:right="880"/>
              <w:spacing w:after="0"/>
              <w:rPr>
                <w:sz w:val="20"/>
                <w:szCs w:val="20"/>
                <w:color w:val="auto"/>
              </w:rPr>
            </w:pPr>
            <w:r>
              <w:rPr>
                <w:rFonts w:ascii="Arial" w:cs="Arial" w:eastAsia="Arial" w:hAnsi="Arial"/>
                <w:sz w:val="18"/>
                <w:szCs w:val="18"/>
                <w:b w:val="1"/>
                <w:bCs w:val="1"/>
                <w:color w:val="auto"/>
              </w:rPr>
              <w:t>WM TECHNOLOGY, INC. AND SUBSIDIARIES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40" w:type="dxa"/>
            <w:vAlign w:val="bottom"/>
            <w:gridSpan w:val="27"/>
          </w:tcPr>
          <w:p>
            <w:pPr>
              <w:jc w:val="center"/>
              <w:ind w:right="180"/>
              <w:spacing w:after="0"/>
              <w:rPr>
                <w:sz w:val="20"/>
                <w:szCs w:val="20"/>
                <w:color w:val="auto"/>
              </w:rPr>
            </w:pPr>
            <w:r>
              <w:rPr>
                <w:rFonts w:ascii="Arial" w:cs="Arial" w:eastAsia="Arial" w:hAnsi="Arial"/>
                <w:sz w:val="18"/>
                <w:szCs w:val="18"/>
                <w:b w:val="1"/>
                <w:bCs w:val="1"/>
                <w:color w:val="auto"/>
                <w:w w:val="99"/>
              </w:rPr>
              <w:t>CONDENSED CONSOLIDATED STATEMENTS OF EQUITY</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8"/>
          </w:tcPr>
          <w:p>
            <w:pPr>
              <w:jc w:val="center"/>
              <w:ind w:left="150"/>
              <w:spacing w:after="0"/>
              <w:rPr>
                <w:sz w:val="20"/>
                <w:szCs w:val="20"/>
                <w:color w:val="auto"/>
              </w:rPr>
            </w:pPr>
            <w:r>
              <w:rPr>
                <w:rFonts w:ascii="Arial" w:cs="Arial" w:eastAsia="Arial" w:hAnsi="Arial"/>
                <w:sz w:val="18"/>
                <w:szCs w:val="18"/>
                <w:b w:val="1"/>
                <w:bCs w:val="1"/>
                <w:color w:val="auto"/>
                <w:w w:val="90"/>
              </w:rPr>
              <w:t>(In thousands)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0"/>
          </w:tcPr>
          <w:p>
            <w:pPr>
              <w:spacing w:after="0"/>
              <w:rPr>
                <w:sz w:val="20"/>
                <w:szCs w:val="20"/>
                <w:color w:val="auto"/>
              </w:rPr>
            </w:pPr>
            <w:r>
              <w:rPr>
                <w:rFonts w:ascii="Arial" w:cs="Arial" w:eastAsia="Arial" w:hAnsi="Arial"/>
                <w:sz w:val="18"/>
                <w:szCs w:val="18"/>
                <w:b w:val="1"/>
                <w:bCs w:val="1"/>
                <w:color w:val="auto"/>
                <w:w w:val="91"/>
              </w:rPr>
              <w:t>Three and Nine Months Ended September 30, 2021</w:t>
            </w: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7"/>
            <w:vMerge w:val="restart"/>
          </w:tcPr>
          <w:p>
            <w:pPr>
              <w:jc w:val="center"/>
              <w:ind w:right="320"/>
              <w:spacing w:after="0"/>
              <w:rPr>
                <w:sz w:val="20"/>
                <w:szCs w:val="20"/>
                <w:color w:val="auto"/>
              </w:rPr>
            </w:pPr>
            <w:r>
              <w:rPr>
                <w:rFonts w:ascii="Arial" w:cs="Arial" w:eastAsia="Arial" w:hAnsi="Arial"/>
                <w:sz w:val="18"/>
                <w:szCs w:val="18"/>
                <w:b w:val="1"/>
                <w:bCs w:val="1"/>
                <w:color w:val="auto"/>
                <w:w w:val="90"/>
              </w:rPr>
              <w:t>Common Stock</w:t>
            </w:r>
          </w:p>
        </w:tc>
        <w:tc>
          <w:tcPr>
            <w:tcW w:w="120" w:type="dxa"/>
            <w:vAlign w:val="bottom"/>
          </w:tcPr>
          <w:p>
            <w:pPr>
              <w:spacing w:after="0"/>
              <w:rPr>
                <w:sz w:val="17"/>
                <w:szCs w:val="17"/>
                <w:color w:val="auto"/>
              </w:rPr>
            </w:pPr>
          </w:p>
        </w:tc>
        <w:tc>
          <w:tcPr>
            <w:tcW w:w="1620" w:type="dxa"/>
            <w:vAlign w:val="bottom"/>
            <w:gridSpan w:val="8"/>
            <w:vMerge w:val="restart"/>
          </w:tcPr>
          <w:p>
            <w:pPr>
              <w:jc w:val="center"/>
              <w:ind w:right="240"/>
              <w:spacing w:after="0"/>
              <w:rPr>
                <w:sz w:val="20"/>
                <w:szCs w:val="20"/>
                <w:color w:val="auto"/>
              </w:rPr>
            </w:pPr>
            <w:r>
              <w:rPr>
                <w:rFonts w:ascii="Arial" w:cs="Arial" w:eastAsia="Arial" w:hAnsi="Arial"/>
                <w:sz w:val="18"/>
                <w:szCs w:val="18"/>
                <w:b w:val="1"/>
                <w:bCs w:val="1"/>
                <w:color w:val="auto"/>
                <w:w w:val="89"/>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300"/>
              <w:spacing w:after="0" w:line="198" w:lineRule="exact"/>
              <w:rPr>
                <w:sz w:val="20"/>
                <w:szCs w:val="20"/>
                <w:color w:val="auto"/>
              </w:rPr>
            </w:pPr>
            <w:r>
              <w:rPr>
                <w:rFonts w:ascii="Arial" w:cs="Arial" w:eastAsia="Arial" w:hAnsi="Arial"/>
                <w:sz w:val="18"/>
                <w:szCs w:val="18"/>
                <w:b w:val="1"/>
                <w:bCs w:val="1"/>
                <w:color w:val="auto"/>
                <w:w w:val="97"/>
              </w:rPr>
              <w:t>Total WM</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10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gridSpan w:val="7"/>
            <w:vMerge w:val="continue"/>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jc w:val="right"/>
              <w:ind w:right="260"/>
              <w:spacing w:after="0"/>
              <w:rPr>
                <w:sz w:val="20"/>
                <w:szCs w:val="20"/>
                <w:color w:val="auto"/>
              </w:rPr>
            </w:pPr>
            <w:r>
              <w:rPr>
                <w:rFonts w:ascii="Arial" w:cs="Arial" w:eastAsia="Arial" w:hAnsi="Arial"/>
                <w:sz w:val="18"/>
                <w:szCs w:val="18"/>
                <w:b w:val="1"/>
                <w:bCs w:val="1"/>
                <w:color w:val="auto"/>
                <w:w w:val="90"/>
              </w:rPr>
              <w:t>Technology,</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vMerge w:val="restart"/>
          </w:tcPr>
          <w:p>
            <w:pPr>
              <w:jc w:val="center"/>
              <w:ind w:left="70"/>
              <w:spacing w:after="0"/>
              <w:rPr>
                <w:sz w:val="20"/>
                <w:szCs w:val="20"/>
                <w:color w:val="auto"/>
              </w:rPr>
            </w:pPr>
            <w:r>
              <w:rPr>
                <w:rFonts w:ascii="Arial" w:cs="Arial" w:eastAsia="Arial" w:hAnsi="Arial"/>
                <w:sz w:val="18"/>
                <w:szCs w:val="18"/>
                <w:b w:val="1"/>
                <w:bCs w:val="1"/>
                <w:color w:val="auto"/>
                <w:w w:val="90"/>
              </w:rPr>
              <w:t>Class A</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5"/>
            <w:vMerge w:val="restart"/>
          </w:tcPr>
          <w:p>
            <w:pPr>
              <w:jc w:val="center"/>
              <w:ind w:left="230"/>
              <w:spacing w:after="0"/>
              <w:rPr>
                <w:sz w:val="20"/>
                <w:szCs w:val="20"/>
                <w:color w:val="auto"/>
              </w:rPr>
            </w:pPr>
            <w:r>
              <w:rPr>
                <w:rFonts w:ascii="Arial" w:cs="Arial" w:eastAsia="Arial" w:hAnsi="Arial"/>
                <w:sz w:val="18"/>
                <w:szCs w:val="18"/>
                <w:b w:val="1"/>
                <w:bCs w:val="1"/>
                <w:color w:val="auto"/>
                <w:w w:val="89"/>
              </w:rPr>
              <w:t>Class V</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vMerge w:val="continue"/>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5"/>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w w:val="99"/>
              </w:rPr>
              <w:t>Additional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jc w:val="center"/>
              <w:ind w:right="300"/>
              <w:spacing w:after="0"/>
              <w:rPr>
                <w:sz w:val="20"/>
                <w:szCs w:val="20"/>
                <w:color w:val="auto"/>
              </w:rPr>
            </w:pPr>
            <w:r>
              <w:rPr>
                <w:rFonts w:ascii="Arial" w:cs="Arial" w:eastAsia="Arial" w:hAnsi="Arial"/>
                <w:sz w:val="18"/>
                <w:szCs w:val="18"/>
                <w:b w:val="1"/>
                <w:bCs w:val="1"/>
                <w:color w:val="auto"/>
                <w:w w:val="96"/>
              </w:rPr>
              <w:t>Inc.</w:t>
            </w:r>
          </w:p>
        </w:tc>
        <w:tc>
          <w:tcPr>
            <w:tcW w:w="140" w:type="dxa"/>
            <w:vAlign w:val="bottom"/>
          </w:tcPr>
          <w:p>
            <w:pPr>
              <w:spacing w:after="0"/>
              <w:rPr>
                <w:sz w:val="10"/>
                <w:szCs w:val="10"/>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Arial" w:cs="Arial" w:eastAsia="Arial" w:hAnsi="Arial"/>
                <w:sz w:val="18"/>
                <w:szCs w:val="18"/>
                <w:b w:val="1"/>
                <w:bCs w:val="1"/>
                <w:color w:val="auto"/>
              </w:rPr>
              <w:t>Par</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Paid-in</w:t>
            </w:r>
          </w:p>
        </w:tc>
        <w:tc>
          <w:tcPr>
            <w:tcW w:w="880" w:type="dxa"/>
            <w:vAlign w:val="bottom"/>
            <w:gridSpan w:val="5"/>
          </w:tcPr>
          <w:p>
            <w:pPr>
              <w:ind w:left="80"/>
              <w:spacing w:after="0"/>
              <w:rPr>
                <w:sz w:val="20"/>
                <w:szCs w:val="20"/>
                <w:color w:val="auto"/>
              </w:rPr>
            </w:pPr>
            <w:r>
              <w:rPr>
                <w:rFonts w:ascii="Arial" w:cs="Arial" w:eastAsia="Arial" w:hAnsi="Arial"/>
                <w:sz w:val="18"/>
                <w:szCs w:val="18"/>
                <w:b w:val="1"/>
                <w:bCs w:val="1"/>
                <w:color w:val="auto"/>
              </w:rPr>
              <w:t>Retained</w:t>
            </w:r>
          </w:p>
        </w:tc>
        <w:tc>
          <w:tcPr>
            <w:tcW w:w="80" w:type="dxa"/>
            <w:vAlign w:val="bottom"/>
          </w:tcPr>
          <w:p>
            <w:pPr>
              <w:spacing w:after="0"/>
              <w:rPr>
                <w:sz w:val="18"/>
                <w:szCs w:val="18"/>
                <w:color w:val="auto"/>
              </w:rPr>
            </w:pPr>
          </w:p>
        </w:tc>
        <w:tc>
          <w:tcPr>
            <w:tcW w:w="1240" w:type="dxa"/>
            <w:vAlign w:val="bottom"/>
            <w:gridSpan w:val="4"/>
          </w:tcPr>
          <w:p>
            <w:pPr>
              <w:spacing w:after="0"/>
              <w:rPr>
                <w:sz w:val="20"/>
                <w:szCs w:val="20"/>
                <w:color w:val="auto"/>
              </w:rPr>
            </w:pPr>
            <w:r>
              <w:rPr>
                <w:rFonts w:ascii="Arial" w:cs="Arial" w:eastAsia="Arial" w:hAnsi="Arial"/>
                <w:sz w:val="18"/>
                <w:szCs w:val="18"/>
                <w:b w:val="1"/>
                <w:bCs w:val="1"/>
                <w:color w:val="auto"/>
              </w:rPr>
              <w:t>Stockholders’</w:t>
            </w: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Members’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89"/>
              </w:rPr>
              <w:t>Shares</w:t>
            </w:r>
          </w:p>
        </w:tc>
        <w:tc>
          <w:tcPr>
            <w:tcW w:w="180" w:type="dxa"/>
            <w:vAlign w:val="bottom"/>
          </w:tcPr>
          <w:p>
            <w:pPr>
              <w:spacing w:after="0"/>
              <w:rPr>
                <w:sz w:val="20"/>
                <w:szCs w:val="20"/>
                <w:color w:val="auto"/>
              </w:rPr>
            </w:pPr>
          </w:p>
        </w:tc>
        <w:tc>
          <w:tcPr>
            <w:tcW w:w="700" w:type="dxa"/>
            <w:vAlign w:val="bottom"/>
            <w:gridSpan w:val="4"/>
          </w:tcPr>
          <w:p>
            <w:pPr>
              <w:ind w:left="2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Shares</w:t>
            </w:r>
          </w:p>
        </w:tc>
        <w:tc>
          <w:tcPr>
            <w:tcW w:w="120" w:type="dxa"/>
            <w:vAlign w:val="bottom"/>
          </w:tcPr>
          <w:p>
            <w:pPr>
              <w:spacing w:after="0"/>
              <w:rPr>
                <w:sz w:val="20"/>
                <w:szCs w:val="20"/>
                <w:color w:val="auto"/>
              </w:rPr>
            </w:pPr>
          </w:p>
        </w:tc>
        <w:tc>
          <w:tcPr>
            <w:tcW w:w="680" w:type="dxa"/>
            <w:vAlign w:val="bottom"/>
            <w:gridSpan w:val="4"/>
          </w:tcPr>
          <w:p>
            <w:pPr>
              <w:ind w:left="8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Capital</w:t>
            </w:r>
          </w:p>
        </w:tc>
        <w:tc>
          <w:tcPr>
            <w:tcW w:w="880" w:type="dxa"/>
            <w:vAlign w:val="bottom"/>
            <w:gridSpan w:val="5"/>
          </w:tcPr>
          <w:p>
            <w:pPr>
              <w:ind w:left="80"/>
              <w:spacing w:after="0"/>
              <w:rPr>
                <w:sz w:val="20"/>
                <w:szCs w:val="20"/>
                <w:color w:val="auto"/>
              </w:rPr>
            </w:pPr>
            <w:r>
              <w:rPr>
                <w:rFonts w:ascii="Arial" w:cs="Arial" w:eastAsia="Arial" w:hAnsi="Arial"/>
                <w:sz w:val="18"/>
                <w:szCs w:val="18"/>
                <w:b w:val="1"/>
                <w:bCs w:val="1"/>
                <w:color w:val="auto"/>
              </w:rPr>
              <w:t>Earnings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8"/>
              </w:rPr>
              <w:t>Interests</w:t>
            </w:r>
          </w:p>
        </w:tc>
        <w:tc>
          <w:tcPr>
            <w:tcW w:w="1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Equity</w:t>
            </w:r>
          </w:p>
        </w:tc>
        <w:tc>
          <w:tcPr>
            <w:tcW w:w="80" w:type="dxa"/>
            <w:vAlign w:val="bottom"/>
          </w:tcPr>
          <w:p>
            <w:pPr>
              <w:spacing w:after="0"/>
              <w:rPr>
                <w:sz w:val="20"/>
                <w:szCs w:val="20"/>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98"/>
        </w:trPr>
        <w:tc>
          <w:tcPr>
            <w:tcW w:w="17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As of December 31,</w:t>
            </w: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29,271</w:t>
            </w:r>
          </w:p>
        </w:tc>
        <w:tc>
          <w:tcPr>
            <w:tcW w:w="0" w:type="dxa"/>
            <w:vAlign w:val="bottom"/>
          </w:tcPr>
          <w:p>
            <w:pPr>
              <w:spacing w:after="0"/>
              <w:rPr>
                <w:sz w:val="1"/>
                <w:szCs w:val="1"/>
                <w:color w:val="auto"/>
              </w:rPr>
            </w:pPr>
          </w:p>
        </w:tc>
      </w:tr>
      <w:tr>
        <w:trPr>
          <w:trHeight w:val="202"/>
        </w:trPr>
        <w:tc>
          <w:tcPr>
            <w:tcW w:w="1740" w:type="dxa"/>
            <w:vAlign w:val="bottom"/>
            <w:gridSpan w:val="2"/>
          </w:tcPr>
          <w:p>
            <w:pPr>
              <w:spacing w:after="0" w:line="201" w:lineRule="exact"/>
              <w:rPr>
                <w:sz w:val="20"/>
                <w:szCs w:val="20"/>
                <w:color w:val="auto"/>
              </w:rPr>
            </w:pPr>
            <w:r>
              <w:rPr>
                <w:rFonts w:ascii="Arial" w:cs="Arial" w:eastAsia="Arial" w:hAnsi="Arial"/>
                <w:sz w:val="18"/>
                <w:szCs w:val="18"/>
                <w:color w:val="auto"/>
              </w:rPr>
              <w:t>Distributions to</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rPr>
              <w:t>members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(10,513)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(10,513)</w:t>
            </w:r>
          </w:p>
        </w:tc>
        <w:tc>
          <w:tcPr>
            <w:tcW w:w="0" w:type="dxa"/>
            <w:vAlign w:val="bottom"/>
          </w:tcPr>
          <w:p>
            <w:pPr>
              <w:spacing w:after="0"/>
              <w:rPr>
                <w:sz w:val="1"/>
                <w:szCs w:val="1"/>
                <w:color w:val="auto"/>
              </w:rPr>
            </w:pPr>
          </w:p>
        </w:tc>
      </w:tr>
      <w:tr>
        <w:trPr>
          <w:trHeight w:val="202"/>
        </w:trPr>
        <w:tc>
          <w:tcPr>
            <w:tcW w:w="1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Repurchase of Class B</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1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7,731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As of March 31, 2021</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40" w:type="dxa"/>
            <w:vAlign w:val="bottom"/>
            <w:gridSpan w:val="2"/>
          </w:tcPr>
          <w:p>
            <w:pPr>
              <w:spacing w:after="0" w:line="201" w:lineRule="exact"/>
              <w:rPr>
                <w:sz w:val="20"/>
                <w:szCs w:val="20"/>
                <w:color w:val="auto"/>
              </w:rPr>
            </w:pPr>
            <w:r>
              <w:rPr>
                <w:rFonts w:ascii="Arial" w:cs="Arial" w:eastAsia="Arial" w:hAnsi="Arial"/>
                <w:sz w:val="18"/>
                <w:szCs w:val="18"/>
                <w:color w:val="auto"/>
              </w:rPr>
              <w:t>Stock-based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19,433</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19,433</w:t>
            </w:r>
          </w:p>
        </w:tc>
        <w:tc>
          <w:tcPr>
            <w:tcW w:w="0" w:type="dxa"/>
            <w:vAlign w:val="bottom"/>
          </w:tcPr>
          <w:p>
            <w:pPr>
              <w:spacing w:after="0"/>
              <w:rPr>
                <w:sz w:val="1"/>
                <w:szCs w:val="1"/>
                <w:color w:val="auto"/>
              </w:rPr>
            </w:pPr>
          </w:p>
        </w:tc>
      </w:tr>
      <w:tr>
        <w:trPr>
          <w:trHeight w:val="202"/>
        </w:trPr>
        <w:tc>
          <w:tcPr>
            <w:tcW w:w="1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Distributions to</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(7,597)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(7,597)</w:t>
            </w:r>
          </w:p>
        </w:tc>
        <w:tc>
          <w:tcPr>
            <w:tcW w:w="0" w:type="dxa"/>
            <w:vAlign w:val="bottom"/>
          </w:tcPr>
          <w:p>
            <w:pPr>
              <w:spacing w:after="0"/>
              <w:rPr>
                <w:sz w:val="1"/>
                <w:szCs w:val="1"/>
                <w:color w:val="auto"/>
              </w:rPr>
            </w:pPr>
          </w:p>
        </w:tc>
      </w:tr>
      <w:tr>
        <w:trPr>
          <w:trHeight w:val="202"/>
        </w:trPr>
        <w:tc>
          <w:tcPr>
            <w:tcW w:w="1740" w:type="dxa"/>
            <w:vAlign w:val="bottom"/>
            <w:gridSpan w:val="2"/>
          </w:tcPr>
          <w:p>
            <w:pPr>
              <w:spacing w:after="0" w:line="201" w:lineRule="exact"/>
              <w:rPr>
                <w:sz w:val="20"/>
                <w:szCs w:val="20"/>
                <w:color w:val="auto"/>
              </w:rPr>
            </w:pPr>
            <w:r>
              <w:rPr>
                <w:rFonts w:ascii="Arial" w:cs="Arial" w:eastAsia="Arial" w:hAnsi="Arial"/>
                <w:sz w:val="18"/>
                <w:szCs w:val="18"/>
                <w:color w:val="auto"/>
                <w:w w:val="93"/>
              </w:rPr>
              <w:t>Repurchase of Class B</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rPr>
              <w:t>Units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(5,459)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02"/>
        </w:trPr>
        <w:tc>
          <w:tcPr>
            <w:tcW w:w="1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Proceeds and shares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issued in the Business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Combination (Note 6)</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63,738,563</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5"/>
              </w:rPr>
              <w:t>65,502,347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(20,212)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(19,213)</w:t>
            </w:r>
          </w:p>
        </w:tc>
        <w:tc>
          <w:tcPr>
            <w:tcW w:w="1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(45,425)</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(20,674)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(85,312)</w:t>
            </w:r>
          </w:p>
        </w:tc>
        <w:tc>
          <w:tcPr>
            <w:tcW w:w="0" w:type="dxa"/>
            <w:vAlign w:val="bottom"/>
          </w:tcPr>
          <w:p>
            <w:pPr>
              <w:spacing w:after="0"/>
              <w:rPr>
                <w:sz w:val="1"/>
                <w:szCs w:val="1"/>
                <w:color w:val="auto"/>
              </w:rPr>
            </w:pPr>
          </w:p>
        </w:tc>
      </w:tr>
      <w:tr>
        <w:trPr>
          <w:trHeight w:val="223"/>
        </w:trPr>
        <w:tc>
          <w:tcPr>
            <w:tcW w:w="1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4,263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4,263</w:t>
            </w: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5,227</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7,347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16,837</w:t>
            </w: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June 30, 2021</w:t>
            </w:r>
          </w:p>
        </w:tc>
        <w:tc>
          <w:tcPr>
            <w:tcW w:w="92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63,738,563</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5"/>
                <w:szCs w:val="15"/>
                <w:color w:val="auto"/>
                <w:w w:val="71"/>
              </w:rPr>
              <w:t>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65,502,347</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(20,212)</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(14,950)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(20,765)</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(35,715)</w:t>
            </w:r>
          </w:p>
        </w:tc>
        <w:tc>
          <w:tcPr>
            <w:tcW w:w="0" w:type="dxa"/>
            <w:vAlign w:val="bottom"/>
          </w:tcPr>
          <w:p>
            <w:pPr>
              <w:spacing w:after="0"/>
              <w:rPr>
                <w:sz w:val="1"/>
                <w:szCs w:val="1"/>
                <w:color w:val="auto"/>
              </w:rPr>
            </w:pPr>
          </w:p>
        </w:tc>
      </w:tr>
      <w:tr>
        <w:trPr>
          <w:trHeight w:val="202"/>
        </w:trPr>
        <w:tc>
          <w:tcPr>
            <w:tcW w:w="1740" w:type="dxa"/>
            <w:vAlign w:val="bottom"/>
            <w:gridSpan w:val="2"/>
          </w:tcPr>
          <w:p>
            <w:pPr>
              <w:spacing w:after="0" w:line="201" w:lineRule="exact"/>
              <w:rPr>
                <w:sz w:val="20"/>
                <w:szCs w:val="20"/>
                <w:color w:val="auto"/>
              </w:rPr>
            </w:pPr>
            <w:r>
              <w:rPr>
                <w:rFonts w:ascii="Arial" w:cs="Arial" w:eastAsia="Arial" w:hAnsi="Arial"/>
                <w:sz w:val="18"/>
                <w:szCs w:val="18"/>
                <w:color w:val="auto"/>
              </w:rPr>
              <w:t>Stock-based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4,173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4,173</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02"/>
        </w:trPr>
        <w:tc>
          <w:tcPr>
            <w:tcW w:w="1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Transaction costs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related to the Business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Combination (Note 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2"/>
        </w:trPr>
        <w:tc>
          <w:tcPr>
            <w:tcW w:w="1740" w:type="dxa"/>
            <w:vAlign w:val="bottom"/>
            <w:gridSpan w:val="2"/>
          </w:tcPr>
          <w:p>
            <w:pPr>
              <w:spacing w:after="0" w:line="201" w:lineRule="exact"/>
              <w:rPr>
                <w:sz w:val="20"/>
                <w:szCs w:val="20"/>
                <w:color w:val="auto"/>
              </w:rPr>
            </w:pPr>
            <w:r>
              <w:rPr>
                <w:rFonts w:ascii="Arial" w:cs="Arial" w:eastAsia="Arial" w:hAnsi="Arial"/>
                <w:sz w:val="18"/>
                <w:szCs w:val="18"/>
                <w:color w:val="auto"/>
              </w:rPr>
              <w:t>Issuance of common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stock for acquisitions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rPr>
              <w:t>(Note 7)</w:t>
            </w: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9"/>
              </w:rPr>
              <w:t>1,938,798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12,721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12,722</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16,590</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29,312</w:t>
            </w:r>
          </w:p>
        </w:tc>
        <w:tc>
          <w:tcPr>
            <w:tcW w:w="0" w:type="dxa"/>
            <w:vAlign w:val="bottom"/>
          </w:tcPr>
          <w:p>
            <w:pPr>
              <w:spacing w:after="0"/>
              <w:rPr>
                <w:sz w:val="1"/>
                <w:szCs w:val="1"/>
                <w:color w:val="auto"/>
              </w:rPr>
            </w:pPr>
          </w:p>
        </w:tc>
      </w:tr>
      <w:tr>
        <w:trPr>
          <w:trHeight w:val="223"/>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20,835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20,835</w:t>
            </w:r>
          </w:p>
        </w:tc>
        <w:tc>
          <w:tcPr>
            <w:tcW w:w="14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28,370</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49,205</w:t>
            </w:r>
          </w:p>
        </w:tc>
        <w:tc>
          <w:tcPr>
            <w:tcW w:w="0" w:type="dxa"/>
            <w:vAlign w:val="bottom"/>
          </w:tcPr>
          <w:p>
            <w:pPr>
              <w:spacing w:after="0"/>
              <w:rPr>
                <w:sz w:val="1"/>
                <w:szCs w:val="1"/>
                <w:color w:val="auto"/>
              </w:rPr>
            </w:pPr>
          </w:p>
        </w:tc>
      </w:tr>
      <w:tr>
        <w:trPr>
          <w:trHeight w:val="198"/>
        </w:trPr>
        <w:tc>
          <w:tcPr>
            <w:tcW w:w="1740" w:type="dxa"/>
            <w:vAlign w:val="bottom"/>
            <w:tcBorders>
              <w:top w:val="single" w:sz="8" w:color="CCEEFF"/>
            </w:tcBorders>
            <w:gridSpan w:val="2"/>
          </w:tcPr>
          <w:p>
            <w:pPr>
              <w:spacing w:after="0" w:line="198" w:lineRule="exact"/>
              <w:rPr>
                <w:sz w:val="20"/>
                <w:szCs w:val="20"/>
                <w:color w:val="auto"/>
              </w:rPr>
            </w:pPr>
            <w:r>
              <w:rPr>
                <w:rFonts w:ascii="Arial" w:cs="Arial" w:eastAsia="Arial" w:hAnsi="Arial"/>
                <w:sz w:val="18"/>
                <w:szCs w:val="18"/>
                <w:b w:val="1"/>
                <w:bCs w:val="1"/>
                <w:color w:val="auto"/>
                <w:w w:val="99"/>
              </w:rPr>
              <w:t>As of September 30,</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2021</w:t>
            </w:r>
          </w:p>
        </w:tc>
        <w:tc>
          <w:tcPr>
            <w:tcW w:w="72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7"/>
              </w:rPr>
              <w:t>65,677,361</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w w:val="95"/>
              </w:rPr>
              <w:t>65,502,347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(3,592)</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26,084</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22,506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24,909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47,415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20"/>
          </w:tcPr>
          <w:p>
            <w:pPr>
              <w:ind w:left="20"/>
              <w:spacing w:after="0"/>
              <w:rPr>
                <w:sz w:val="20"/>
                <w:szCs w:val="20"/>
                <w:color w:val="auto"/>
              </w:rPr>
            </w:pPr>
            <w:r>
              <w:rPr>
                <w:rFonts w:ascii="Arial" w:cs="Arial" w:eastAsia="Arial" w:hAnsi="Arial"/>
                <w:sz w:val="18"/>
                <w:szCs w:val="18"/>
                <w:b w:val="1"/>
                <w:bCs w:val="1"/>
                <w:color w:val="auto"/>
                <w:w w:val="92"/>
              </w:rPr>
              <w:t>Three and Nine Months Ended September 30, 2020</w:t>
            </w: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6"/>
            <w:vMerge w:val="restart"/>
          </w:tcPr>
          <w:p>
            <w:pPr>
              <w:jc w:val="center"/>
              <w:ind w:right="80"/>
              <w:spacing w:after="0"/>
              <w:rPr>
                <w:sz w:val="20"/>
                <w:szCs w:val="20"/>
                <w:color w:val="auto"/>
              </w:rPr>
            </w:pPr>
            <w:r>
              <w:rPr>
                <w:rFonts w:ascii="Arial" w:cs="Arial" w:eastAsia="Arial" w:hAnsi="Arial"/>
                <w:sz w:val="18"/>
                <w:szCs w:val="18"/>
                <w:b w:val="1"/>
                <w:bCs w:val="1"/>
                <w:color w:val="auto"/>
                <w:w w:val="90"/>
              </w:rPr>
              <w:t>Common Stock</w:t>
            </w:r>
          </w:p>
        </w:tc>
        <w:tc>
          <w:tcPr>
            <w:tcW w:w="120" w:type="dxa"/>
            <w:vAlign w:val="bottom"/>
          </w:tcPr>
          <w:p>
            <w:pPr>
              <w:spacing w:after="0"/>
              <w:rPr>
                <w:sz w:val="17"/>
                <w:szCs w:val="17"/>
                <w:color w:val="auto"/>
              </w:rPr>
            </w:pPr>
          </w:p>
        </w:tc>
        <w:tc>
          <w:tcPr>
            <w:tcW w:w="1620" w:type="dxa"/>
            <w:vAlign w:val="bottom"/>
            <w:gridSpan w:val="8"/>
            <w:vMerge w:val="restart"/>
          </w:tcPr>
          <w:p>
            <w:pPr>
              <w:jc w:val="center"/>
              <w:ind w:right="200"/>
              <w:spacing w:after="0"/>
              <w:rPr>
                <w:sz w:val="20"/>
                <w:szCs w:val="20"/>
                <w:color w:val="auto"/>
              </w:rPr>
            </w:pPr>
            <w:r>
              <w:rPr>
                <w:rFonts w:ascii="Arial" w:cs="Arial" w:eastAsia="Arial" w:hAnsi="Arial"/>
                <w:sz w:val="18"/>
                <w:szCs w:val="18"/>
                <w:b w:val="1"/>
                <w:bCs w:val="1"/>
                <w:color w:val="auto"/>
                <w:w w:val="89"/>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4"/>
          </w:tcPr>
          <w:p>
            <w:pPr>
              <w:jc w:val="center"/>
              <w:ind w:right="340"/>
              <w:spacing w:after="0" w:line="198" w:lineRule="exact"/>
              <w:rPr>
                <w:sz w:val="20"/>
                <w:szCs w:val="20"/>
                <w:color w:val="auto"/>
              </w:rPr>
            </w:pPr>
            <w:r>
              <w:rPr>
                <w:rFonts w:ascii="Arial" w:cs="Arial" w:eastAsia="Arial" w:hAnsi="Arial"/>
                <w:sz w:val="18"/>
                <w:szCs w:val="18"/>
                <w:b w:val="1"/>
                <w:bCs w:val="1"/>
                <w:color w:val="auto"/>
                <w:w w:val="97"/>
              </w:rPr>
              <w:t>Total WM</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10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Technology,</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6"/>
            <w:vMerge w:val="restart"/>
          </w:tcPr>
          <w:p>
            <w:pPr>
              <w:jc w:val="center"/>
              <w:ind w:right="80"/>
              <w:spacing w:after="0"/>
              <w:rPr>
                <w:sz w:val="20"/>
                <w:szCs w:val="20"/>
                <w:color w:val="auto"/>
              </w:rPr>
            </w:pPr>
            <w:r>
              <w:rPr>
                <w:rFonts w:ascii="Arial" w:cs="Arial" w:eastAsia="Arial" w:hAnsi="Arial"/>
                <w:sz w:val="18"/>
                <w:szCs w:val="18"/>
                <w:b w:val="1"/>
                <w:bCs w:val="1"/>
                <w:color w:val="auto"/>
                <w:w w:val="90"/>
              </w:rPr>
              <w:t>Class A</w:t>
            </w:r>
          </w:p>
        </w:tc>
        <w:tc>
          <w:tcPr>
            <w:tcW w:w="120" w:type="dxa"/>
            <w:vAlign w:val="bottom"/>
          </w:tcPr>
          <w:p>
            <w:pPr>
              <w:spacing w:after="0"/>
              <w:rPr>
                <w:sz w:val="10"/>
                <w:szCs w:val="10"/>
                <w:color w:val="auto"/>
              </w:rPr>
            </w:pPr>
          </w:p>
        </w:tc>
        <w:tc>
          <w:tcPr>
            <w:tcW w:w="1060" w:type="dxa"/>
            <w:vAlign w:val="bottom"/>
            <w:gridSpan w:val="5"/>
            <w:vMerge w:val="restart"/>
          </w:tcPr>
          <w:p>
            <w:pPr>
              <w:jc w:val="center"/>
              <w:ind w:left="270"/>
              <w:spacing w:after="0"/>
              <w:rPr>
                <w:sz w:val="20"/>
                <w:szCs w:val="20"/>
                <w:color w:val="auto"/>
              </w:rPr>
            </w:pPr>
            <w:r>
              <w:rPr>
                <w:rFonts w:ascii="Arial" w:cs="Arial" w:eastAsia="Arial" w:hAnsi="Arial"/>
                <w:sz w:val="18"/>
                <w:szCs w:val="18"/>
                <w:b w:val="1"/>
                <w:bCs w:val="1"/>
                <w:color w:val="auto"/>
                <w:w w:val="89"/>
              </w:rPr>
              <w:t>Class V</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5"/>
            <w:vMerge w:val="continue"/>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jc w:val="center"/>
              <w:ind w:right="460"/>
              <w:spacing w:after="0"/>
              <w:rPr>
                <w:sz w:val="20"/>
                <w:szCs w:val="20"/>
                <w:color w:val="auto"/>
              </w:rPr>
            </w:pPr>
            <w:r>
              <w:rPr>
                <w:rFonts w:ascii="Arial" w:cs="Arial" w:eastAsia="Arial" w:hAnsi="Arial"/>
                <w:sz w:val="18"/>
                <w:szCs w:val="18"/>
                <w:b w:val="1"/>
                <w:bCs w:val="1"/>
                <w:color w:val="auto"/>
                <w:w w:val="96"/>
              </w:rPr>
              <w:t>Inc.</w:t>
            </w:r>
          </w:p>
        </w:tc>
        <w:tc>
          <w:tcPr>
            <w:tcW w:w="14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w w:val="97"/>
              </w:rPr>
              <w:t>Non-</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ind w:left="80"/>
              <w:spacing w:after="0"/>
              <w:rPr>
                <w:sz w:val="20"/>
                <w:szCs w:val="20"/>
                <w:color w:val="auto"/>
              </w:rPr>
            </w:pPr>
            <w:r>
              <w:rPr>
                <w:rFonts w:ascii="Arial" w:cs="Arial" w:eastAsia="Arial" w:hAnsi="Arial"/>
                <w:sz w:val="18"/>
                <w:szCs w:val="18"/>
                <w:b w:val="1"/>
                <w:bCs w:val="1"/>
                <w:color w:val="auto"/>
              </w:rPr>
              <w:t>Par</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ind w:left="40"/>
              <w:spacing w:after="0"/>
              <w:rPr>
                <w:sz w:val="20"/>
                <w:szCs w:val="20"/>
                <w:color w:val="auto"/>
              </w:rPr>
            </w:pPr>
            <w:r>
              <w:rPr>
                <w:rFonts w:ascii="Arial" w:cs="Arial" w:eastAsia="Arial" w:hAnsi="Arial"/>
                <w:sz w:val="18"/>
                <w:szCs w:val="18"/>
                <w:b w:val="1"/>
                <w:bCs w:val="1"/>
                <w:color w:val="auto"/>
              </w:rPr>
              <w:t>Par</w:t>
            </w:r>
          </w:p>
        </w:tc>
        <w:tc>
          <w:tcPr>
            <w:tcW w:w="80" w:type="dxa"/>
            <w:vAlign w:val="bottom"/>
          </w:tcPr>
          <w:p>
            <w:pPr>
              <w:spacing w:after="0"/>
              <w:rPr>
                <w:sz w:val="18"/>
                <w:szCs w:val="18"/>
                <w:color w:val="auto"/>
              </w:rPr>
            </w:pPr>
          </w:p>
        </w:tc>
        <w:tc>
          <w:tcPr>
            <w:tcW w:w="920" w:type="dxa"/>
            <w:vAlign w:val="bottom"/>
            <w:gridSpan w:val="4"/>
          </w:tcPr>
          <w:p>
            <w:pPr>
              <w:ind w:left="60"/>
              <w:spacing w:after="0"/>
              <w:rPr>
                <w:sz w:val="20"/>
                <w:szCs w:val="20"/>
                <w:color w:val="auto"/>
              </w:rPr>
            </w:pPr>
            <w:r>
              <w:rPr>
                <w:rFonts w:ascii="Arial" w:cs="Arial" w:eastAsia="Arial" w:hAnsi="Arial"/>
                <w:sz w:val="18"/>
                <w:szCs w:val="18"/>
                <w:b w:val="1"/>
                <w:bCs w:val="1"/>
                <w:color w:val="auto"/>
              </w:rPr>
              <w:t>Paid-in</w:t>
            </w:r>
          </w:p>
        </w:tc>
        <w:tc>
          <w:tcPr>
            <w:tcW w:w="88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89"/>
              </w:rPr>
              <w:t>Retained</w:t>
            </w:r>
          </w:p>
        </w:tc>
        <w:tc>
          <w:tcPr>
            <w:tcW w:w="132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87"/>
              </w:rPr>
              <w:t>Stockholders’</w:t>
            </w: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Members’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3"/>
              </w:rPr>
              <w:t>Shares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9"/>
              </w:rPr>
              <w:t>Shares</w:t>
            </w:r>
          </w:p>
        </w:tc>
        <w:tc>
          <w:tcPr>
            <w:tcW w:w="800" w:type="dxa"/>
            <w:vAlign w:val="bottom"/>
            <w:gridSpan w:val="5"/>
          </w:tcPr>
          <w:p>
            <w:pPr>
              <w:ind w:left="10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20"/>
                <w:szCs w:val="20"/>
                <w:color w:val="auto"/>
              </w:rPr>
            </w:pPr>
          </w:p>
        </w:tc>
        <w:tc>
          <w:tcPr>
            <w:tcW w:w="920" w:type="dxa"/>
            <w:vAlign w:val="bottom"/>
            <w:gridSpan w:val="4"/>
          </w:tcPr>
          <w:p>
            <w:pPr>
              <w:ind w:left="40"/>
              <w:spacing w:after="0"/>
              <w:rPr>
                <w:sz w:val="20"/>
                <w:szCs w:val="20"/>
                <w:color w:val="auto"/>
              </w:rPr>
            </w:pPr>
            <w:r>
              <w:rPr>
                <w:rFonts w:ascii="Arial" w:cs="Arial" w:eastAsia="Arial" w:hAnsi="Arial"/>
                <w:sz w:val="18"/>
                <w:szCs w:val="18"/>
                <w:b w:val="1"/>
                <w:bCs w:val="1"/>
                <w:color w:val="auto"/>
              </w:rPr>
              <w:t>Capital</w:t>
            </w:r>
          </w:p>
        </w:tc>
        <w:tc>
          <w:tcPr>
            <w:tcW w:w="88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88"/>
              </w:rPr>
              <w:t>Earnings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4"/>
              </w:rPr>
              <w:t>Equity</w:t>
            </w: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Interests</w:t>
            </w:r>
          </w:p>
        </w:tc>
        <w:tc>
          <w:tcPr>
            <w:tcW w:w="10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Equity</w:t>
            </w:r>
          </w:p>
        </w:tc>
        <w:tc>
          <w:tcPr>
            <w:tcW w:w="80" w:type="dxa"/>
            <w:vAlign w:val="bottom"/>
          </w:tcPr>
          <w:p>
            <w:pPr>
              <w:spacing w:after="0"/>
              <w:rPr>
                <w:sz w:val="20"/>
                <w:szCs w:val="20"/>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1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88"/>
              </w:rPr>
              <w:t>As of December 31, 2019</w:t>
            </w: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9"/>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20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80" w:type="dxa"/>
            <w:vAlign w:val="bottom"/>
            <w:tcBorders>
              <w:right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80" w:type="dxa"/>
            <w:vAlign w:val="bottom"/>
            <w:tcBorders>
              <w:right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w w:val="94"/>
              </w:rPr>
              <w:t>Distributions to members</w:t>
            </w:r>
          </w:p>
        </w:tc>
        <w:tc>
          <w:tcPr>
            <w:tcW w:w="120" w:type="dxa"/>
            <w:vAlign w:val="bottom"/>
          </w:tcPr>
          <w:p>
            <w:pPr>
              <w:spacing w:after="0"/>
              <w:rPr>
                <w:sz w:val="18"/>
                <w:szCs w:val="18"/>
                <w:color w:val="auto"/>
              </w:rPr>
            </w:pPr>
          </w:p>
        </w:tc>
        <w:tc>
          <w:tcPr>
            <w:tcW w:w="640" w:type="dxa"/>
            <w:vAlign w:val="bottom"/>
          </w:tcPr>
          <w:p>
            <w:pPr>
              <w:jc w:val="center"/>
              <w:ind w:left="37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(3,123)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02"/>
        </w:trPr>
        <w:tc>
          <w:tcPr>
            <w:tcW w:w="1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Repurchase of Class B</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9"/>
              </w:rPr>
              <w:t>—</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1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center"/>
              <w:ind w:left="37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As of March 31, 2020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9"/>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20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80" w:type="dxa"/>
            <w:vAlign w:val="bottom"/>
            <w:tcBorders>
              <w:right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80" w:type="dxa"/>
            <w:vAlign w:val="bottom"/>
            <w:tcBorders>
              <w:right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w w:val="94"/>
              </w:rPr>
              <w:t>Distributions to members</w:t>
            </w:r>
          </w:p>
        </w:tc>
        <w:tc>
          <w:tcPr>
            <w:tcW w:w="120" w:type="dxa"/>
            <w:vAlign w:val="bottom"/>
          </w:tcPr>
          <w:p>
            <w:pPr>
              <w:spacing w:after="0"/>
              <w:rPr>
                <w:sz w:val="18"/>
                <w:szCs w:val="18"/>
                <w:color w:val="auto"/>
              </w:rPr>
            </w:pPr>
          </w:p>
        </w:tc>
        <w:tc>
          <w:tcPr>
            <w:tcW w:w="640" w:type="dxa"/>
            <w:vAlign w:val="bottom"/>
          </w:tcPr>
          <w:p>
            <w:pPr>
              <w:jc w:val="center"/>
              <w:ind w:left="37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(2,744)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02"/>
        </w:trPr>
        <w:tc>
          <w:tcPr>
            <w:tcW w:w="1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Repurchase of Class B</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9"/>
              </w:rPr>
              <w:t>—</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1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center"/>
              <w:ind w:left="37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June 30, 2020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9"/>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20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80" w:type="dxa"/>
            <w:vAlign w:val="bottom"/>
            <w:tcBorders>
              <w:right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80" w:type="dxa"/>
            <w:vAlign w:val="bottom"/>
            <w:tcBorders>
              <w:right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w w:val="94"/>
              </w:rPr>
              <w:t>Distributions to members</w:t>
            </w:r>
          </w:p>
        </w:tc>
        <w:tc>
          <w:tcPr>
            <w:tcW w:w="120" w:type="dxa"/>
            <w:vAlign w:val="bottom"/>
          </w:tcPr>
          <w:p>
            <w:pPr>
              <w:spacing w:after="0"/>
              <w:rPr>
                <w:sz w:val="18"/>
                <w:szCs w:val="18"/>
                <w:color w:val="auto"/>
              </w:rPr>
            </w:pPr>
          </w:p>
        </w:tc>
        <w:tc>
          <w:tcPr>
            <w:tcW w:w="640" w:type="dxa"/>
            <w:vAlign w:val="bottom"/>
          </w:tcPr>
          <w:p>
            <w:pPr>
              <w:jc w:val="center"/>
              <w:ind w:left="37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(3,331)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02"/>
        </w:trPr>
        <w:tc>
          <w:tcPr>
            <w:tcW w:w="1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Repurchase of Class B</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9"/>
              </w:rPr>
              <w:t>—</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1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center"/>
              <w:ind w:left="37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7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As of September 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9"/>
              </w:rPr>
              <w:t>—</w:t>
            </w: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56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32,032</w:t>
            </w:r>
          </w:p>
        </w:tc>
        <w:tc>
          <w:tcPr>
            <w:tcW w:w="1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32,032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14" w:right="339" w:bottom="424"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424"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rPr>
              <w:t>WM TECHNOLOGY,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0"/>
              </w:rPr>
              <w:t>(In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28,732</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(83,628)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 on right-of-use asset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(6,371)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(4,300)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(1,098)</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3,180</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(4,246)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(903)</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acquisitions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Cash paid for other investments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Proceeds from the Business Combination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79,969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note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Distributions to members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(18,110)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(9,198)</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Class B Units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(9,499)</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increase in cash</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58,016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19,164</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 end of period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77,935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24,132</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disclosures of noncash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liability assumed from the Business Combination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Tax receivable agreement liability recognized in connection with the Business Combination</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126,150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recognized in connection with the Business Combination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Other assets assumed from the Business Combination</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equity for acquisitions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Holdback liability recognized in connection with acquisition</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capitalized for software development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6" w:name="page157"/>
    <w:bookmarkEnd w:id="1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Organization</w:t>
      </w:r>
    </w:p>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WM Technology, Inc. (the “Company”) is a technology and software infrastructure provider to retailers and brands in the U.S. state-legal and Canadian cannabis markets. The Company also provides information on the cannabis plant and the industry and advocates for legalization. The Weedmaps listings marketplace provides consumers with information regarding cannabis retailers and brands, as well as the strain, pricing, and other information regarding locally available cannabis products, through the Company’s website and mobile apps, permitting product discovery and reservation of products for pickup by consumers or delivery to consumers by participating retailers. The Company sells its offerings in the United States, and the Company has a limited number of non-monetized listings in several international countries including Austria, Canada, Germany, the Netherlands, Spain, and Switzerland. Through December 31, 2020, the Company offered standard listing subscription clients access to a listing page on weedmaps.com in addition to free access to its SaaS solutions, including WM Orders, WM Dispatch, WM Exchange, WM Retail and WM Store, along with its API integrations with third-party point-of-sale (“POS”) systems. For access to the orders functionality, beginning in September 2019, standard listing clients were also then required to pay a fixed services fee per delivery order submitted which the Company imposed regardless of whether the proposed order was canceled or completed. As of January 1, 2021, the Company migrated all standard listing subscription clients to its new WM Business subscription package. Under this new subscription package, all retailers continue to receive access to a standard listing page and SaaS solutions. In addition, the Company began including access to WM Dashboard and eliminated the technology services fee on delivery orders as part of the transition to the new WM Business subscription package. The Company operates in the United States, Canada, and other foreign jurisdictions where medical and/or adult use cannabis is legal under state or applicable national law. The Company is headquartered in Irvine, California.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16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17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 is an “emerging growth company,” as defined in Section 2(a) of the Securities Act of 1933, as amended (the “Securities Act”), as modified by the Jumpstart Our Business Startups Act of 2012 (the “JOBS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summary of significant accounting policies presented below is designed to assist in understanding the Company’s condensed consolidated financial statements. Such condensed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condensed consolidated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7" w:name="page158"/>
    <w:bookmarkEnd w:id="1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GAAP and applicable rules and regulations of the U.S.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Company’s audited financial statements and accompanying notes included in the Company’s Registration Statement on Form S-1 filed with the SEC on July 8, 2021. The condensed financial statements of the Company include all adjustments of a normal recurring nature which, in the opinion of management, are necessary for a fair statement of the Company’s financial position as of September 30, 2021, and results of its operations and its cash flows for the interim periods presented. The results of operations for the nine months ended September 30, 2021 are not necessarily indicative of the results to be expected for the entire year. There have been no significant changes in the Company’s accounting policies from those described in the Company’s audited consolidated financial statements and the related notes to those statements, other than the adoption of the lease accounting guidance.</w:t>
      </w:r>
    </w:p>
    <w:p>
      <w:pPr>
        <w:spacing w:after="0" w:line="18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18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Accordingly, for accounting purposes, the Reverse Recapitalization was treated as the equivalent of Legacy WMH issuing stock for the net assets of Silver Spike, accompanied by a recapitalization.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Legacy WMH was determined to be the accounting acquirer based on evaluation of the following facts and circumstances:</w:t>
      </w:r>
    </w:p>
    <w:p>
      <w:pPr>
        <w:spacing w:after="0" w:line="225" w:lineRule="exact"/>
        <w:rPr>
          <w:sz w:val="20"/>
          <w:szCs w:val="20"/>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Legacy WMH Class A Unit holders, through their ownership of the Class V Common Stock, have the greatest voting interest in the Company with over 50% of the voting interest;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Legacy WMH selected the majority of the new board of directors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Legacy WMH senior management is the senior management of the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Legacy WMH is the larger entity based on historical operating activity and has the larger employee base.</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Thus, the financial statements included in this quarterly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condensed consolidated financial statements include the accounts of WM Technology, Inc. and WM Holding Company, LLC and its subsidiaries, GMG Holdco, Inc., Weedmaps Media, LLC (“Weedmaps”), Ghost Management Group, LLC, WM Canada Holdings, Inc., WM Enterprise, LLC, WM Marketplace, LLC, Weedmaps Spain, S.LU., WM Retail, LLC, Grow One Software (Canada), Inc., Discovery Opco, LLC, WM Museum, LLC, WM Teal, LLC, Weedmaps Germany GmbH, Transport Logistics Holding Company, LLC and WM Loyalty, LLC. All significant intercompany balance and transactions have been eliminated upon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nine months ended September 30, 2021 and 2020.</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8" w:name="page159"/>
    <w:bookmarkEnd w:id="1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14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valuation of warrant liability, deferred tax asset and tax receivable agreement liability, revenue recognition, stock-based compensation, and the recognition and disclosure of contingent liabilities.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operates in a relatively new industry where laws and regulations vary significantly by jurisdiction. Currently, several states permit medical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Accounts receivable is recorded at the invoiced amount and does not bear interest. The allowance for doubtful accounts is the Company’s best estimate of the amount of probable credit losses in existing accounts receivable. The allowance for doubtful accounts is reviewed on a monthly basis and the Company reserves for all balances outstanding in excess of ninety days. Account balances are written off against the allowance when it is determined that it is probable that the receivable will not be recovered. The Company recorded a provision for doubtful accounts of $3.0 million and $0.9 million as of September 30, 2021 and December 31, 2020,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Company’s revenues are derived primarily from monthly subscriptions and additional offerings for access to the Company’s Weedmaps platform and the Company’s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w:t>
      </w:r>
    </w:p>
    <w:p>
      <w:pPr>
        <w:spacing w:after="0" w:line="19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Substantially all of the Company’s revenue is generated by providing standard listing and software subscription services and other paid listing subscriptions services, including featured listings, promoted deals, nearby listings and other display advertising to its customers. These arrangements are recognized over-time, generally during a month-to-month subscription period as the products are provided. The Company may also provide services to its customers, including access to the Company’s orders functionality, which are recognized at a point in time, typically when an order for delivery or pickup is submitted.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 Starting on January 1, 2021, the Company eliminated the technology services fee charge related to the Company’s orders functionality.</w:t>
      </w:r>
    </w:p>
    <w:p>
      <w:pPr>
        <w:spacing w:after="0" w:line="166" w:lineRule="exact"/>
        <w:rPr>
          <w:sz w:val="20"/>
          <w:szCs w:val="20"/>
          <w:color w:val="auto"/>
        </w:rPr>
      </w:pPr>
    </w:p>
    <w:p>
      <w:pPr>
        <w:jc w:val="both"/>
        <w:ind w:right="20" w:firstLine="486"/>
        <w:spacing w:after="0" w:line="296" w:lineRule="auto"/>
        <w:rPr>
          <w:sz w:val="20"/>
          <w:szCs w:val="20"/>
          <w:color w:val="auto"/>
        </w:rPr>
      </w:pPr>
      <w:r>
        <w:rPr>
          <w:rFonts w:ascii="Arial" w:cs="Arial" w:eastAsia="Arial" w:hAnsi="Arial"/>
          <w:sz w:val="16"/>
          <w:szCs w:val="16"/>
          <w:color w:val="auto"/>
        </w:rPr>
        <w:t>Deferred revenue primarily consists of billings or payments received in advance of revenue recognition from subscription offerings, as described above, and is recognized as the revenue recognition criteria are met. The prior year deferred revenue balance of $5.3 million was fully recognized in the first quarter of fiscal year 2021, and the deferred revenue balance as of September 30, 2021 of $7.8 million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9" w:name="page160"/>
    <w:bookmarkEnd w:id="1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3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disaggregated net revenue information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Revenues recognized over time</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112,615</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line="216" w:lineRule="exact"/>
              <w:rPr>
                <w:sz w:val="20"/>
                <w:szCs w:val="20"/>
                <w:color w:val="auto"/>
              </w:rPr>
            </w:pPr>
            <w:r>
              <w:rPr>
                <w:rFonts w:ascii="Arial" w:cs="Arial" w:eastAsia="Arial" w:hAnsi="Arial"/>
                <w:sz w:val="16"/>
                <w:szCs w:val="16"/>
                <w:color w:val="auto"/>
              </w:rPr>
              <w:t>Revenues recognized at a point in time</w:t>
            </w:r>
            <w:r>
              <w:rPr>
                <w:rFonts w:ascii="Arial" w:cs="Arial" w:eastAsia="Arial" w:hAnsi="Arial"/>
                <w:sz w:val="25"/>
                <w:szCs w:val="25"/>
                <w:color w:val="auto"/>
                <w:vertAlign w:val="superscript"/>
              </w:rPr>
              <w:t>(2)</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2,046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4,855</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50,884</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138,969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117,470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1"/>
        </w:trPr>
        <w:tc>
          <w:tcPr>
            <w:tcW w:w="5980" w:type="dxa"/>
            <w:vAlign w:val="bottom"/>
          </w:tcPr>
          <w:p>
            <w:pPr>
              <w:spacing w:after="0"/>
              <w:rPr>
                <w:sz w:val="20"/>
                <w:szCs w:val="20"/>
                <w:color w:val="auto"/>
              </w:rPr>
            </w:pPr>
            <w:r>
              <w:rPr>
                <w:rFonts w:ascii="Arial" w:cs="Arial" w:eastAsia="Arial" w:hAnsi="Arial"/>
                <w:sz w:val="18"/>
                <w:szCs w:val="18"/>
                <w:color w:val="auto"/>
              </w:rPr>
              <w:t>_________________</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Revenues from listing subscription services, featured listings and other advertising products.</w:t>
      </w:r>
    </w:p>
    <w:p>
      <w:pPr>
        <w:spacing w:after="0" w:line="7" w:lineRule="exact"/>
        <w:rPr>
          <w:rFonts w:ascii="Arial" w:cs="Arial" w:eastAsia="Arial" w:hAnsi="Arial"/>
          <w:sz w:val="18"/>
          <w:szCs w:val="18"/>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Revenues from use of orders functionality.</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U.S. and foreign revenues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U.S. 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91,275</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Foreign revenues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11,628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26,195</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50,884</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138,969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117,470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All foreign revenues were generated in Canada. During the second half of fiscal 2020, the Company discontinued its services to Canada-based retail operator clients who failed to provide valid license information, similar to the transition the Company implemented in California at the end of fiscal 2019. Following the completion of the discontinuation of such services, all revenue has been generated in the United States.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The Company uses the asset and liability method of accounting for income taxes under ASC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Under the guidance,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more-likely-than-not the deferred tax assets will not be realized.</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and tax law developments.</w:t>
      </w:r>
    </w:p>
    <w:p>
      <w:pPr>
        <w:spacing w:after="0" w:line="18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0" w:name="page161"/>
    <w:bookmarkEnd w:id="1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15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three and nine months ended September 30, 2021, the Company recorded a provision for income taxes of $0.4 million and $0.2 million, respectively. The provision for income taxes during the first quarter of 2021 was the result of an audit performed by the Canada Revenue Agency on prior years income taxes paid by the Company’s subsidiary, WM Canada Holdings, Inc. The effective tax rates differ from the federal statutory rate of 21% primarily due to the impact of warrant valuations, non-controlling interests represented by the portion of the flow-through income not subject to tax, permanent stock based compensation, and state taxes.</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cost of revenue primarily consists of web hosting, internet service costs, and credit card processing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225"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The Company expenses the cost of advertising in the period incurred. Advertising expense totaled $4.1 million and $2.4 million for the three months ended September 30, 2021 and 2020, respectively, and $11.9 million and $6.7 million for the nine months ended September 30, 2021 and 2020, respectively, and are included in sales and marketing expense in the accompanying condensed consolidated statements of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Contributions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expenses the costs of all political contributions in the period incurred. Political contributions totaled $0.2 million and $0.3 million for the three months ended September 30, 2021 and 2020, respectively, and $0.5 million and $0.6 million for the nine months ended September 30, 2021 and 2020, respectively, and are included in other expense in the accompanying condensed consolidated statements of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measures fair value of employee stock-based compensation awards on the date of grant and allocates the related expense over the requisite service period. The fair value of the Class P Units are measured using the Black-Scholes-Merton valuation model. When awards include a performance condition that impacts the vesting for exercisability of the award, the Company records compensation cost when it becomes probable that the performance condition will be met and the service is provided. The expected volatility is based on the historical volatility and implied volatilities for comparable companies, the expected life of the award is based on the simplified method.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1" w:name="page162"/>
    <w:bookmarkEnd w:id="1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3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and its subsidiaries operate in one business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w:t>
      </w:r>
    </w:p>
    <w:p>
      <w:pPr>
        <w:spacing w:after="0" w:line="1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Prior to the Business Combination, the membership structure of Legacy WMH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 The basic and diluted income (loss) per share for the nine months ended September 30, 2021 represent the period from June 16, 2021 (Closing Date) to September 30,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Company assumed 12,499,933 Public Warrants and 7,000,000 Private Placement Warrants (together, the “Warrants”) upon the Closing, all of which were issued in connection with Silver Spike’s initial public offering and entitle the holder to purchase one share of Class A Common Stock at an exercise price of at $11.50 per share. All of the Warrants remained outstanding as of September 30, 2021.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16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 xml:space="preserve">The Company evaluated the Warrants under ASC 815-40 </w:t>
      </w:r>
      <w:r>
        <w:rPr>
          <w:rFonts w:ascii="Arial" w:cs="Arial" w:eastAsia="Arial" w:hAnsi="Arial"/>
          <w:sz w:val="16"/>
          <w:szCs w:val="16"/>
          <w:i w:val="1"/>
          <w:iCs w:val="1"/>
          <w:color w:val="auto"/>
        </w:rPr>
        <w:t>- Derivatives and Hedging - Contracts in Entity’s Own Equity</w:t>
      </w:r>
      <w:r>
        <w:rPr>
          <w:rFonts w:ascii="Arial" w:cs="Arial" w:eastAsia="Arial" w:hAnsi="Arial"/>
          <w:sz w:val="16"/>
          <w:szCs w:val="16"/>
          <w:color w:val="auto"/>
        </w:rPr>
        <w:t>, and concluded they do not meet the criteria to be classified in stockholders’ equity. Specifically, the 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income at each reporting date.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2" w:name="page163"/>
    <w:bookmarkEnd w:id="1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The Company follows the guidance in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its financial assets and liabilities that are re-measured and reported at fair value at each reporting period.</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820" w:right="20" w:hanging="326"/>
        <w:spacing w:after="0" w:line="308" w:lineRule="auto"/>
        <w:tabs>
          <w:tab w:leader="none" w:pos="8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46" w:lineRule="exact"/>
        <w:rPr>
          <w:rFonts w:ascii="Arial" w:cs="Arial" w:eastAsia="Arial" w:hAnsi="Arial"/>
          <w:sz w:val="17"/>
          <w:szCs w:val="17"/>
          <w:color w:val="auto"/>
        </w:rPr>
      </w:pPr>
    </w:p>
    <w:p>
      <w:pPr>
        <w:ind w:left="820" w:hanging="326"/>
        <w:spacing w:after="0" w:line="277" w:lineRule="auto"/>
        <w:tabs>
          <w:tab w:leader="none" w:pos="8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3: Unobservable inputs based on the Company assessment of the assumptions that market participants would use in pricing the asset or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Business Combination was accomplished through what is commonly referred to as an “Up-C” structure, which is often used by partnerships and limited liability companies undertaking an initial public offering. The Up-C structure allows the Legacy WMH Unit holders to retain their equity ownership in WMH LLC, an entity that is classified as a partnership for U.S. federal income tax purposes, in the form of Units and provides potential future tax benefits for both the Company and the WMH LLC Unit holders when they ultimately exchange their pass-through interests for shares of Class A Common Stock. Additionally, the Company could obtain future increases in its tax basis of the assets of WMH LLC when such units are redeemed or exchanged by the continuing members. This increase in tax basis may have the effect of reducing the amounts paid in the future to various tax authorities. The increase in tax basis may also decrease gains (or increase losses) on future dispositions of certain capital assets to the extent tax basis is allocated to those capital assets.</w:t>
      </w:r>
    </w:p>
    <w:p>
      <w:pPr>
        <w:spacing w:after="0" w:line="19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connection with the Business Combination, the Company entered into a tax receivable agreement (the “Tax Receivable Agreement”)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 xml:space="preserve">Effective January 1, 2021, the Company accounts for its leases under ASC 842 - </w:t>
      </w:r>
      <w:r>
        <w:rPr>
          <w:rFonts w:ascii="Arial" w:cs="Arial" w:eastAsia="Arial" w:hAnsi="Arial"/>
          <w:sz w:val="17"/>
          <w:szCs w:val="17"/>
          <w:i w:val="1"/>
          <w:iCs w:val="1"/>
          <w:color w:val="auto"/>
        </w:rPr>
        <w:t>Leases</w:t>
      </w:r>
      <w:r>
        <w:rPr>
          <w:rFonts w:ascii="Arial" w:cs="Arial" w:eastAsia="Arial" w:hAnsi="Arial"/>
          <w:sz w:val="17"/>
          <w:szCs w:val="17"/>
          <w:color w:val="auto"/>
        </w:rPr>
        <w:t>. Under this guidance, lessees classify arrangements meeting the definition of a lease as operating or financing leases, and leases are recorded on the consolidated balance sheet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3" w:name="page164"/>
    <w:bookmarkEnd w:id="1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36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The Company continues to account for leases in the prior period financial statements under ASC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Equity Security</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Investments in equity securities that do not have a readily determinable fair value and qualify for the measurement alternative for equity investments provided in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xml:space="preserve"> are accounted for at cost, less any impairment, plus or minus changes resulting from observable price changes in orderly transactions for an identical or similar investment of the same issuer. As of September 30, 2021, the carrying value of the Company’s investment in an equity security without a readily determinable fair value was $3.0 million, which is recorded within Other assets on the Company’s condensed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consolidated statements of operations. The Company adopted ASC 842 as of January 1, 2021, using the modified retrospective transition approach by recording an ROU asset and lease liability for operating leases of $43.3 million and $48.4 million, respectively, at that date; the Company did not have any finance lease assets and liabilities upon adoption or any arrangements where it acts as a lessor. Adoption of ASC 842 did not have an effect on the Company’s retained earnings. The Company availed itself of the practical expedients provided under ASC 842 regarding identification of leases, lease classification, indirect costs, and the combination of lease and non-lease components for all classes of assets. The Company continues to account for leases in the prior period financial statements under ASC 840.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January 1, 2021, the Company adopted ASC 842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related costs for the three and nine months ended September 30, 2021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4920" w:type="dxa"/>
            <w:vAlign w:val="bottom"/>
            <w:gridSpan w:val="4"/>
          </w:tcPr>
          <w:p>
            <w:pPr>
              <w:ind w:left="3060"/>
              <w:spacing w:after="0"/>
              <w:rPr>
                <w:sz w:val="20"/>
                <w:szCs w:val="20"/>
                <w:color w:val="auto"/>
              </w:rPr>
            </w:pPr>
            <w:r>
              <w:rPr>
                <w:rFonts w:ascii="Arial" w:cs="Arial" w:eastAsia="Arial" w:hAnsi="Arial"/>
                <w:sz w:val="18"/>
                <w:szCs w:val="18"/>
                <w:b w:val="1"/>
                <w:bCs w:val="1"/>
                <w:color w:val="auto"/>
              </w:rPr>
              <w:t>Three Months Ended</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6"/>
              </w:rPr>
              <w:t>Nine Months Ended</w:t>
            </w:r>
          </w:p>
        </w:tc>
      </w:tr>
      <w:tr>
        <w:trPr>
          <w:trHeight w:val="241"/>
        </w:trPr>
        <w:tc>
          <w:tcPr>
            <w:tcW w:w="46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6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 2021</w:t>
            </w: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30, 2021</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0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100" w:type="dxa"/>
            <w:vAlign w:val="bottom"/>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Variable lease cost</w:t>
            </w:r>
          </w:p>
        </w:tc>
        <w:tc>
          <w:tcPr>
            <w:tcW w:w="3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565</w:t>
            </w:r>
          </w:p>
        </w:tc>
        <w:tc>
          <w:tcPr>
            <w:tcW w:w="6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30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8,833</w:t>
            </w:r>
          </w:p>
        </w:tc>
        <w:tc>
          <w:tcPr>
            <w:tcW w:w="100" w:type="dxa"/>
            <w:vAlign w:val="bottom"/>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Short-term lease cost</w:t>
            </w:r>
          </w:p>
        </w:tc>
        <w:tc>
          <w:tcPr>
            <w:tcW w:w="3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57"/>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cost</w:t>
            </w:r>
          </w:p>
        </w:tc>
        <w:tc>
          <w:tcPr>
            <w:tcW w:w="3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For the three and nine months ended September 30, 2021, the Company made cash payments of $2.4 million and $5.9 million, respectively, on its operating leases, all of which were included in cash flows from operating activities within the condensed consolidated statements of cash flows. During the nine months ended September 30, 2021, ROU assets obtained in exchange for operating lease liabilities were $43.3 million.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4" w:name="page165"/>
    <w:bookmarkEnd w:id="1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500"/>
              <w:spacing w:after="0"/>
              <w:rPr>
                <w:sz w:val="20"/>
                <w:szCs w:val="20"/>
                <w:color w:val="auto"/>
              </w:rPr>
            </w:pPr>
            <w:r>
              <w:rPr>
                <w:rFonts w:ascii="Arial" w:cs="Arial" w:eastAsia="Arial" w:hAnsi="Arial"/>
                <w:sz w:val="18"/>
                <w:szCs w:val="18"/>
                <w:color w:val="auto"/>
                <w:w w:val="99"/>
              </w:rPr>
              <w:t>As of September 30, 2021, future minimum payments for the next five years and thereafter are as follows (in thousands):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Operating</w:t>
            </w:r>
          </w:p>
        </w:tc>
      </w:tr>
      <w:tr>
        <w:trPr>
          <w:trHeight w:val="241"/>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Leases</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Remaining period in 2021 (three months)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9,597</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Year ended December 31, 2024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9,405</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29,732</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Future minimum lease payments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66,805</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Less: present value discount</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(20,736)</w:t>
            </w:r>
          </w:p>
        </w:tc>
      </w:tr>
      <w:tr>
        <w:trPr>
          <w:trHeight w:val="257"/>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of September 30, 2021, the Company’s operating leases had a weighted average remaining lease term of 7.6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During the nine months ended September 30, 2021, the Company recognized an impairment charge of $2.4 million related to an ROU asset reducing the carrying value of the lease asset to its estimated fair value. The fair value was estimated using an income approach based on management’s forecast of future cash flows expected to be derived based on current sublease market rent. The impairment charge is included in general and administrative expenses in the condensed consolidated statements of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4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September 2019, the Company received a grand jury subpoena prepared by the United States Attorney’s Office for the Eastern District of California (“DOJ”). The subpoena demanded certain categories of information from the Company, some of which the Company has already provided. Management believes that the outcome of such inquiry will not have a material adverse impact of the Company’s financial position, results of operations, or cash flow. On August 4, 2021, the DOJ notified the Company that the DOJ was withdrawing the subpoena issued in September 2019, and that it had no present plan to exercise its discretion to proceed further in the matter. The DOJ cautioned that its decision not to proceed further did not constitute a grant of immunity, and that its plans could change in the future without notice.</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Beginning on January 27, 2021, purported stockholders of Silver Spike filed or threatened to file lawsuits in connection with the Merger, including two actions filed in the Supreme Court of the State of New York, captioned, Brait v. Silver Spike Acquisition Corp., et al., Index No. 650629/2021 (N.Y. Sup. Ct.), and Stout v. Silver Spike Acquisition Corp., et al., No. 650686/2021 (N.Y. Sup. Ct.). The operative complaints in the Brait and Stout actions allege that the Registration Statement issued in connection with the Merger omits material information related to the proposed transaction, and asserts claims for breach of fiduciary duty against certain of Silver Spike’s then officers and directors and for aiding and abetting breach of fiduciary duty against Silver Spike. The Stout complaint also asserts aiding and abetting claims against Legacy WMH and Merger Sub. Plaintiffs seek injunctive relief to enjoin the Merger and to require defendants to issue supplemental disclosures as outlined in the complaints or, in the event the transaction is consummated in the absence of such supplemental disclosures, an order rescinding the transaction and awarding rescissory damages. Plaintiffs also seek an award of attorneys’ fees and costs. The Company has received similar demands from other purported shareholders of Silver Spike,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Merger, pending dissemination of supplemental disclosures, unspecified damages and attorneys’ fees and costs. The Brait action was voluntarily discontinued on June 29, 2021.The Company believes that these allegations are without merit. These matters are in the early stages and the Company is unable to reasonably determine the outcome or estimate the loss, if any, and as such, have not recorded a loss contingency.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5" w:name="page166"/>
    <w:bookmarkEnd w:id="1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following table presents information about the Company’s liabilities that are measured at fair value on a recurring basis at September 30, 2021 and December 31, 2020, and indicates the fair value hierarchy of the valuation inputs the Company utilized to determine such fair value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1"/>
              </w:rPr>
              <w:t>Level</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 Public Warrants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Warrant liability – Private Placement Warrants</w:t>
            </w:r>
          </w:p>
        </w:tc>
        <w:tc>
          <w:tcPr>
            <w:tcW w:w="12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56,350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warrant liability</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110,350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426"/>
        </w:trPr>
        <w:tc>
          <w:tcPr>
            <w:tcW w:w="8700" w:type="dxa"/>
            <w:vAlign w:val="bottom"/>
            <w:tcBorders>
              <w:top w:val="single" w:sz="8" w:color="CCEEFF"/>
            </w:tcBorders>
            <w:gridSpan w:val="7"/>
          </w:tcPr>
          <w:p>
            <w:pPr>
              <w:ind w:left="500"/>
              <w:spacing w:after="0"/>
              <w:rPr>
                <w:sz w:val="20"/>
                <w:szCs w:val="20"/>
                <w:color w:val="auto"/>
              </w:rPr>
            </w:pPr>
            <w:r>
              <w:rPr>
                <w:rFonts w:ascii="Arial" w:cs="Arial" w:eastAsia="Arial" w:hAnsi="Arial"/>
                <w:sz w:val="18"/>
                <w:szCs w:val="18"/>
                <w:color w:val="auto"/>
              </w:rPr>
              <w:t>The following tables summarize the changes in the fair value of the warrant liabilities (in thousands):</w:t>
            </w: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9"/>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12"/>
          </w:tcPr>
          <w:p>
            <w:pPr>
              <w:ind w:left="160"/>
              <w:spacing w:after="0"/>
              <w:rPr>
                <w:sz w:val="20"/>
                <w:szCs w:val="20"/>
                <w:color w:val="auto"/>
              </w:rPr>
            </w:pPr>
            <w:r>
              <w:rPr>
                <w:rFonts w:ascii="Arial" w:cs="Arial" w:eastAsia="Arial" w:hAnsi="Arial"/>
                <w:sz w:val="18"/>
                <w:szCs w:val="18"/>
                <w:b w:val="1"/>
                <w:bCs w:val="1"/>
                <w:color w:val="auto"/>
              </w:rPr>
              <w:t>Three months ended September 30, 2021</w:t>
            </w:r>
          </w:p>
        </w:tc>
      </w:tr>
      <w:tr>
        <w:trPr>
          <w:trHeight w:val="198"/>
        </w:trPr>
        <w:tc>
          <w:tcPr>
            <w:tcW w:w="7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4"/>
          </w:tcPr>
          <w:p>
            <w:pPr>
              <w:jc w:val="center"/>
              <w:ind w:right="420"/>
              <w:spacing w:after="0" w:line="198" w:lineRule="exact"/>
              <w:rPr>
                <w:sz w:val="20"/>
                <w:szCs w:val="20"/>
                <w:color w:val="auto"/>
              </w:rPr>
            </w:pPr>
            <w:r>
              <w:rPr>
                <w:rFonts w:ascii="Arial" w:cs="Arial" w:eastAsia="Arial" w:hAnsi="Arial"/>
                <w:sz w:val="18"/>
                <w:szCs w:val="18"/>
                <w:b w:val="1"/>
                <w:bCs w:val="1"/>
                <w:color w:val="auto"/>
                <w:w w:val="93"/>
              </w:rPr>
              <w:t>Private</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ind w:left="140"/>
              <w:spacing w:after="0"/>
              <w:rPr>
                <w:sz w:val="20"/>
                <w:szCs w:val="20"/>
                <w:color w:val="auto"/>
              </w:rPr>
            </w:pPr>
            <w:r>
              <w:rPr>
                <w:rFonts w:ascii="Arial" w:cs="Arial" w:eastAsia="Arial" w:hAnsi="Arial"/>
                <w:sz w:val="18"/>
                <w:szCs w:val="18"/>
                <w:b w:val="1"/>
                <w:bCs w:val="1"/>
                <w:color w:val="auto"/>
              </w:rPr>
              <w:t>Public</w:t>
            </w:r>
          </w:p>
        </w:tc>
        <w:tc>
          <w:tcPr>
            <w:tcW w:w="100" w:type="dxa"/>
            <w:vAlign w:val="bottom"/>
          </w:tcPr>
          <w:p>
            <w:pPr>
              <w:spacing w:after="0"/>
              <w:rPr>
                <w:sz w:val="18"/>
                <w:szCs w:val="18"/>
                <w:color w:val="auto"/>
              </w:rPr>
            </w:pPr>
          </w:p>
        </w:tc>
        <w:tc>
          <w:tcPr>
            <w:tcW w:w="12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8"/>
              </w:rPr>
              <w:t>Placement</w:t>
            </w: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Warrant</w:t>
            </w: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b w:val="1"/>
                <w:bCs w:val="1"/>
                <w:color w:val="auto"/>
              </w:rPr>
              <w:t>Warrants</w:t>
            </w:r>
          </w:p>
        </w:tc>
        <w:tc>
          <w:tcPr>
            <w:tcW w:w="100" w:type="dxa"/>
            <w:vAlign w:val="bottom"/>
          </w:tcPr>
          <w:p>
            <w:pPr>
              <w:spacing w:after="0"/>
              <w:rPr>
                <w:sz w:val="20"/>
                <w:szCs w:val="20"/>
                <w:color w:val="auto"/>
              </w:rPr>
            </w:pPr>
          </w:p>
        </w:tc>
        <w:tc>
          <w:tcPr>
            <w:tcW w:w="12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4"/>
              </w:rPr>
              <w:t>Warrants</w:t>
            </w: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Liabilities</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Fair value, beginning of period</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156,187</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Change in valuation inputs or other assumptions</w:t>
            </w:r>
          </w:p>
        </w:tc>
        <w:tc>
          <w:tcPr>
            <w:tcW w:w="12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(25,375)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(20,462)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(45,837)</w:t>
            </w:r>
          </w:p>
        </w:tc>
      </w:tr>
      <w:tr>
        <w:trPr>
          <w:trHeight w:val="257"/>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Fair value,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56,350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110,350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12"/>
          </w:tcPr>
          <w:p>
            <w:pPr>
              <w:jc w:val="right"/>
              <w:ind w:right="500"/>
              <w:spacing w:after="0"/>
              <w:rPr>
                <w:sz w:val="20"/>
                <w:szCs w:val="20"/>
                <w:color w:val="auto"/>
              </w:rPr>
            </w:pPr>
            <w:r>
              <w:rPr>
                <w:rFonts w:ascii="Arial" w:cs="Arial" w:eastAsia="Arial" w:hAnsi="Arial"/>
                <w:sz w:val="18"/>
                <w:szCs w:val="18"/>
                <w:b w:val="1"/>
                <w:bCs w:val="1"/>
                <w:color w:val="auto"/>
                <w:w w:val="96"/>
              </w:rPr>
              <w:t>Nine months ended September 30, 2021</w:t>
            </w:r>
          </w:p>
        </w:tc>
      </w:tr>
      <w:tr>
        <w:trPr>
          <w:trHeight w:val="198"/>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4"/>
          </w:tcPr>
          <w:p>
            <w:pPr>
              <w:jc w:val="center"/>
              <w:ind w:right="300"/>
              <w:spacing w:after="0" w:line="198" w:lineRule="exact"/>
              <w:rPr>
                <w:sz w:val="20"/>
                <w:szCs w:val="20"/>
                <w:color w:val="auto"/>
              </w:rPr>
            </w:pPr>
            <w:r>
              <w:rPr>
                <w:rFonts w:ascii="Arial" w:cs="Arial" w:eastAsia="Arial" w:hAnsi="Arial"/>
                <w:sz w:val="18"/>
                <w:szCs w:val="18"/>
                <w:b w:val="1"/>
                <w:bCs w:val="1"/>
                <w:color w:val="auto"/>
                <w:w w:val="93"/>
              </w:rPr>
              <w:t>Private</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2"/>
              </w:rPr>
              <w:t>Public</w:t>
            </w:r>
          </w:p>
        </w:tc>
        <w:tc>
          <w:tcPr>
            <w:tcW w:w="100" w:type="dxa"/>
            <w:vAlign w:val="bottom"/>
          </w:tcPr>
          <w:p>
            <w:pPr>
              <w:spacing w:after="0"/>
              <w:rPr>
                <w:sz w:val="18"/>
                <w:szCs w:val="18"/>
                <w:color w:val="auto"/>
              </w:rPr>
            </w:pPr>
          </w:p>
        </w:tc>
        <w:tc>
          <w:tcPr>
            <w:tcW w:w="122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Placement</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Warrant</w:t>
            </w: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4"/>
              </w:rPr>
              <w:t>Warrants</w:t>
            </w:r>
          </w:p>
        </w:tc>
        <w:tc>
          <w:tcPr>
            <w:tcW w:w="100" w:type="dxa"/>
            <w:vAlign w:val="bottom"/>
          </w:tcPr>
          <w:p>
            <w:pPr>
              <w:spacing w:after="0"/>
              <w:rPr>
                <w:sz w:val="20"/>
                <w:szCs w:val="20"/>
                <w:color w:val="auto"/>
              </w:rPr>
            </w:pPr>
          </w:p>
        </w:tc>
        <w:tc>
          <w:tcPr>
            <w:tcW w:w="12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4"/>
              </w:rPr>
              <w:t>Warrants</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Liabilities</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Warrant liability acquired</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100,750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93,228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193,978</w:t>
            </w:r>
          </w:p>
        </w:tc>
      </w:tr>
      <w:tr>
        <w:trPr>
          <w:trHeight w:val="22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(46,750)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(36,878)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(83,628)</w:t>
            </w:r>
          </w:p>
        </w:tc>
      </w:tr>
      <w:tr>
        <w:trPr>
          <w:trHeight w:val="216"/>
        </w:trPr>
        <w:tc>
          <w:tcPr>
            <w:tcW w:w="732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Fair value,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54,000</w:t>
            </w: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56,350</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110,350</w:t>
            </w:r>
          </w:p>
        </w:tc>
        <w:tc>
          <w:tcPr>
            <w:tcW w:w="100" w:type="dxa"/>
            <w:vAlign w:val="bottom"/>
            <w:tcBorders>
              <w:top w:val="single" w:sz="8" w:color="CCEEFF"/>
            </w:tcBorders>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Warrants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determined the fair value of its public warrants, which were originally issued in the initial public offering of Silver Spike (the “Public Warrants”) based on the publicly listed trading price of such warrants as of the valuation date. Accordingly, the Public Warrants are classified as Level 1 financial instruments. The fair value of the Public Warrants was $54.0 million and $100.8 million as of September 30, 2021 and June 16, 2021,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Warrants</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estimated fair value of the warrants that were originally issued in a private placement (the “Private Placement Warrants” and together with the Public Warrants, the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6" w:name="page167"/>
    <w:bookmarkEnd w:id="1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200" w:type="dxa"/>
            <w:vAlign w:val="bottom"/>
          </w:tcPr>
          <w:p>
            <w:pPr>
              <w:spacing w:after="0"/>
              <w:rPr>
                <w:sz w:val="20"/>
                <w:szCs w:val="20"/>
                <w:color w:val="auto"/>
              </w:rPr>
            </w:pP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rPr>
              <w:t>September 30, 2021</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16, 2021</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Stock price</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14.50</w:t>
            </w:r>
          </w:p>
        </w:tc>
        <w:tc>
          <w:tcPr>
            <w:tcW w:w="2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20.55</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Term (years)</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0.92%</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0.89%</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Significant changes in the volatility would result in a significant lower or higher fair value measurement, respectively.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fair value of the Private Placement Warrants was $56.4 million and $93.2 million as of September 30, 2021 and June 16, 2020, respectively.</w:t>
      </w:r>
    </w:p>
    <w:p>
      <w:pPr>
        <w:spacing w:after="0" w:line="24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 xml:space="preserve">The Warrants were accounted for as liabilities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and are presented within warrant liability on the accompanying condensed consolidated balance sheets. The warrant liabilities are measured at fair value at inception and on a recurring basis, with changes in fair value presented within change in fair value of warrant liability in the condensed consolidated statements of income.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Combination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further discussed in Note 1, on June 16, 2021, the Company consummated the Business Combination pursuant to the Merger Agreement.</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Closing, the following occurred:</w:t>
      </w:r>
    </w:p>
    <w:p>
      <w:pPr>
        <w:spacing w:after="0" w:line="225" w:lineRule="exact"/>
        <w:rPr>
          <w:sz w:val="20"/>
          <w:szCs w:val="20"/>
          <w:color w:val="auto"/>
        </w:rPr>
      </w:pPr>
    </w:p>
    <w:p>
      <w:pPr>
        <w:ind w:left="820" w:hanging="326"/>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Silver Spike was domesticated and continues as a Delaware corporation, changing its name to “WM Technology, Inc.”</w:t>
      </w:r>
    </w:p>
    <w:p>
      <w:pPr>
        <w:spacing w:after="0" w:line="225" w:lineRule="exact"/>
        <w:rPr>
          <w:rFonts w:ascii="Arial" w:cs="Arial" w:eastAsia="Arial" w:hAnsi="Arial"/>
          <w:sz w:val="18"/>
          <w:szCs w:val="18"/>
          <w:color w:val="auto"/>
        </w:rPr>
      </w:pPr>
    </w:p>
    <w:p>
      <w:pPr>
        <w:jc w:val="both"/>
        <w:ind w:left="820" w:hanging="326"/>
        <w:spacing w:after="0" w:line="263" w:lineRule="auto"/>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183" w:lineRule="exact"/>
        <w:rPr>
          <w:rFonts w:ascii="Arial" w:cs="Arial" w:eastAsia="Arial" w:hAnsi="Arial"/>
          <w:sz w:val="18"/>
          <w:szCs w:val="18"/>
          <w:color w:val="auto"/>
        </w:rPr>
      </w:pPr>
    </w:p>
    <w:p>
      <w:pPr>
        <w:ind w:left="820" w:hanging="326"/>
        <w:spacing w:after="0" w:line="342" w:lineRule="auto"/>
        <w:tabs>
          <w:tab w:leader="none" w:pos="8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123" w:lineRule="exact"/>
        <w:rPr>
          <w:rFonts w:ascii="Arial" w:cs="Arial" w:eastAsia="Arial" w:hAnsi="Arial"/>
          <w:sz w:val="16"/>
          <w:szCs w:val="16"/>
          <w:color w:val="auto"/>
        </w:rPr>
      </w:pPr>
    </w:p>
    <w:p>
      <w:pPr>
        <w:jc w:val="both"/>
        <w:ind w:left="820" w:hanging="326"/>
        <w:spacing w:after="0" w:line="301" w:lineRule="auto"/>
        <w:tabs>
          <w:tab w:leader="none" w:pos="8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157" w:lineRule="exact"/>
        <w:rPr>
          <w:rFonts w:ascii="Arial" w:cs="Arial" w:eastAsia="Arial" w:hAnsi="Arial"/>
          <w:sz w:val="16"/>
          <w:szCs w:val="16"/>
          <w:color w:val="auto"/>
        </w:rPr>
      </w:pPr>
    </w:p>
    <w:p>
      <w:pPr>
        <w:ind w:left="820" w:hanging="326"/>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transferred $455.2 million to the Legacy WMH equity holders as cash consideration.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Legacy WMH equity holders retained an aggregate of 65,502,347 Class A Units and 25,896,042 Class P Units.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7" w:name="page168"/>
    <w:bookmarkEnd w:id="1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366" w:lineRule="exact"/>
        <w:rPr>
          <w:sz w:val="20"/>
          <w:szCs w:val="20"/>
          <w:color w:val="auto"/>
        </w:rPr>
      </w:pPr>
    </w:p>
    <w:p>
      <w:pPr>
        <w:ind w:left="820" w:right="20" w:hanging="326"/>
        <w:spacing w:after="0" w:line="277"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issued 65,502,347 shares of Class V Common Stock to Class A Unit holders, representing the same number of Class A Units retained by the Legacy WMH equity holders.</w:t>
      </w:r>
    </w:p>
    <w:p>
      <w:pPr>
        <w:spacing w:after="0" w:line="170" w:lineRule="exact"/>
        <w:rPr>
          <w:rFonts w:ascii="Arial" w:cs="Arial" w:eastAsia="Arial" w:hAnsi="Arial"/>
          <w:sz w:val="18"/>
          <w:szCs w:val="18"/>
          <w:color w:val="auto"/>
        </w:rPr>
      </w:pPr>
    </w:p>
    <w:p>
      <w:pPr>
        <w:jc w:val="both"/>
        <w:ind w:left="820" w:hanging="326"/>
        <w:spacing w:after="0" w:line="255"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Tax Receivable Agreement, including tax benefits attributable to payments under the Tax Receivable Agreement.</w:t>
      </w:r>
    </w:p>
    <w:p>
      <w:pPr>
        <w:spacing w:after="0" w:line="19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reconciles the elements of the Business Combination to the condensed consolidated statements of cash flows and the condensed consolidated statements of equity for the nine months ended September 30, 2021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41"/>
        </w:trPr>
        <w:tc>
          <w:tcPr>
            <w:tcW w:w="10020" w:type="dxa"/>
            <w:vAlign w:val="bottom"/>
          </w:tcPr>
          <w:p>
            <w:pPr>
              <w:spacing w:after="0"/>
              <w:rPr>
                <w:sz w:val="20"/>
                <w:szCs w:val="20"/>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Combination</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 Silver Spike trust and cash, net of redemptions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Cash - PIPE Financing</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Less: cash consideration paid to Legacy WMH equity holders</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(455,182)</w:t>
            </w:r>
          </w:p>
        </w:tc>
        <w:tc>
          <w:tcPr>
            <w:tcW w:w="0" w:type="dxa"/>
            <w:vAlign w:val="bottom"/>
          </w:tcPr>
          <w:p>
            <w:pPr>
              <w:spacing w:after="0"/>
              <w:rPr>
                <w:sz w:val="1"/>
                <w:szCs w:val="1"/>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Less: transaction costs and advisory fees</w:t>
            </w:r>
          </w:p>
        </w:tc>
        <w:tc>
          <w:tcPr>
            <w:tcW w:w="1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(44,052)</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the Business Combination</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Less: initial fair value of warrant liability recognized in the Business Combination</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(193,978)</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Add: transaction costs allocated to Warrants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Add: non-cash assets assumed from Silver Spike</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Add: deferred tax asset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147,973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Less: tax receivable agreement liability</w:t>
            </w:r>
          </w:p>
        </w:tc>
        <w:tc>
          <w:tcPr>
            <w:tcW w:w="1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(126,150)</w:t>
            </w:r>
          </w:p>
        </w:tc>
        <w:tc>
          <w:tcPr>
            <w:tcW w:w="0" w:type="dxa"/>
            <w:vAlign w:val="bottom"/>
          </w:tcPr>
          <w:p>
            <w:pPr>
              <w:spacing w:after="0"/>
              <w:rPr>
                <w:sz w:val="1"/>
                <w:szCs w:val="1"/>
                <w:color w:val="auto"/>
              </w:rPr>
            </w:pPr>
          </w:p>
        </w:tc>
      </w:tr>
      <w:tr>
        <w:trPr>
          <w:trHeight w:val="256"/>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adjustment to total equity from the Business Combination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(85,586)</w:t>
            </w: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10020" w:type="dxa"/>
            <w:vAlign w:val="bottom"/>
          </w:tcPr>
          <w:p>
            <w:pPr>
              <w:ind w:left="500"/>
              <w:spacing w:after="0"/>
              <w:rPr>
                <w:sz w:val="20"/>
                <w:szCs w:val="20"/>
                <w:color w:val="auto"/>
              </w:rPr>
            </w:pPr>
            <w:r>
              <w:rPr>
                <w:rFonts w:ascii="Arial" w:cs="Arial" w:eastAsia="Arial" w:hAnsi="Arial"/>
                <w:sz w:val="18"/>
                <w:szCs w:val="18"/>
                <w:color w:val="auto"/>
              </w:rPr>
              <w:t>The number of shares of common stock issued immediately following the Closing: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41"/>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outstanding prior to the Business Combination</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24,998,575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Less: redemption of shares of Silver Spike’s Class A common stock</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of Silver Spike’s Class A common stock</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24,988,563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Shares of Class A Common Stock held by Silver Spike’s Sponsor</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6,250,000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of Class A Common Stock issued in the PIPE Financing</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32,500,000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Shares of Class A Common Stock issued in the Business Combination</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63,738,563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of Class V Common Stock issued to Legacy WMH equity holders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65,502,347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Total shares of common stock issued in the Business Combination</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129,240,910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ind w:left="5480"/>
              <w:spacing w:after="0"/>
              <w:rPr>
                <w:sz w:val="20"/>
                <w:szCs w:val="20"/>
                <w:color w:val="auto"/>
              </w:rPr>
            </w:pPr>
            <w:r>
              <w:rPr>
                <w:rFonts w:ascii="Arial" w:cs="Arial" w:eastAsia="Arial" w:hAnsi="Arial"/>
                <w:sz w:val="14"/>
                <w:szCs w:val="14"/>
                <w:color w:val="auto"/>
              </w:rPr>
              <w:t>F-33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6"/>
        </w:trPr>
        <w:tc>
          <w:tcPr>
            <w:tcW w:w="10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68" w:name="page169"/>
    <w:bookmarkEnd w:id="1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366"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Net income for the period from June 16, 2021 (Closing Date) to September 30, 2021 was $58.7 million, which includes change in fair value of warrant liability of $83.6 million, stock-based compensation expense of $23.6 million and transaction costs related to the warrant liability of $5.5 million. The transaction costs related to the warrant liability is included in other expense, net on the accompanying condensed consolidated statements of income.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Sprout</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acquired assets of Sprout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components of consideration and the preliminary estimated fair value of assets acquired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Consideration Transferred:</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line="216" w:lineRule="exact"/>
              <w:rPr>
                <w:sz w:val="20"/>
                <w:szCs w:val="20"/>
                <w:color w:val="auto"/>
              </w:rPr>
            </w:pPr>
            <w:r>
              <w:rPr>
                <w:rFonts w:ascii="Arial" w:cs="Arial" w:eastAsia="Arial" w:hAnsi="Arial"/>
                <w:sz w:val="16"/>
                <w:szCs w:val="16"/>
                <w:color w:val="auto"/>
              </w:rPr>
              <w:t>Share consideration</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19,186</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consideration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Assets Acquired:</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Software technology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Total asset acquired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31,186</w:t>
            </w:r>
          </w:p>
        </w:tc>
        <w:tc>
          <w:tcPr>
            <w:tcW w:w="10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fair value of share consideration issued in connection with the Spout acquisition was calculated based on 1,244,258 shares of Class A common stock issued multiplied by the share price on the closing date of $15.42.</w:t>
      </w:r>
    </w:p>
    <w:p>
      <w:pPr>
        <w:spacing w:after="0" w:line="170"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184"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Sprout’s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ectPr>
          <w:pgSz w:w="11900" w:h="16838" w:orient="portrait"/>
          <w:cols w:equalWidth="0" w:num="1">
            <w:col w:w="11240"/>
          </w:cols>
          <w:pgMar w:left="320" w:top="122" w:right="3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9" w:name="page170"/>
    <w:bookmarkEnd w:id="1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36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During the three and nine months ended September 30, 2021, the Company incurred transaction expenses associated with the Sprout acquisition of $0.8 million, which is included in general and administrative expenses in the condensed consolidated statements of income.</w:t>
      </w:r>
    </w:p>
    <w:p>
      <w:pPr>
        <w:spacing w:after="0" w:line="170"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The revenue and operating loss from Sprout included the Company’s condensed consolidated statements of income for the period from September 3, 2021 (acquisition date) through September 30, 2021 were not material. Pro forma revenue and earnings amounts on a combined basis have not been presented as they are not material to the Company’s historical pre-acquisition financials.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 Logistics Holding</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acquired assets of TLH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components of consideration and the preliminary estimated fair value of assets acquired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Consideration Transferred:</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Cash consideration</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line="216" w:lineRule="exact"/>
              <w:rPr>
                <w:sz w:val="20"/>
                <w:szCs w:val="20"/>
                <w:color w:val="auto"/>
              </w:rPr>
            </w:pPr>
            <w:r>
              <w:rPr>
                <w:rFonts w:ascii="Arial" w:cs="Arial" w:eastAsia="Arial" w:hAnsi="Arial"/>
                <w:sz w:val="16"/>
                <w:szCs w:val="16"/>
                <w:color w:val="auto"/>
              </w:rPr>
              <w:t>Share consideration</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10,126</w:t>
            </w:r>
          </w:p>
        </w:tc>
        <w:tc>
          <w:tcPr>
            <w:tcW w:w="100" w:type="dxa"/>
            <w:vAlign w:val="bottom"/>
          </w:tcPr>
          <w:p>
            <w:pPr>
              <w:spacing w:after="0"/>
              <w:rPr>
                <w:sz w:val="19"/>
                <w:szCs w:val="19"/>
                <w:color w:val="auto"/>
              </w:rPr>
            </w:pPr>
          </w:p>
        </w:tc>
      </w:tr>
      <w:tr>
        <w:trPr>
          <w:trHeight w:val="256"/>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consideration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Assets Acquired:</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Software technology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Total asset acquired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15,126</w:t>
            </w:r>
          </w:p>
        </w:tc>
        <w:tc>
          <w:tcPr>
            <w:tcW w:w="10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holdback of $1.0 million recorded within other current liabilities on the Company’s condensed consolidated balance sheets.</w:t>
      </w:r>
    </w:p>
    <w:p>
      <w:pPr>
        <w:spacing w:after="0" w:line="23"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fair value of share consideration issued in connection with the TLH acquisition was calculated based on 694,540 shares of Class A common stock issued multiplied by the share price on the closing date of $14.58.</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0" w:name="page171"/>
    <w:bookmarkEnd w:id="1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366"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184"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TLH’s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19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three and nine months ended September 30, 2021, the Company incurred transaction expenses associated with the TLH acquisition of $0.6 million, which is included in general and administrative expenses in the condensed consolidated statements of income</w:t>
      </w:r>
    </w:p>
    <w:p>
      <w:pPr>
        <w:spacing w:after="0" w:line="170"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The revenue and operating loss from TLH included the Company’s condensed consolidated statements of income for the period from September 29, 2021 (acquisition date) through September 30, 2021 were not material. Pro forma revenue and earnings amounts on a combined basis have not been presented as they are not material to the Company’s historical pre-acquisition financials.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changes in goodwill for the nine months ended September 30, 2021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Goodwill</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6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Acquisition of Sprout</w:t>
            </w:r>
          </w:p>
        </w:tc>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27,049</w:t>
            </w:r>
          </w:p>
        </w:tc>
      </w:tr>
      <w:tr>
        <w:trPr>
          <w:trHeight w:val="223"/>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 of TLH</w:t>
            </w:r>
          </w:p>
        </w:tc>
        <w:tc>
          <w:tcPr>
            <w:tcW w:w="6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6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45,658</w:t>
            </w:r>
          </w:p>
        </w:tc>
        <w:tc>
          <w:tcPr>
            <w:tcW w:w="100" w:type="dxa"/>
            <w:vAlign w:val="bottom"/>
          </w:tcPr>
          <w:p>
            <w:pPr>
              <w:spacing w:after="0"/>
              <w:rPr>
                <w:sz w:val="18"/>
                <w:szCs w:val="18"/>
                <w:color w:val="auto"/>
              </w:rPr>
            </w:pPr>
          </w:p>
        </w:tc>
      </w:tr>
      <w:tr>
        <w:trPr>
          <w:trHeight w:val="21"/>
        </w:trPr>
        <w:tc>
          <w:tcPr>
            <w:tcW w:w="38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3860" w:type="dxa"/>
            <w:vAlign w:val="bottom"/>
          </w:tcPr>
          <w:p>
            <w:pPr>
              <w:spacing w:after="0"/>
              <w:rPr>
                <w:sz w:val="24"/>
                <w:szCs w:val="24"/>
                <w:color w:val="auto"/>
              </w:rPr>
            </w:pPr>
          </w:p>
        </w:tc>
        <w:tc>
          <w:tcPr>
            <w:tcW w:w="6320" w:type="dxa"/>
            <w:vAlign w:val="bottom"/>
            <w:gridSpan w:val="2"/>
          </w:tcPr>
          <w:p>
            <w:pPr>
              <w:jc w:val="right"/>
              <w:ind w:right="4330"/>
              <w:spacing w:after="0"/>
              <w:rPr>
                <w:sz w:val="20"/>
                <w:szCs w:val="20"/>
                <w:color w:val="auto"/>
              </w:rPr>
            </w:pPr>
            <w:r>
              <w:rPr>
                <w:rFonts w:ascii="Arial" w:cs="Arial" w:eastAsia="Arial" w:hAnsi="Arial"/>
                <w:sz w:val="14"/>
                <w:szCs w:val="14"/>
                <w:color w:val="auto"/>
              </w:rPr>
              <w:t>F-36</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860" w:type="dxa"/>
            <w:vAlign w:val="bottom"/>
            <w:tcBorders>
              <w:bottom w:val="single" w:sz="8" w:color="auto"/>
            </w:tcBorders>
          </w:tcPr>
          <w:p>
            <w:pPr>
              <w:spacing w:after="0"/>
              <w:rPr>
                <w:sz w:val="4"/>
                <w:szCs w:val="4"/>
                <w:color w:val="auto"/>
              </w:rPr>
            </w:pPr>
          </w:p>
        </w:tc>
        <w:tc>
          <w:tcPr>
            <w:tcW w:w="6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71" w:name="page172"/>
    <w:bookmarkEnd w:id="1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3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consisted of the following as of September 30, 2021 and December 31, 2020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w w:val="89"/>
              </w:rPr>
              <w:t>September 30, 2021</w:t>
            </w: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26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Period</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Intangible</w:t>
            </w:r>
          </w:p>
        </w:tc>
        <w:tc>
          <w:tcPr>
            <w:tcW w:w="10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Accumulated</w:t>
            </w:r>
          </w:p>
        </w:tc>
        <w:tc>
          <w:tcPr>
            <w:tcW w:w="1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Net Intangible</w:t>
            </w: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20"/>
                <w:szCs w:val="20"/>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6"/>
              </w:rPr>
              <w:t>Amortization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Assets</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Trade and domain names</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(3,917)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Software technology</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5,694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(2,976)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2,718</w:t>
            </w:r>
          </w:p>
        </w:tc>
      </w:tr>
      <w:tr>
        <w:trPr>
          <w:trHeight w:val="223"/>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1,932</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15,339</w:t>
            </w: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1"/>
              </w:rPr>
              <w:t>(6,893)</w:t>
            </w:r>
          </w:p>
        </w:tc>
        <w:tc>
          <w:tcPr>
            <w:tcW w:w="2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8,446</w:t>
            </w: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4"/>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433"/>
        </w:trPr>
        <w:tc>
          <w:tcPr>
            <w:tcW w:w="5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ind w:left="300"/>
              <w:spacing w:after="0"/>
              <w:rPr>
                <w:sz w:val="20"/>
                <w:szCs w:val="20"/>
                <w:color w:val="auto"/>
              </w:rPr>
            </w:pPr>
            <w:r>
              <w:rPr>
                <w:rFonts w:ascii="Arial" w:cs="Arial" w:eastAsia="Arial" w:hAnsi="Arial"/>
                <w:sz w:val="18"/>
                <w:szCs w:val="18"/>
                <w:b w:val="1"/>
                <w:bCs w:val="1"/>
                <w:color w:val="auto"/>
                <w:w w:val="94"/>
              </w:rPr>
              <w:t>December 31, 2020</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5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Period</w:t>
            </w: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Intangible</w:t>
            </w:r>
          </w:p>
        </w:tc>
        <w:tc>
          <w:tcPr>
            <w:tcW w:w="1320" w:type="dxa"/>
            <w:vAlign w:val="bottom"/>
            <w:gridSpan w:val="4"/>
          </w:tcPr>
          <w:p>
            <w:pPr>
              <w:ind w:left="100"/>
              <w:spacing w:after="0"/>
              <w:rPr>
                <w:sz w:val="20"/>
                <w:szCs w:val="20"/>
                <w:color w:val="auto"/>
              </w:rPr>
            </w:pPr>
            <w:r>
              <w:rPr>
                <w:rFonts w:ascii="Arial" w:cs="Arial" w:eastAsia="Arial" w:hAnsi="Arial"/>
                <w:sz w:val="18"/>
                <w:szCs w:val="18"/>
                <w:b w:val="1"/>
                <w:bCs w:val="1"/>
                <w:color w:val="auto"/>
              </w:rPr>
              <w:t>Accumulated</w:t>
            </w:r>
          </w:p>
        </w:tc>
        <w:tc>
          <w:tcPr>
            <w:tcW w:w="13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Net Intangible</w:t>
            </w: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1"/>
              </w:rPr>
              <w:t>Assets</w:t>
            </w:r>
          </w:p>
        </w:tc>
        <w:tc>
          <w:tcPr>
            <w:tcW w:w="1320" w:type="dxa"/>
            <w:vAlign w:val="bottom"/>
            <w:gridSpan w:val="4"/>
          </w:tcPr>
          <w:p>
            <w:pPr>
              <w:ind w:left="8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1"/>
              </w:rPr>
              <w:t>Assets</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Trade and domain names</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7,255</w:t>
            </w: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(3,556)</w:t>
            </w: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00" w:type="dxa"/>
            <w:vAlign w:val="bottom"/>
            <w:shd w:val="clear" w:color="auto" w:fill="CCEEFF"/>
          </w:tcPr>
          <w:p>
            <w:pPr>
              <w:spacing w:after="0"/>
              <w:rPr>
                <w:sz w:val="18"/>
                <w:szCs w:val="18"/>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Software technology</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3,469</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1"/>
              </w:rPr>
              <w:t>(2,663)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806</w:t>
            </w:r>
          </w:p>
        </w:tc>
      </w:tr>
      <w:tr>
        <w:trPr>
          <w:trHeight w:val="257"/>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10,724</w:t>
            </w:r>
          </w:p>
        </w:tc>
        <w:tc>
          <w:tcPr>
            <w:tcW w:w="72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(6,219)</w:t>
            </w:r>
          </w:p>
        </w:tc>
        <w:tc>
          <w:tcPr>
            <w:tcW w:w="28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4,505</w:t>
            </w: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Amortization expense for intangible assets was $0.2 million during each of the three months ended September 30, 2021 and 2020, and $0.7 millions during each of the nine months ended September 30, 2021 and 2020.</w:t>
      </w:r>
    </w:p>
    <w:p>
      <w:pPr>
        <w:sectPr>
          <w:pgSz w:w="11900" w:h="16838" w:orient="portrait"/>
          <w:cols w:equalWidth="0" w:num="1">
            <w:col w:w="11240"/>
          </w:cols>
          <w:pgMar w:left="320" w:top="122" w:right="339" w:bottom="1440" w:gutter="0" w:footer="0" w:header="0"/>
        </w:sectPr>
      </w:pP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estimated future amortization expense of intangible assets as of September 30, 2021 is as follows (in thousands):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Remaining period in 2021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Year ended December 31,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Year ended December 31, 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ind w:left="835" w:hanging="835"/>
        <w:spacing w:after="0"/>
        <w:tabs>
          <w:tab w:leader="none" w:pos="835" w:val="left"/>
        </w:tabs>
        <w:numPr>
          <w:ilvl w:val="0"/>
          <w:numId w:val="70"/>
        </w:numPr>
        <w:rPr>
          <w:rFonts w:ascii="Arial" w:cs="Arial" w:eastAsia="Arial" w:hAnsi="Arial"/>
          <w:sz w:val="16"/>
          <w:szCs w:val="16"/>
          <w:color w:val="auto"/>
        </w:rPr>
      </w:pPr>
      <w:r>
        <w:rPr>
          <w:rFonts w:ascii="Arial" w:cs="Arial" w:eastAsia="Arial" w:hAnsi="Arial"/>
          <w:sz w:val="16"/>
          <w:szCs w:val="16"/>
          <w:color w:val="auto"/>
        </w:rPr>
        <w:t>611</w:t>
      </w:r>
    </w:p>
    <w:p>
      <w:pPr>
        <w:spacing w:after="0" w:line="46" w:lineRule="exact"/>
        <w:rPr>
          <w:rFonts w:ascii="Arial" w:cs="Arial" w:eastAsia="Arial" w:hAnsi="Arial"/>
          <w:sz w:val="16"/>
          <w:szCs w:val="16"/>
          <w:color w:val="auto"/>
        </w:rPr>
      </w:pPr>
    </w:p>
    <w:p>
      <w:pPr>
        <w:ind w:left="695"/>
        <w:spacing w:after="0"/>
        <w:rPr>
          <w:rFonts w:ascii="Arial" w:cs="Arial" w:eastAsia="Arial" w:hAnsi="Arial"/>
          <w:sz w:val="16"/>
          <w:szCs w:val="16"/>
          <w:color w:val="auto"/>
        </w:rPr>
      </w:pPr>
      <w:r>
        <w:rPr>
          <w:rFonts w:ascii="Arial" w:cs="Arial" w:eastAsia="Arial" w:hAnsi="Arial"/>
          <w:sz w:val="16"/>
          <w:szCs w:val="16"/>
          <w:color w:val="auto"/>
        </w:rPr>
        <w:t>2,057</w:t>
      </w:r>
    </w:p>
    <w:p>
      <w:pPr>
        <w:spacing w:after="0" w:line="32" w:lineRule="exact"/>
        <w:rPr>
          <w:rFonts w:ascii="Arial" w:cs="Arial" w:eastAsia="Arial" w:hAnsi="Arial"/>
          <w:sz w:val="16"/>
          <w:szCs w:val="16"/>
          <w:color w:val="auto"/>
        </w:rPr>
      </w:pPr>
    </w:p>
    <w:p>
      <w:pPr>
        <w:ind w:left="695"/>
        <w:spacing w:after="0"/>
        <w:rPr>
          <w:rFonts w:ascii="Arial" w:cs="Arial" w:eastAsia="Arial" w:hAnsi="Arial"/>
          <w:sz w:val="16"/>
          <w:szCs w:val="16"/>
          <w:color w:val="auto"/>
        </w:rPr>
      </w:pPr>
      <w:r>
        <w:rPr>
          <w:rFonts w:ascii="Arial" w:cs="Arial" w:eastAsia="Arial" w:hAnsi="Arial"/>
          <w:sz w:val="16"/>
          <w:szCs w:val="16"/>
          <w:color w:val="auto"/>
        </w:rPr>
        <w:t>1,659</w:t>
      </w:r>
    </w:p>
    <w:p>
      <w:pPr>
        <w:spacing w:after="0" w:line="32" w:lineRule="exact"/>
        <w:rPr>
          <w:rFonts w:ascii="Arial" w:cs="Arial" w:eastAsia="Arial" w:hAnsi="Arial"/>
          <w:sz w:val="16"/>
          <w:szCs w:val="16"/>
          <w:color w:val="auto"/>
        </w:rPr>
      </w:pPr>
    </w:p>
    <w:p>
      <w:pPr>
        <w:ind w:left="695"/>
        <w:spacing w:after="0"/>
        <w:rPr>
          <w:rFonts w:ascii="Arial" w:cs="Arial" w:eastAsia="Arial" w:hAnsi="Arial"/>
          <w:sz w:val="16"/>
          <w:szCs w:val="16"/>
          <w:color w:val="auto"/>
        </w:rPr>
      </w:pPr>
      <w:r>
        <w:rPr>
          <w:rFonts w:ascii="Arial" w:cs="Arial" w:eastAsia="Arial" w:hAnsi="Arial"/>
          <w:sz w:val="16"/>
          <w:szCs w:val="16"/>
          <w:color w:val="auto"/>
        </w:rPr>
        <w:t>1,442</w:t>
      </w:r>
    </w:p>
    <w:p>
      <w:pPr>
        <w:spacing w:after="0" w:line="32" w:lineRule="exact"/>
        <w:rPr>
          <w:rFonts w:ascii="Arial" w:cs="Arial" w:eastAsia="Arial" w:hAnsi="Arial"/>
          <w:sz w:val="16"/>
          <w:szCs w:val="16"/>
          <w:color w:val="auto"/>
        </w:rPr>
      </w:pPr>
    </w:p>
    <w:p>
      <w:pPr>
        <w:ind w:left="695"/>
        <w:spacing w:after="0"/>
        <w:rPr>
          <w:rFonts w:ascii="Arial" w:cs="Arial" w:eastAsia="Arial" w:hAnsi="Arial"/>
          <w:sz w:val="16"/>
          <w:szCs w:val="16"/>
          <w:color w:val="auto"/>
        </w:rPr>
      </w:pPr>
      <w:r>
        <w:rPr>
          <w:rFonts w:ascii="Arial" w:cs="Arial" w:eastAsia="Arial" w:hAnsi="Arial"/>
          <w:sz w:val="16"/>
          <w:szCs w:val="16"/>
          <w:color w:val="auto"/>
        </w:rPr>
        <w:t>1,017</w:t>
      </w:r>
    </w:p>
    <w:p>
      <w:pPr>
        <w:spacing w:after="0" w:line="32" w:lineRule="exact"/>
        <w:rPr>
          <w:rFonts w:ascii="Arial" w:cs="Arial" w:eastAsia="Arial" w:hAnsi="Arial"/>
          <w:sz w:val="16"/>
          <w:szCs w:val="16"/>
          <w:color w:val="auto"/>
        </w:rPr>
      </w:pPr>
    </w:p>
    <w:p>
      <w:pPr>
        <w:ind w:left="695"/>
        <w:spacing w:after="0"/>
        <w:rPr>
          <w:rFonts w:ascii="Arial" w:cs="Arial" w:eastAsia="Arial" w:hAnsi="Arial"/>
          <w:sz w:val="16"/>
          <w:szCs w:val="16"/>
          <w:color w:val="auto"/>
        </w:rPr>
      </w:pPr>
      <w:r>
        <w:rPr>
          <w:rFonts w:ascii="Arial" w:cs="Arial" w:eastAsia="Arial" w:hAnsi="Arial"/>
          <w:sz w:val="16"/>
          <w:szCs w:val="16"/>
          <w:color w:val="auto"/>
        </w:rPr>
        <w:t>1,660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0294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5" w:lineRule="exact"/>
        <w:rPr>
          <w:sz w:val="20"/>
          <w:szCs w:val="20"/>
          <w:color w:val="auto"/>
        </w:rPr>
      </w:pPr>
    </w:p>
    <w:p>
      <w:pPr>
        <w:ind w:left="695" w:hanging="695"/>
        <w:spacing w:after="0"/>
        <w:tabs>
          <w:tab w:leader="none" w:pos="695" w:val="left"/>
        </w:tabs>
        <w:numPr>
          <w:ilvl w:val="0"/>
          <w:numId w:val="71"/>
        </w:numPr>
        <w:rPr>
          <w:rFonts w:ascii="Arial" w:cs="Arial" w:eastAsia="Arial" w:hAnsi="Arial"/>
          <w:sz w:val="16"/>
          <w:szCs w:val="16"/>
          <w:color w:val="auto"/>
        </w:rPr>
      </w:pPr>
      <w:r>
        <w:rPr>
          <w:rFonts w:ascii="Arial" w:cs="Arial" w:eastAsia="Arial" w:hAnsi="Arial"/>
          <w:sz w:val="16"/>
          <w:szCs w:val="16"/>
          <w:color w:val="auto"/>
        </w:rPr>
        <w:t>8,446</w:t>
      </w:r>
    </w:p>
    <w:p>
      <w:pPr>
        <w:spacing w:after="0" w:line="200" w:lineRule="exact"/>
        <w:rPr>
          <w:sz w:val="20"/>
          <w:szCs w:val="20"/>
          <w:color w:val="auto"/>
        </w:rPr>
      </w:pPr>
    </w:p>
    <w:p>
      <w:pPr>
        <w:sectPr>
          <w:pgSz w:w="11900" w:h="16838" w:orient="portrait"/>
          <w:cols w:equalWidth="0" w:num="2">
            <w:col w:w="9305" w:space="720"/>
            <w:col w:w="1215"/>
          </w:cols>
          <w:pgMar w:left="320" w:top="122" w:right="33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Accounts Payable and Accrued Expenses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accrued liabilities as of September 30, 2021 and December 31, 2020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8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2021</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Accrued employee expenses</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6,586</w:t>
            </w:r>
          </w:p>
        </w:tc>
      </w:tr>
      <w:tr>
        <w:trPr>
          <w:trHeight w:val="223"/>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23,881</w:t>
            </w:r>
          </w:p>
        </w:tc>
        <w:tc>
          <w:tcPr>
            <w:tcW w:w="10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12,651</w:t>
            </w:r>
          </w:p>
        </w:tc>
      </w:tr>
      <w:tr>
        <w:trPr>
          <w:trHeight w:val="20"/>
        </w:trPr>
        <w:tc>
          <w:tcPr>
            <w:tcW w:w="7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 Liability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September 30, 2021, there were 12,499,933 Public Warrants outstanding and 7,000,000 Private Placement Warrants outstanding.</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w:t>
      </w:r>
    </w:p>
    <w:p>
      <w:pPr>
        <w:sectPr>
          <w:pgSz w:w="11900" w:h="16838" w:orient="portrait"/>
          <w:cols w:equalWidth="0" w:num="1">
            <w:col w:w="11240"/>
          </w:cols>
          <w:pgMar w:left="320" w:top="122" w:right="339" w:bottom="1440" w:gutter="0" w:footer="0" w:header="0"/>
          <w:type w:val="continuous"/>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2" w:name="page173"/>
    <w:bookmarkEnd w:id="1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3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18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1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16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Company concluded the Public Warrants and Private Placement Warrants, or the Warrants, meet the definition of a derivative under ASC 815-</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(as described in Note 2) and are recorded as liabilities. Upon the Closing, the fair value of the Warrants was recorded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The fair value of the Warrants was remeasured as of September 30, 2021, resulting in a non-cash change in fair Warrant liabilities of $45.8 million and $83.6 million in the condensed consolidated statements of income for the three and nine months ended September 30, 2021, respectively.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3" w:name="page174"/>
    <w:bookmarkEnd w:id="1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Preemptive or Other Rights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holders of the Class V Common Stock will not participate in any dividends declared by the Company’s board of directors.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4" w:name="page175"/>
    <w:bookmarkEnd w:id="1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36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are not entitled to receive any of the Company’s assets.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Preemptive or Other Rights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Issuance and Retirement of Class V Common Stock</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September 30, 2021, there were no shares of preferred stock issued or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noncontrolling interest represents the Units held by holders other than the Company. As of September 30, 2021, the noncontrolling interests owned 56.6%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accompanying condensed consolidated statements of income for the nine months ended September 30,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WM Holding Company, LLC Equity Incentive Plan</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 xml:space="preserve">The Company has accounted for the issuance of Class A-3 and Class B Units issued under WM Holding Company, LLC’s Equity Incentive Plan in accordance with ASC 718 - </w:t>
      </w:r>
      <w:r>
        <w:rPr>
          <w:rFonts w:ascii="Arial" w:cs="Arial" w:eastAsia="Arial" w:hAnsi="Arial"/>
          <w:sz w:val="17"/>
          <w:szCs w:val="17"/>
          <w:i w:val="1"/>
          <w:iCs w:val="1"/>
          <w:color w:val="auto"/>
        </w:rPr>
        <w:t>Stock Based Compensation</w:t>
      </w:r>
      <w:r>
        <w:rPr>
          <w:rFonts w:ascii="Arial" w:cs="Arial" w:eastAsia="Arial" w:hAnsi="Arial"/>
          <w:sz w:val="17"/>
          <w:szCs w:val="17"/>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16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16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5" w:name="page176"/>
    <w:bookmarkEnd w:id="1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500"/>
              <w:spacing w:after="0"/>
              <w:rPr>
                <w:sz w:val="20"/>
                <w:szCs w:val="20"/>
                <w:color w:val="auto"/>
              </w:rPr>
            </w:pPr>
            <w:r>
              <w:rPr>
                <w:rFonts w:ascii="Arial" w:cs="Arial" w:eastAsia="Arial" w:hAnsi="Arial"/>
                <w:sz w:val="18"/>
                <w:szCs w:val="18"/>
                <w:color w:val="auto"/>
              </w:rPr>
              <w:t>A summary of the Class P Unit activity for the nine months ended September 30, 2021 is as follows: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02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Number of</w:t>
            </w:r>
          </w:p>
        </w:tc>
      </w:tr>
      <w:tr>
        <w:trPr>
          <w:trHeight w:val="241"/>
        </w:trPr>
        <w:tc>
          <w:tcPr>
            <w:tcW w:w="1002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Units</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Outstanding Class A-3 and Class B Units,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274,816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Repurchases</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(8,279)</w:t>
            </w:r>
          </w:p>
        </w:tc>
      </w:tr>
      <w:tr>
        <w:trPr>
          <w:trHeight w:val="22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(4,288)</w:t>
            </w:r>
          </w:p>
        </w:tc>
      </w:tr>
      <w:tr>
        <w:trPr>
          <w:trHeight w:val="216"/>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Class A-3 and Class B Units, June 15, 2021 (Pre-Business Combination)</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262,249</w:t>
            </w:r>
          </w:p>
        </w:tc>
        <w:tc>
          <w:tcPr>
            <w:tcW w:w="100" w:type="dxa"/>
            <w:vAlign w:val="bottom"/>
            <w:tcBorders>
              <w:top w:val="single" w:sz="8" w:color="CCEEFF"/>
            </w:tcBorders>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Class A-3 Units outstanding exchanged for Class A Units in connection with the Business Combination</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(53,333)</w:t>
            </w: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Recapitalization in connection with the Business Combination</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25,687,126</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Outstanding Class P Units, June 16,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25,896,042</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Cancellations</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(216,920)</w:t>
            </w: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Class P Units, September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25,679,122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020" w:type="dxa"/>
            <w:vAlign w:val="bottom"/>
          </w:tcPr>
          <w:p>
            <w:pPr>
              <w:spacing w:after="0"/>
              <w:rPr>
                <w:sz w:val="20"/>
                <w:szCs w:val="20"/>
                <w:color w:val="auto"/>
              </w:rPr>
            </w:pPr>
            <w:r>
              <w:rPr>
                <w:rFonts w:ascii="Arial" w:cs="Arial" w:eastAsia="Arial" w:hAnsi="Arial"/>
                <w:sz w:val="18"/>
                <w:szCs w:val="18"/>
                <w:color w:val="auto"/>
              </w:rPr>
              <w:t>Vested, September 30, 2021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23,197,454</w:t>
            </w:r>
          </w:p>
        </w:tc>
        <w:tc>
          <w:tcPr>
            <w:tcW w:w="10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As of September 30, 2021, unrecognized stock-based compensation expense for non-vested Class P Units was $5.0 million, which is expected to be recognized over a weighted-average period of 2.2 years. For the three and nine months ended September 30, 2021, the Company recorded stock-based compensation expense for the Class P Units of $0.7 million and $20.1 million, respectively.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nine months ended September 30, 2021 also included a one-time incremental expense of $4.1 million recognized during the second quarter related to an award modification as a result of an advisory agreement entered into with a former executive.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WM Technology, Inc. Equity Incentive Plan</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September 30, 2021, 19,209,986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September 30, 2021, 15,108,441 shares of Class A Common Stock are available for future issuance.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6" w:name="page177"/>
    <w:bookmarkEnd w:id="1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3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restricted stock unit (“RSU”) activity for the nine months ended September 30, 2021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Grant Date</w:t>
            </w:r>
          </w:p>
        </w:tc>
      </w:tr>
      <w:tr>
        <w:trPr>
          <w:trHeight w:val="241"/>
        </w:trPr>
        <w:tc>
          <w:tcPr>
            <w:tcW w:w="868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RSUs</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4,112,855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13.66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(242,600)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(11,310)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13.70</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September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3,858,945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w:t>
            </w: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September 30, 2021, unrecognized stock-based compensation expense for non-vested RSUs was $51.9 million, which is expected to be recognized over a weighted-average period of 3.8 years. For the three and nine months ended September 30, 2021, the Company recorded stock-based compensation expense for the RSUs of $3.5 million.</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recorded stock-based compensation cost related to the Class P Units and RSUs in the following expense categories on the accompanying condensed consolidated statements of income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Ended</w:t>
            </w: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Product development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3,859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23,625</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Amount capitalized to software development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stock-based compensation cost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4,887</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24,320</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Basic income (loss) per share of Class A Common Stock is computed by dividing net earnings (loss) attributable to the Company by the weighted-average number of shares of Class A Common Stock outstanding during the period. Diluted income (loss) per share of Class A Common Stock is computed by dividing net income (loss) attributable to the Company, adjusted for the assumed exchange of all potentially dilutive securities, by the weighted-average number of shares of Class A Common Stock outstanding adjusted to give effect to potentially dilutive shares.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condensed consolidated financial statements. Therefore, net earnings per share information has not been presented for periods prior to the Business Combination on June 16, 2021. The basic and diluted income (loss) per share for the nine months ended September 30, 2021 represent the period from June 16, 2021 (Closing Date) to September 30, 2021.</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7" w:name="page178"/>
    <w:bookmarkEnd w:id="1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36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computation of income (loss) per share attributable to WM Technology, Inc. and weighted-average shares of the Company’s Class A Common Stock outstanding are as follows for the three months ended September 30, 2021 and for period from June 16, 2021 (Closing Date) to September 30, 2021 (amounts in thousands, except for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6"/>
              </w:rPr>
              <w:t>Nine Months Ended</w:t>
            </w:r>
          </w:p>
        </w:tc>
      </w:tr>
      <w:tr>
        <w:trPr>
          <w:trHeight w:val="241"/>
        </w:trPr>
        <w:tc>
          <w:tcPr>
            <w:tcW w:w="7740" w:type="dxa"/>
            <w:vAlign w:val="bottom"/>
          </w:tcPr>
          <w:p>
            <w:pPr>
              <w:spacing w:after="0"/>
              <w:rPr>
                <w:sz w:val="20"/>
                <w:szCs w:val="20"/>
                <w:color w:val="auto"/>
              </w:rPr>
            </w:pPr>
          </w:p>
        </w:tc>
        <w:tc>
          <w:tcPr>
            <w:tcW w:w="186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 2021</w:t>
            </w: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30, 2021</w:t>
            </w:r>
          </w:p>
        </w:tc>
      </w:tr>
      <w:tr>
        <w:trPr>
          <w:trHeight w:val="216"/>
        </w:trPr>
        <w:tc>
          <w:tcPr>
            <w:tcW w:w="774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4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73,773</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Less: net income attributable to WMH LLC prior to the Business Combination</w:t>
            </w:r>
          </w:p>
        </w:tc>
        <w:tc>
          <w:tcPr>
            <w:tcW w:w="4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15,078</w:t>
            </w:r>
          </w:p>
        </w:tc>
      </w:tr>
      <w:tr>
        <w:trPr>
          <w:trHeight w:val="223"/>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 after the Business Combination</w:t>
            </w: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28,370</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Net income attributable to WM Technology, Inc. - Basic</w:t>
            </w: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20,835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25,098</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740" w:type="dxa"/>
            <w:vAlign w:val="bottom"/>
          </w:tcPr>
          <w:p>
            <w:pPr>
              <w:spacing w:after="0" w:line="201" w:lineRule="exact"/>
              <w:rPr>
                <w:sz w:val="20"/>
                <w:szCs w:val="20"/>
                <w:color w:val="auto"/>
              </w:rPr>
            </w:pPr>
            <w:r>
              <w:rPr>
                <w:rFonts w:ascii="Arial" w:cs="Arial" w:eastAsia="Arial" w:hAnsi="Arial"/>
                <w:sz w:val="18"/>
                <w:szCs w:val="18"/>
                <w:color w:val="auto"/>
              </w:rPr>
              <w:t>Less: fair value change of Public and Private Placement Warrants, net of amounts attributable to</w:t>
            </w: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77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19,618</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35,679</w:t>
            </w:r>
          </w:p>
        </w:tc>
      </w:tr>
      <w:tr>
        <w:trPr>
          <w:trHeight w:val="257"/>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WM Technology, Inc. - Diluted</w:t>
            </w: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74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Class A Common Stock outstanding - Basic</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64,216,732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64,149,699</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Weighted average effect of dilutive securities:</w:t>
            </w: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Public Warrants</w:t>
            </w:r>
            <w:r>
              <w:rPr>
                <w:rFonts w:ascii="Arial" w:cs="Arial" w:eastAsia="Arial" w:hAnsi="Arial"/>
                <w:sz w:val="25"/>
                <w:szCs w:val="25"/>
                <w:color w:val="auto"/>
                <w:vertAlign w:val="superscript"/>
              </w:rPr>
              <w:t>1</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2,558,783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3,718,232</w:t>
            </w:r>
          </w:p>
        </w:tc>
      </w:tr>
      <w:tr>
        <w:trPr>
          <w:trHeight w:val="216"/>
        </w:trPr>
        <w:tc>
          <w:tcPr>
            <w:tcW w:w="7740" w:type="dxa"/>
            <w:vAlign w:val="bottom"/>
          </w:tcPr>
          <w:p>
            <w:pPr>
              <w:spacing w:after="0" w:line="216" w:lineRule="exact"/>
              <w:rPr>
                <w:sz w:val="20"/>
                <w:szCs w:val="20"/>
                <w:color w:val="auto"/>
              </w:rPr>
            </w:pPr>
            <w:r>
              <w:rPr>
                <w:rFonts w:ascii="Arial" w:cs="Arial" w:eastAsia="Arial" w:hAnsi="Arial"/>
                <w:sz w:val="16"/>
                <w:szCs w:val="16"/>
                <w:color w:val="auto"/>
              </w:rPr>
              <w:t>Private Placement Warrants</w:t>
            </w:r>
            <w:r>
              <w:rPr>
                <w:rFonts w:ascii="Arial" w:cs="Arial" w:eastAsia="Arial" w:hAnsi="Arial"/>
                <w:sz w:val="25"/>
                <w:szCs w:val="25"/>
                <w:color w:val="auto"/>
                <w:vertAlign w:val="superscript"/>
              </w:rPr>
              <w:t>1</w:t>
            </w: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1,432,918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2,082,210</w:t>
            </w:r>
          </w:p>
        </w:tc>
      </w:tr>
      <w:tr>
        <w:trPr>
          <w:trHeight w:val="223"/>
        </w:trPr>
        <w:tc>
          <w:tcPr>
            <w:tcW w:w="774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Restricted stock units</w:t>
            </w:r>
            <w:r>
              <w:rPr>
                <w:rFonts w:ascii="Arial" w:cs="Arial" w:eastAsia="Arial" w:hAnsi="Arial"/>
                <w:sz w:val="25"/>
                <w:szCs w:val="25"/>
                <w:color w:val="auto"/>
                <w:vertAlign w:val="superscript"/>
              </w:rPr>
              <w:t>1</w:t>
            </w: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95,939</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Weighted average Class A Common Stock outstanding - Diluted</w:t>
            </w: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68,304,372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69,950,141</w:t>
            </w:r>
          </w:p>
        </w:tc>
      </w:tr>
      <w:tr>
        <w:trPr>
          <w:trHeight w:val="20"/>
        </w:trPr>
        <w:tc>
          <w:tcPr>
            <w:tcW w:w="77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b w:val="1"/>
                <w:bCs w:val="1"/>
                <w:color w:val="auto"/>
              </w:rPr>
              <w:t>Net income (loss) per share of Class A Common Stock:</w:t>
            </w: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share of Class A Common Stock - Basic</w:t>
            </w: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740" w:type="dxa"/>
            <w:vAlign w:val="bottom"/>
          </w:tcPr>
          <w:p>
            <w:pPr>
              <w:spacing w:after="0"/>
              <w:rPr>
                <w:sz w:val="20"/>
                <w:szCs w:val="20"/>
                <w:color w:val="auto"/>
              </w:rPr>
            </w:pPr>
            <w:r>
              <w:rPr>
                <w:rFonts w:ascii="Arial" w:cs="Arial" w:eastAsia="Arial" w:hAnsi="Arial"/>
                <w:sz w:val="18"/>
                <w:szCs w:val="18"/>
                <w:color w:val="auto"/>
              </w:rPr>
              <w:t>Net income (loss) per share of Class A Common Stock - Diluted</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r>
      <w:tr>
        <w:trPr>
          <w:trHeight w:val="20"/>
        </w:trPr>
        <w:tc>
          <w:tcPr>
            <w:tcW w:w="77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tab/>
        <w:t>Calculated using the treasury stock method.</w:t>
      </w:r>
    </w:p>
    <w:p>
      <w:pPr>
        <w:spacing w:after="0" w:line="225"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excluded the following securities from its computation of diluted shares outstanding, as their effect would have been anti-dilutive: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6080" w:type="dxa"/>
            <w:vAlign w:val="bottom"/>
            <w:gridSpan w:val="3"/>
          </w:tcPr>
          <w:p>
            <w:pPr>
              <w:jc w:val="center"/>
              <w:ind w:left="3916"/>
              <w:spacing w:after="0"/>
              <w:rPr>
                <w:sz w:val="20"/>
                <w:szCs w:val="20"/>
                <w:color w:val="auto"/>
              </w:rPr>
            </w:pPr>
            <w:r>
              <w:rPr>
                <w:rFonts w:ascii="Arial" w:cs="Arial" w:eastAsia="Arial" w:hAnsi="Arial"/>
                <w:sz w:val="18"/>
                <w:szCs w:val="18"/>
                <w:b w:val="1"/>
                <w:bCs w:val="1"/>
                <w:color w:val="auto"/>
                <w:w w:val="92"/>
              </w:rPr>
              <w:t>Three Months Ended</w:t>
            </w:r>
          </w:p>
        </w:tc>
        <w:tc>
          <w:tcPr>
            <w:tcW w:w="1640" w:type="dxa"/>
            <w:vAlign w:val="bottom"/>
            <w:gridSpan w:val="2"/>
          </w:tcPr>
          <w:p>
            <w:pPr>
              <w:spacing w:after="0"/>
              <w:rPr>
                <w:sz w:val="20"/>
                <w:szCs w:val="20"/>
                <w:color w:val="auto"/>
              </w:rPr>
            </w:pPr>
            <w:r>
              <w:rPr>
                <w:rFonts w:ascii="Arial" w:cs="Arial" w:eastAsia="Arial" w:hAnsi="Arial"/>
                <w:sz w:val="18"/>
                <w:szCs w:val="18"/>
                <w:b w:val="1"/>
                <w:bCs w:val="1"/>
                <w:color w:val="auto"/>
                <w:w w:val="96"/>
              </w:rPr>
              <w:t>Nine Months Ended</w:t>
            </w:r>
          </w:p>
        </w:tc>
      </w:tr>
      <w:tr>
        <w:trPr>
          <w:trHeight w:val="241"/>
        </w:trPr>
        <w:tc>
          <w:tcPr>
            <w:tcW w:w="35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September 30, 2021</w:t>
            </w:r>
          </w:p>
        </w:tc>
        <w:tc>
          <w:tcPr>
            <w:tcW w:w="164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September 30, 2021</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Class A Units</w:t>
            </w:r>
          </w:p>
        </w:tc>
        <w:tc>
          <w:tcPr>
            <w:tcW w:w="422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65,502,347</w:t>
            </w:r>
          </w:p>
        </w:tc>
        <w:tc>
          <w:tcPr>
            <w:tcW w:w="22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65,502,347</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Class P Units</w:t>
            </w:r>
          </w:p>
        </w:tc>
        <w:tc>
          <w:tcPr>
            <w:tcW w:w="6080" w:type="dxa"/>
            <w:vAlign w:val="bottom"/>
            <w:gridSpan w:val="3"/>
          </w:tcPr>
          <w:p>
            <w:pPr>
              <w:jc w:val="right"/>
              <w:ind w:right="220"/>
              <w:spacing w:after="0"/>
              <w:rPr>
                <w:sz w:val="20"/>
                <w:szCs w:val="20"/>
                <w:color w:val="auto"/>
              </w:rPr>
            </w:pPr>
            <w:r>
              <w:rPr>
                <w:rFonts w:ascii="Arial" w:cs="Arial" w:eastAsia="Arial" w:hAnsi="Arial"/>
                <w:sz w:val="18"/>
                <w:szCs w:val="18"/>
                <w:color w:val="auto"/>
              </w:rPr>
              <w:t>25,679,122</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25,679,122</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4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3,858,945</w:t>
            </w:r>
          </w:p>
        </w:tc>
      </w:tr>
      <w:tr>
        <w:trPr>
          <w:trHeight w:val="595"/>
        </w:trPr>
        <w:tc>
          <w:tcPr>
            <w:tcW w:w="3520" w:type="dxa"/>
            <w:vAlign w:val="bottom"/>
          </w:tcPr>
          <w:p>
            <w:pPr>
              <w:spacing w:after="0"/>
              <w:rPr>
                <w:sz w:val="24"/>
                <w:szCs w:val="24"/>
                <w:color w:val="auto"/>
              </w:rPr>
            </w:pPr>
          </w:p>
        </w:tc>
        <w:tc>
          <w:tcPr>
            <w:tcW w:w="6080" w:type="dxa"/>
            <w:vAlign w:val="bottom"/>
            <w:gridSpan w:val="3"/>
          </w:tcPr>
          <w:p>
            <w:pPr>
              <w:ind w:left="1960"/>
              <w:spacing w:after="0"/>
              <w:rPr>
                <w:sz w:val="20"/>
                <w:szCs w:val="20"/>
                <w:color w:val="auto"/>
              </w:rPr>
            </w:pPr>
            <w:r>
              <w:rPr>
                <w:rFonts w:ascii="Arial" w:cs="Arial" w:eastAsia="Arial" w:hAnsi="Arial"/>
                <w:sz w:val="14"/>
                <w:szCs w:val="14"/>
                <w:color w:val="auto"/>
              </w:rPr>
              <w:t>F-43</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3520" w:type="dxa"/>
            <w:vAlign w:val="bottom"/>
            <w:tcBorders>
              <w:bottom w:val="single" w:sz="8" w:color="auto"/>
            </w:tcBorders>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lvl w:ilvl="1">
      <w:lvlJc w:val="left"/>
      <w:lvlText w:val="•"/>
      <w:numFmt w:val="bullet"/>
      <w:start w:val="1"/>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lvl w:ilvl="1">
      <w:lvlJc w:val="left"/>
      <w:lvlText w:val="•"/>
      <w:numFmt w:val="bullet"/>
      <w:start w:val="1"/>
    </w:lvl>
  </w:abstractNum>
  <w:abstractNum w:abstractNumId="29">
    <w:nsid w:val="3DC240FB"/>
    <w:multiLevelType w:val="hybridMultilevel"/>
    <w:lvl w:ilvl="0">
      <w:lvlJc w:val="left"/>
      <w:lvlText w:val="•"/>
      <w:numFmt w:val="bullet"/>
      <w:start w:val="1"/>
    </w:lvl>
    <w:lvl w:ilvl="1">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1)"/>
      <w:numFmt w:val="decimal"/>
      <w:start w:val="1"/>
    </w:lvl>
  </w:abstractNum>
  <w:abstractNum w:abstractNumId="44">
    <w:nsid w:val="235BA861"/>
    <w:multiLevelType w:val="hybridMultilevel"/>
    <w:lvl w:ilvl="0">
      <w:lvlJc w:val="left"/>
      <w:lvlText w:val="(%1)"/>
      <w:numFmt w:val="decimal"/>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1)"/>
      <w:numFmt w:val="decimal"/>
      <w:start w:val="1"/>
    </w:lvl>
  </w:abstractNum>
  <w:abstractNum w:abstractNumId="49">
    <w:nsid w:val="D34B6A8"/>
    <w:multiLevelType w:val="hybridMultilevel"/>
    <w:lvl w:ilvl="0">
      <w:lvlJc w:val="left"/>
      <w:lvlText w:val="(%1)"/>
      <w:numFmt w:val="decimal"/>
      <w:start w:val="7"/>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1)"/>
      <w:numFmt w:val="decimal"/>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1"/>
      <w:numFmt w:val="bullet"/>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1)"/>
      <w:numFmt w:val="decimal"/>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1)"/>
      <w:numFmt w:val="decimal"/>
      <w:start w:val="1"/>
    </w:lvl>
  </w:abstractNum>
  <w:abstractNum w:abstractNumId="68">
    <w:nsid w:val="5F5E7FD0"/>
    <w:multiLevelType w:val="hybridMultilevel"/>
    <w:lvl w:ilvl="0">
      <w:lvlJc w:val="left"/>
      <w:lvlText w:val="(%1)"/>
      <w:numFmt w:val="decimal"/>
      <w:start w:val="1"/>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2021-12-10T15:43:14Z</dcterms:created>
  <dcterms:modified xsi:type="dcterms:W3CDTF">2021-12-10T15:43:14Z</dcterms:modified>
</cp:coreProperties>
</file>