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Camire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4"/>
          </w:tcPr>
          <w:p>
            <w:pPr>
              <w:ind w:left="720"/>
              <w:spacing w:after="0"/>
              <w:rPr>
                <w:sz w:val="20"/>
                <w:szCs w:val="20"/>
                <w:color w:val="auto"/>
              </w:rPr>
            </w:pPr>
            <w:r>
              <w:rPr>
                <w:rFonts w:ascii="Times New Roman" w:cs="Times New Roman" w:eastAsia="Times New Roman" w:hAnsi="Times New Roman"/>
                <w:sz w:val="17"/>
                <w:szCs w:val="17"/>
                <w:color w:val="0000FF"/>
              </w:rPr>
              <w:t>02/18/2026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101,209</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0.6764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1,741,653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as well as any related brokerage commission fees.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$0.66 to $0.71. The Reporting Person will provide upon request to the SEC, the Issuer or security holder of the Issuer, full information regarding the number of shares sold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Brian Camire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7363"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2026-02-20T17:52:07Z</dcterms:created>
  <dcterms:modified xsi:type="dcterms:W3CDTF">2026-02-20T17:52:07Z</dcterms:modified>
</cp:coreProperties>
</file>