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43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399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Feijoo-Osorio Juan Jose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Silver Spike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MAPS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06/16/2021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Marketing Officer</w:t>
      </w:r>
    </w:p>
    <w:p>
      <w:pPr>
        <w:spacing w:after="0" w:line="383" w:lineRule="exact"/>
        <w:rPr>
          <w:sz w:val="24"/>
          <w:szCs w:val="24"/>
          <w:color w:val="auto"/>
        </w:rPr>
      </w:pPr>
    </w:p>
    <w:p>
      <w:pPr>
        <w:sectPr>
          <w:pgSz w:w="11900" w:h="16838" w:orient="portrait"/>
          <w:cols w:equalWidth="0" w:num="3">
            <w:col w:w="3200" w:space="720"/>
            <w:col w:w="3240" w:space="58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1"/>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rPr>
              <w:t>IRVINE</w:t>
            </w:r>
          </w:p>
        </w:tc>
        <w:tc>
          <w:tcPr>
            <w:tcW w:w="1800" w:type="dxa"/>
            <w:vAlign w:val="bottom"/>
            <w:gridSpan w:val="2"/>
            <w:vMerge w:val="restart"/>
          </w:tcPr>
          <w:p>
            <w:pPr>
              <w:ind w:left="6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92618</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Post-</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Merger</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(1)(2)</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681,749</w:t>
            </w:r>
          </w:p>
        </w:tc>
        <w:tc>
          <w:tcPr>
            <w:tcW w:w="40" w:type="dxa"/>
            <w:vAlign w:val="bottom"/>
          </w:tcPr>
          <w:p>
            <w:pPr>
              <w:spacing w:after="0"/>
              <w:rPr>
                <w:sz w:val="5"/>
                <w:szCs w:val="5"/>
                <w:color w:val="auto"/>
              </w:rPr>
            </w:pPr>
          </w:p>
        </w:tc>
        <w:tc>
          <w:tcPr>
            <w:tcW w:w="680" w:type="dxa"/>
            <w:vAlign w:val="bottom"/>
            <w:gridSpan w:val="2"/>
            <w:vMerge w:val="restart"/>
          </w:tcPr>
          <w:p>
            <w:pPr>
              <w:ind w:left="100"/>
              <w:spacing w:after="0" w:line="20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(2)</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06/16/2021</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20"/>
              <w:spacing w:after="0" w:line="140" w:lineRule="exact"/>
              <w:rPr>
                <w:sz w:val="20"/>
                <w:szCs w:val="20"/>
                <w:color w:val="auto"/>
              </w:rPr>
            </w:pPr>
            <w:r>
              <w:rPr>
                <w:rFonts w:ascii="Arial" w:cs="Arial" w:eastAsia="Arial" w:hAnsi="Arial"/>
                <w:sz w:val="13"/>
                <w:szCs w:val="13"/>
                <w:color w:val="0000FF"/>
              </w:rPr>
              <w:t>681,749</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681,749</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Class P</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2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Post-Merger WMH Class P Units represent non-voting limited liability company interests of WMH. Pursuant to the terms of an exchange agreement, each of these Class P units, upon vesting, is exchangeable into up to one share of Class A Common Stock at a variable exchange ratio that accounts for the participation threshold of the exchanged post-merger Class P Units. These exchange rights do not expire.</w:t>
      </w:r>
    </w:p>
    <w:p>
      <w:pPr>
        <w:spacing w:after="0" w:line="30" w:lineRule="exact"/>
        <w:rPr>
          <w:rFonts w:ascii="Arial" w:cs="Arial" w:eastAsia="Arial" w:hAnsi="Arial"/>
          <w:sz w:val="13"/>
          <w:szCs w:val="13"/>
          <w:color w:val="008000"/>
        </w:rPr>
      </w:pPr>
    </w:p>
    <w:p>
      <w:pPr>
        <w:ind w:left="40" w:right="14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Juan Jose Feijoo-Osorio, by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129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Ron A&gt; Metzger, Attorney-in-</w:t>
      </w:r>
      <w:r>
        <w:rPr>
          <w:sz w:val="20"/>
          <w:szCs w:val="20"/>
          <w:color w:val="auto"/>
        </w:rPr>
        <w:tab/>
      </w:r>
      <w:r>
        <w:rPr>
          <w:rFonts w:ascii="Arial" w:cs="Arial" w:eastAsia="Arial" w:hAnsi="Arial"/>
          <w:sz w:val="14"/>
          <w:szCs w:val="14"/>
          <w:color w:val="0000FF"/>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2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2021-06-21T15:32:40Z</dcterms:created>
  <dcterms:modified xsi:type="dcterms:W3CDTF">2021-06-21T15:32:40Z</dcterms:modified>
</cp:coreProperties>
</file>