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Arial" w:cs="Arial" w:eastAsia="Arial" w:hAnsi="Arial"/>
                <w:sz w:val="29"/>
                <w:szCs w:val="29"/>
                <w:b w:val="1"/>
                <w:bCs w:val="1"/>
                <w:color w:val="auto"/>
                <w:w w:val="98"/>
              </w:rPr>
              <w:t>UNITED STATES</w:t>
            </w:r>
          </w:p>
        </w:tc>
      </w:tr>
      <w:tr>
        <w:trPr>
          <w:trHeight w:val="375"/>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Arial" w:cs="Arial" w:eastAsia="Arial" w:hAnsi="Arial"/>
                <w:sz w:val="29"/>
                <w:szCs w:val="29"/>
                <w:b w:val="1"/>
                <w:bCs w:val="1"/>
                <w:color w:val="auto"/>
              </w:rPr>
              <w:t>SECURITIES AND EXCHANGE COMMISSION</w:t>
            </w:r>
          </w:p>
        </w:tc>
      </w:tr>
      <w:tr>
        <w:trPr>
          <w:trHeight w:val="310"/>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Arial" w:cs="Arial" w:eastAsia="Arial" w:hAnsi="Arial"/>
                <w:sz w:val="18"/>
                <w:szCs w:val="18"/>
                <w:b w:val="1"/>
                <w:bCs w:val="1"/>
                <w:color w:val="auto"/>
                <w:w w:val="91"/>
              </w:rPr>
              <w:t>Washington, D.C. 20549</w:t>
            </w:r>
          </w:p>
        </w:tc>
      </w:tr>
      <w:tr>
        <w:trPr>
          <w:trHeight w:val="186"/>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_______________________________________________________________________________</w:t>
            </w:r>
          </w:p>
        </w:tc>
      </w:tr>
      <w:tr>
        <w:trPr>
          <w:trHeight w:val="421"/>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Arial" w:cs="Arial" w:eastAsia="Arial" w:hAnsi="Arial"/>
                <w:sz w:val="29"/>
                <w:szCs w:val="29"/>
                <w:b w:val="1"/>
                <w:bCs w:val="1"/>
                <w:color w:val="auto"/>
                <w:w w:val="98"/>
              </w:rPr>
              <w:t>FORM 10-Q</w:t>
            </w:r>
          </w:p>
        </w:tc>
      </w:tr>
      <w:tr>
        <w:trPr>
          <w:trHeight w:val="186"/>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_______________________________________________________________________________</w:t>
            </w:r>
          </w:p>
        </w:tc>
      </w:tr>
      <w:tr>
        <w:trPr>
          <w:trHeight w:val="405"/>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Arial" w:cs="Arial" w:eastAsia="Arial" w:hAnsi="Arial"/>
                <w:sz w:val="16"/>
                <w:szCs w:val="16"/>
                <w:b w:val="1"/>
                <w:bCs w:val="1"/>
                <w:color w:val="auto"/>
                <w:w w:val="99"/>
              </w:rPr>
              <w:t>QUARTERLY REPORT PURSUANT TO SECTION 13 OR 15(d) OF THE SECURITIES EXCHANGE ACT OF 1934</w:t>
            </w:r>
          </w:p>
        </w:tc>
      </w:tr>
      <w:tr>
        <w:trPr>
          <w:trHeight w:val="250"/>
        </w:trPr>
        <w:tc>
          <w:tcPr>
            <w:tcW w:w="900" w:type="dxa"/>
            <w:vAlign w:val="bottom"/>
          </w:tcPr>
          <w:p>
            <w:pPr>
              <w:spacing w:after="0"/>
              <w:rPr>
                <w:sz w:val="21"/>
                <w:szCs w:val="21"/>
                <w:color w:val="auto"/>
              </w:rPr>
            </w:pPr>
          </w:p>
        </w:tc>
        <w:tc>
          <w:tcPr>
            <w:tcW w:w="9000" w:type="dxa"/>
            <w:vAlign w:val="bottom"/>
          </w:tcPr>
          <w:p>
            <w:pPr>
              <w:jc w:val="center"/>
              <w:ind w:left="328"/>
              <w:spacing w:after="0"/>
              <w:rPr>
                <w:sz w:val="20"/>
                <w:szCs w:val="20"/>
                <w:color w:val="auto"/>
              </w:rPr>
            </w:pPr>
            <w:r>
              <w:rPr>
                <w:rFonts w:ascii="Arial" w:cs="Arial" w:eastAsia="Arial" w:hAnsi="Arial"/>
                <w:sz w:val="16"/>
                <w:szCs w:val="16"/>
                <w:b w:val="1"/>
                <w:bCs w:val="1"/>
                <w:color w:val="auto"/>
                <w:w w:val="91"/>
              </w:rPr>
              <w:t>For the quarterly period ended September 30, 2023</w:t>
            </w:r>
          </w:p>
        </w:tc>
      </w:tr>
      <w:tr>
        <w:trPr>
          <w:trHeight w:val="277"/>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Arial" w:cs="Arial" w:eastAsia="Arial" w:hAnsi="Arial"/>
                <w:sz w:val="14"/>
                <w:szCs w:val="14"/>
                <w:b w:val="1"/>
                <w:bCs w:val="1"/>
                <w:color w:val="auto"/>
              </w:rPr>
              <w:t>OR</w:t>
            </w:r>
          </w:p>
        </w:tc>
      </w:tr>
      <w:tr>
        <w:trPr>
          <w:trHeight w:val="404"/>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217"/>
        </w:trPr>
        <w:tc>
          <w:tcPr>
            <w:tcW w:w="900" w:type="dxa"/>
            <w:vAlign w:val="bottom"/>
          </w:tcPr>
          <w:p>
            <w:pPr>
              <w:spacing w:after="0"/>
              <w:rPr>
                <w:sz w:val="18"/>
                <w:szCs w:val="18"/>
                <w:color w:val="auto"/>
              </w:rPr>
            </w:pPr>
          </w:p>
        </w:tc>
        <w:tc>
          <w:tcPr>
            <w:tcW w:w="900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For the transition period from ____ to ____</w:t>
            </w:r>
          </w:p>
        </w:tc>
      </w:tr>
      <w:tr>
        <w:trPr>
          <w:trHeight w:val="273"/>
        </w:trPr>
        <w:tc>
          <w:tcPr>
            <w:tcW w:w="900" w:type="dxa"/>
            <w:vAlign w:val="bottom"/>
          </w:tcPr>
          <w:p>
            <w:pPr>
              <w:spacing w:after="0"/>
              <w:rPr>
                <w:sz w:val="23"/>
                <w:szCs w:val="23"/>
                <w:color w:val="auto"/>
              </w:rPr>
            </w:pPr>
          </w:p>
        </w:tc>
        <w:tc>
          <w:tcPr>
            <w:tcW w:w="900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Commission file number 001-39021</w:t>
            </w:r>
          </w:p>
        </w:tc>
      </w:tr>
      <w:tr>
        <w:trPr>
          <w:trHeight w:val="186"/>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_______________________________________________________________________________</w:t>
            </w:r>
          </w:p>
        </w:tc>
      </w:tr>
    </w:tbl>
    <w:p>
      <w:pPr>
        <w:spacing w:after="0" w:line="15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WM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278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Delaware</w:t>
            </w:r>
          </w:p>
        </w:tc>
        <w:tc>
          <w:tcPr>
            <w:tcW w:w="2440" w:type="dxa"/>
            <w:vAlign w:val="bottom"/>
          </w:tcPr>
          <w:p>
            <w:pPr>
              <w:spacing w:after="0"/>
              <w:rPr>
                <w:sz w:val="16"/>
                <w:szCs w:val="16"/>
                <w:color w:val="auto"/>
              </w:rPr>
            </w:pPr>
          </w:p>
        </w:tc>
        <w:tc>
          <w:tcPr>
            <w:tcW w:w="3740" w:type="dxa"/>
            <w:vAlign w:val="bottom"/>
          </w:tcPr>
          <w:p>
            <w:pPr>
              <w:jc w:val="right"/>
              <w:ind w:right="2188"/>
              <w:spacing w:after="0"/>
              <w:rPr>
                <w:sz w:val="20"/>
                <w:szCs w:val="20"/>
                <w:color w:val="auto"/>
              </w:rPr>
            </w:pPr>
            <w:r>
              <w:rPr>
                <w:rFonts w:ascii="Arial" w:cs="Arial" w:eastAsia="Arial" w:hAnsi="Arial"/>
                <w:sz w:val="14"/>
                <w:szCs w:val="14"/>
                <w:b w:val="1"/>
                <w:bCs w:val="1"/>
                <w:color w:val="auto"/>
              </w:rPr>
              <w:t>98-1605615</w:t>
            </w:r>
          </w:p>
        </w:tc>
      </w:tr>
      <w:tr>
        <w:trPr>
          <w:trHeight w:val="216"/>
        </w:trPr>
        <w:tc>
          <w:tcPr>
            <w:tcW w:w="5060" w:type="dxa"/>
            <w:vAlign w:val="bottom"/>
          </w:tcPr>
          <w:p>
            <w:pPr>
              <w:jc w:val="center"/>
              <w:ind w:left="1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Arial" w:cs="Arial" w:eastAsia="Arial" w:hAnsi="Arial"/>
                <w:sz w:val="14"/>
                <w:szCs w:val="14"/>
                <w:color w:val="auto"/>
                <w:w w:val="96"/>
              </w:rPr>
              <w:t>(I.R.S. Employer Identification No.)</w:t>
            </w:r>
          </w:p>
        </w:tc>
      </w:tr>
      <w:tr>
        <w:trPr>
          <w:trHeight w:val="246"/>
        </w:trPr>
        <w:tc>
          <w:tcPr>
            <w:tcW w:w="506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41 Discovery</w:t>
            </w:r>
          </w:p>
        </w:tc>
        <w:tc>
          <w:tcPr>
            <w:tcW w:w="24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186"/>
        </w:trPr>
        <w:tc>
          <w:tcPr>
            <w:tcW w:w="5060" w:type="dxa"/>
            <w:vAlign w:val="bottom"/>
          </w:tcPr>
          <w:p>
            <w:pPr>
              <w:jc w:val="center"/>
              <w:ind w:left="108"/>
              <w:spacing w:after="0"/>
              <w:rPr>
                <w:sz w:val="20"/>
                <w:szCs w:val="20"/>
                <w:color w:val="auto"/>
              </w:rPr>
            </w:pPr>
            <w:r>
              <w:rPr>
                <w:rFonts w:ascii="Arial" w:cs="Arial" w:eastAsia="Arial" w:hAnsi="Arial"/>
                <w:sz w:val="14"/>
                <w:szCs w:val="14"/>
                <w:b w:val="1"/>
                <w:bCs w:val="1"/>
                <w:color w:val="auto"/>
                <w:w w:val="98"/>
              </w:rPr>
              <w:t>Irvine, California</w:t>
            </w:r>
          </w:p>
        </w:tc>
        <w:tc>
          <w:tcPr>
            <w:tcW w:w="2440" w:type="dxa"/>
            <w:vAlign w:val="bottom"/>
          </w:tcPr>
          <w:p>
            <w:pPr>
              <w:spacing w:after="0"/>
              <w:rPr>
                <w:sz w:val="16"/>
                <w:szCs w:val="16"/>
                <w:color w:val="auto"/>
              </w:rPr>
            </w:pPr>
          </w:p>
        </w:tc>
        <w:tc>
          <w:tcPr>
            <w:tcW w:w="3740" w:type="dxa"/>
            <w:vAlign w:val="bottom"/>
          </w:tcPr>
          <w:p>
            <w:pPr>
              <w:jc w:val="center"/>
              <w:ind w:right="1348"/>
              <w:spacing w:after="0"/>
              <w:rPr>
                <w:sz w:val="20"/>
                <w:szCs w:val="20"/>
                <w:color w:val="auto"/>
              </w:rPr>
            </w:pPr>
            <w:r>
              <w:rPr>
                <w:rFonts w:ascii="Arial" w:cs="Arial" w:eastAsia="Arial" w:hAnsi="Arial"/>
                <w:sz w:val="14"/>
                <w:szCs w:val="14"/>
                <w:b w:val="1"/>
                <w:bCs w:val="1"/>
                <w:color w:val="auto"/>
                <w:w w:val="92"/>
              </w:rPr>
              <w:t>92618</w:t>
            </w:r>
          </w:p>
        </w:tc>
      </w:tr>
      <w:tr>
        <w:trPr>
          <w:trHeight w:val="216"/>
        </w:trPr>
        <w:tc>
          <w:tcPr>
            <w:tcW w:w="5060" w:type="dxa"/>
            <w:vAlign w:val="bottom"/>
          </w:tcPr>
          <w:p>
            <w:pPr>
              <w:jc w:val="center"/>
              <w:ind w:left="108"/>
              <w:spacing w:after="0"/>
              <w:rPr>
                <w:sz w:val="20"/>
                <w:szCs w:val="20"/>
                <w:color w:val="auto"/>
              </w:rPr>
            </w:pPr>
            <w:r>
              <w:rPr>
                <w:rFonts w:ascii="Arial" w:cs="Arial" w:eastAsia="Arial" w:hAnsi="Arial"/>
                <w:sz w:val="14"/>
                <w:szCs w:val="14"/>
                <w:color w:val="auto"/>
                <w:w w:val="95"/>
              </w:rPr>
              <w:t>(Address of Principal Executive Offices)</w:t>
            </w:r>
          </w:p>
        </w:tc>
        <w:tc>
          <w:tcPr>
            <w:tcW w:w="2440" w:type="dxa"/>
            <w:vAlign w:val="bottom"/>
          </w:tcPr>
          <w:p>
            <w:pPr>
              <w:spacing w:after="0"/>
              <w:rPr>
                <w:sz w:val="18"/>
                <w:szCs w:val="18"/>
                <w:color w:val="auto"/>
              </w:rPr>
            </w:pPr>
          </w:p>
        </w:tc>
        <w:tc>
          <w:tcPr>
            <w:tcW w:w="3740" w:type="dxa"/>
            <w:vAlign w:val="bottom"/>
          </w:tcPr>
          <w:p>
            <w:pPr>
              <w:jc w:val="center"/>
              <w:ind w:right="1348"/>
              <w:spacing w:after="0"/>
              <w:rPr>
                <w:sz w:val="20"/>
                <w:szCs w:val="20"/>
                <w:color w:val="auto"/>
              </w:rPr>
            </w:pPr>
            <w:r>
              <w:rPr>
                <w:rFonts w:ascii="Arial" w:cs="Arial" w:eastAsia="Arial" w:hAnsi="Arial"/>
                <w:sz w:val="14"/>
                <w:szCs w:val="14"/>
                <w:color w:val="auto"/>
                <w:w w:val="96"/>
              </w:rPr>
              <w:t>(Zip Code)</w:t>
            </w:r>
          </w:p>
        </w:tc>
      </w:tr>
      <w:tr>
        <w:trPr>
          <w:trHeight w:val="371"/>
        </w:trPr>
        <w:tc>
          <w:tcPr>
            <w:tcW w:w="5060" w:type="dxa"/>
            <w:vAlign w:val="bottom"/>
          </w:tcPr>
          <w:p>
            <w:pPr>
              <w:spacing w:after="0"/>
              <w:rPr>
                <w:sz w:val="24"/>
                <w:szCs w:val="24"/>
                <w:color w:val="auto"/>
              </w:rPr>
            </w:pPr>
          </w:p>
        </w:tc>
        <w:tc>
          <w:tcPr>
            <w:tcW w:w="2440" w:type="dxa"/>
            <w:vAlign w:val="bottom"/>
          </w:tcPr>
          <w:p>
            <w:pPr>
              <w:jc w:val="center"/>
              <w:ind w:right="1228"/>
              <w:spacing w:after="0"/>
              <w:rPr>
                <w:sz w:val="20"/>
                <w:szCs w:val="20"/>
                <w:color w:val="auto"/>
              </w:rPr>
            </w:pPr>
            <w:r>
              <w:rPr>
                <w:rFonts w:ascii="Arial" w:cs="Arial" w:eastAsia="Arial" w:hAnsi="Arial"/>
                <w:sz w:val="14"/>
                <w:szCs w:val="14"/>
                <w:b w:val="1"/>
                <w:bCs w:val="1"/>
                <w:color w:val="auto"/>
                <w:w w:val="93"/>
              </w:rPr>
              <w:t>(844) 933-3627</w:t>
            </w:r>
          </w:p>
        </w:tc>
        <w:tc>
          <w:tcPr>
            <w:tcW w:w="3740" w:type="dxa"/>
            <w:vAlign w:val="bottom"/>
          </w:tcPr>
          <w:p>
            <w:pPr>
              <w:spacing w:after="0"/>
              <w:rPr>
                <w:sz w:val="24"/>
                <w:szCs w:val="24"/>
                <w:color w:val="auto"/>
              </w:rPr>
            </w:pPr>
          </w:p>
        </w:tc>
      </w:tr>
      <w:tr>
        <w:trPr>
          <w:trHeight w:val="182"/>
        </w:trPr>
        <w:tc>
          <w:tcPr>
            <w:tcW w:w="7500" w:type="dxa"/>
            <w:vAlign w:val="bottom"/>
            <w:gridSpan w:val="2"/>
          </w:tcPr>
          <w:p>
            <w:pPr>
              <w:jc w:val="center"/>
              <w:ind w:left="3668"/>
              <w:spacing w:after="0"/>
              <w:rPr>
                <w:sz w:val="20"/>
                <w:szCs w:val="20"/>
                <w:color w:val="auto"/>
              </w:rPr>
            </w:pPr>
            <w:r>
              <w:rPr>
                <w:rFonts w:ascii="Arial" w:cs="Arial" w:eastAsia="Arial" w:hAnsi="Arial"/>
                <w:sz w:val="14"/>
                <w:szCs w:val="14"/>
                <w:color w:val="auto"/>
                <w:w w:val="93"/>
              </w:rPr>
              <w:t>(Registrant’ telephone number, including area code)</w:t>
            </w:r>
          </w:p>
        </w:tc>
        <w:tc>
          <w:tcPr>
            <w:tcW w:w="3740" w:type="dxa"/>
            <w:vAlign w:val="bottom"/>
          </w:tcPr>
          <w:p>
            <w:pPr>
              <w:spacing w:after="0"/>
              <w:rPr>
                <w:sz w:val="15"/>
                <w:szCs w:val="15"/>
                <w:color w:val="auto"/>
              </w:rPr>
            </w:pPr>
          </w:p>
        </w:tc>
      </w:tr>
      <w:tr>
        <w:trPr>
          <w:trHeight w:val="283"/>
        </w:trPr>
        <w:tc>
          <w:tcPr>
            <w:tcW w:w="7500" w:type="dxa"/>
            <w:vAlign w:val="bottom"/>
            <w:gridSpan w:val="2"/>
          </w:tcPr>
          <w:p>
            <w:pPr>
              <w:jc w:val="center"/>
              <w:ind w:left="366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40" w:type="dxa"/>
            <w:vAlign w:val="bottom"/>
          </w:tcPr>
          <w:p>
            <w:pPr>
              <w:spacing w:after="0"/>
              <w:rPr>
                <w:sz w:val="24"/>
                <w:szCs w:val="24"/>
                <w:color w:val="auto"/>
              </w:rPr>
            </w:pPr>
          </w:p>
        </w:tc>
      </w:tr>
      <w:tr>
        <w:trPr>
          <w:trHeight w:val="324"/>
        </w:trPr>
        <w:tc>
          <w:tcPr>
            <w:tcW w:w="506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40" w:type="dxa"/>
            <w:vAlign w:val="bottom"/>
          </w:tcPr>
          <w:p>
            <w:pPr>
              <w:jc w:val="center"/>
              <w:ind w:right="728"/>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Pr>
          <w:p>
            <w:pPr>
              <w:jc w:val="center"/>
              <w:ind w:right="66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5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4"/>
        </w:trPr>
        <w:tc>
          <w:tcPr>
            <w:tcW w:w="5060" w:type="dxa"/>
            <w:vAlign w:val="bottom"/>
          </w:tcPr>
          <w:p>
            <w:pPr>
              <w:jc w:val="center"/>
              <w:spacing w:after="0"/>
              <w:rPr>
                <w:sz w:val="20"/>
                <w:szCs w:val="20"/>
                <w:color w:val="auto"/>
              </w:rPr>
            </w:pPr>
            <w:r>
              <w:rPr>
                <w:rFonts w:ascii="Arial" w:cs="Arial" w:eastAsia="Arial" w:hAnsi="Arial"/>
                <w:sz w:val="14"/>
                <w:szCs w:val="14"/>
                <w:color w:val="auto"/>
                <w:w w:val="92"/>
              </w:rPr>
              <w:t>Class A Common Stock, $0.0001 par value per share</w:t>
            </w:r>
          </w:p>
        </w:tc>
        <w:tc>
          <w:tcPr>
            <w:tcW w:w="2440" w:type="dxa"/>
            <w:vAlign w:val="bottom"/>
          </w:tcPr>
          <w:p>
            <w:pPr>
              <w:jc w:val="center"/>
              <w:ind w:right="708"/>
              <w:spacing w:after="0"/>
              <w:rPr>
                <w:sz w:val="20"/>
                <w:szCs w:val="20"/>
                <w:color w:val="auto"/>
              </w:rPr>
            </w:pPr>
            <w:r>
              <w:rPr>
                <w:rFonts w:ascii="Arial" w:cs="Arial" w:eastAsia="Arial" w:hAnsi="Arial"/>
                <w:sz w:val="14"/>
                <w:szCs w:val="14"/>
                <w:color w:val="auto"/>
                <w:w w:val="95"/>
              </w:rPr>
              <w:t>MAPS</w:t>
            </w:r>
          </w:p>
        </w:tc>
        <w:tc>
          <w:tcPr>
            <w:tcW w:w="3740" w:type="dxa"/>
            <w:vAlign w:val="bottom"/>
          </w:tcPr>
          <w:p>
            <w:pPr>
              <w:jc w:val="center"/>
              <w:ind w:right="668"/>
              <w:spacing w:after="0"/>
              <w:rPr>
                <w:sz w:val="20"/>
                <w:szCs w:val="20"/>
                <w:color w:val="auto"/>
              </w:rPr>
            </w:pPr>
            <w:r>
              <w:rPr>
                <w:rFonts w:ascii="Arial" w:cs="Arial" w:eastAsia="Arial" w:hAnsi="Arial"/>
                <w:sz w:val="14"/>
                <w:szCs w:val="14"/>
                <w:color w:val="auto"/>
                <w:w w:val="93"/>
              </w:rPr>
              <w:t>The Nasdaq Global Select Market</w:t>
            </w:r>
          </w:p>
        </w:tc>
      </w:tr>
      <w:tr>
        <w:trPr>
          <w:trHeight w:val="196"/>
        </w:trPr>
        <w:tc>
          <w:tcPr>
            <w:tcW w:w="5060" w:type="dxa"/>
            <w:vAlign w:val="bottom"/>
          </w:tcPr>
          <w:p>
            <w:pPr>
              <w:jc w:val="center"/>
              <w:spacing w:after="0"/>
              <w:rPr>
                <w:sz w:val="20"/>
                <w:szCs w:val="20"/>
                <w:color w:val="auto"/>
              </w:rPr>
            </w:pPr>
            <w:r>
              <w:rPr>
                <w:rFonts w:ascii="Arial" w:cs="Arial" w:eastAsia="Arial" w:hAnsi="Arial"/>
                <w:sz w:val="14"/>
                <w:szCs w:val="14"/>
                <w:color w:val="auto"/>
                <w:w w:val="92"/>
              </w:rPr>
              <w:t>Warrants, each whole warrant exercisable for one share of Class A Common Stock at</w:t>
            </w:r>
          </w:p>
        </w:tc>
        <w:tc>
          <w:tcPr>
            <w:tcW w:w="24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82"/>
        </w:trPr>
        <w:tc>
          <w:tcPr>
            <w:tcW w:w="5060" w:type="dxa"/>
            <w:vAlign w:val="bottom"/>
          </w:tcPr>
          <w:p>
            <w:pPr>
              <w:jc w:val="center"/>
              <w:spacing w:after="0"/>
              <w:rPr>
                <w:sz w:val="20"/>
                <w:szCs w:val="20"/>
                <w:color w:val="auto"/>
              </w:rPr>
            </w:pPr>
            <w:r>
              <w:rPr>
                <w:rFonts w:ascii="Arial" w:cs="Arial" w:eastAsia="Arial" w:hAnsi="Arial"/>
                <w:sz w:val="14"/>
                <w:szCs w:val="14"/>
                <w:color w:val="auto"/>
                <w:w w:val="90"/>
              </w:rPr>
              <w:t>an exercise price of $11.50 per share</w:t>
            </w:r>
          </w:p>
        </w:tc>
        <w:tc>
          <w:tcPr>
            <w:tcW w:w="2440" w:type="dxa"/>
            <w:vAlign w:val="bottom"/>
          </w:tcPr>
          <w:p>
            <w:pPr>
              <w:jc w:val="center"/>
              <w:ind w:right="708"/>
              <w:spacing w:after="0"/>
              <w:rPr>
                <w:sz w:val="20"/>
                <w:szCs w:val="20"/>
                <w:color w:val="auto"/>
              </w:rPr>
            </w:pPr>
            <w:r>
              <w:rPr>
                <w:rFonts w:ascii="Arial" w:cs="Arial" w:eastAsia="Arial" w:hAnsi="Arial"/>
                <w:sz w:val="14"/>
                <w:szCs w:val="14"/>
                <w:color w:val="auto"/>
              </w:rPr>
              <w:t>MAPSW</w:t>
            </w:r>
          </w:p>
        </w:tc>
        <w:tc>
          <w:tcPr>
            <w:tcW w:w="3740" w:type="dxa"/>
            <w:vAlign w:val="bottom"/>
          </w:tcPr>
          <w:p>
            <w:pPr>
              <w:jc w:val="center"/>
              <w:ind w:right="668"/>
              <w:spacing w:after="0"/>
              <w:rPr>
                <w:sz w:val="20"/>
                <w:szCs w:val="20"/>
                <w:color w:val="auto"/>
              </w:rPr>
            </w:pPr>
            <w:r>
              <w:rPr>
                <w:rFonts w:ascii="Arial" w:cs="Arial" w:eastAsia="Arial" w:hAnsi="Arial"/>
                <w:sz w:val="14"/>
                <w:szCs w:val="14"/>
                <w:color w:val="auto"/>
                <w:w w:val="93"/>
              </w:rPr>
              <w:t>The Nasdaq Global Select Market</w:t>
            </w:r>
          </w:p>
        </w:tc>
      </w:tr>
    </w:tbl>
    <w:p>
      <w:pPr>
        <w:spacing w:after="0" w:line="3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13" w:lineRule="exact"/>
        <w:rPr>
          <w:sz w:val="24"/>
          <w:szCs w:val="24"/>
          <w:color w:val="auto"/>
        </w:rPr>
      </w:pPr>
    </w:p>
    <w:p>
      <w:pPr>
        <w:jc w:val="both"/>
        <w:ind w:right="2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jc w:val="both"/>
        <w:spacing w:after="0" w:line="19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8" w:lineRule="exact"/>
        <w:rPr>
          <w:sz w:val="24"/>
          <w:szCs w:val="24"/>
          <w:color w:val="auto"/>
        </w:rPr>
      </w:pPr>
    </w:p>
    <w:p>
      <w:pPr>
        <w:jc w:val="both"/>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93"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53"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99" w:lineRule="exact"/>
        <w:rPr>
          <w:sz w:val="24"/>
          <w:szCs w:val="24"/>
          <w:color w:val="auto"/>
        </w:rPr>
      </w:pPr>
    </w:p>
    <w:p>
      <w:pPr>
        <w:sectPr>
          <w:pgSz w:w="11900" w:h="16838" w:orient="portrait"/>
          <w:cols w:equalWidth="0" w:num="6">
            <w:col w:w="2380" w:space="720"/>
            <w:col w:w="120" w:space="540"/>
            <w:col w:w="2360" w:space="720"/>
            <w:col w:w="140" w:space="520"/>
            <w:col w:w="2380" w:space="720"/>
            <w:col w:w="640"/>
          </w:cols>
          <w:pgMar w:left="320" w:top="233" w:right="339" w:bottom="1440" w:gutter="0" w:footer="0" w:header="0"/>
          <w:type w:val="continuous"/>
        </w:sectPr>
      </w:pPr>
    </w:p>
    <w:p>
      <w:pPr>
        <w:spacing w:after="0" w:line="22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6" w:lineRule="exact"/>
        <w:rPr>
          <w:sz w:val="24"/>
          <w:szCs w:val="24"/>
          <w:color w:val="auto"/>
        </w:rPr>
      </w:pPr>
    </w:p>
    <w:p>
      <w:pPr>
        <w:spacing w:after="0" w:line="161" w:lineRule="exact"/>
        <w:tabs>
          <w:tab w:leader="none" w:pos="6100" w:val="left"/>
          <w:tab w:leader="none" w:pos="6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8"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3, 2023, there were 93,881,130 shares of the registrant’s Class A common stock outstanding and 55,486,361 shares of Class V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rPr>
              <w:t>WM TECHNOLOGY, INC.</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5"/>
            <w:vMerge w:val="restart"/>
          </w:tcPr>
          <w:p>
            <w:pPr>
              <w:spacing w:after="0"/>
              <w:rPr>
                <w:sz w:val="20"/>
                <w:szCs w:val="20"/>
                <w:color w:val="auto"/>
              </w:rPr>
            </w:pPr>
            <w:r>
              <w:rPr>
                <w:rFonts w:ascii="Arial" w:cs="Arial" w:eastAsia="Arial" w:hAnsi="Arial"/>
                <w:sz w:val="18"/>
                <w:szCs w:val="18"/>
                <w:color w:val="0000FF"/>
                <w:w w:val="89"/>
              </w:rPr>
              <w:t>Forward-Looking Statements</w:t>
            </w:r>
          </w:p>
        </w:tc>
        <w:tc>
          <w:tcPr>
            <w:tcW w:w="7120" w:type="dxa"/>
            <w:vAlign w:val="bottom"/>
            <w:gridSpan w:val="11"/>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bottom w:val="single" w:sz="8" w:color="0000FF"/>
            </w:tcBorders>
            <w:gridSpan w:val="5"/>
            <w:vMerge w:val="continue"/>
          </w:tcPr>
          <w:p>
            <w:pPr>
              <w:spacing w:after="0"/>
              <w:rPr>
                <w:sz w:val="24"/>
                <w:szCs w:val="24"/>
                <w:color w:val="auto"/>
              </w:rPr>
            </w:pPr>
          </w:p>
        </w:tc>
        <w:tc>
          <w:tcPr>
            <w:tcW w:w="7120" w:type="dxa"/>
            <w:vAlign w:val="bottom"/>
            <w:gridSpan w:val="11"/>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gridSpan w:val="3"/>
          </w:tcPr>
          <w:p>
            <w:pPr>
              <w:jc w:val="center"/>
              <w:ind w:left="310"/>
              <w:spacing w:after="0"/>
              <w:rPr>
                <w:sz w:val="20"/>
                <w:szCs w:val="20"/>
                <w:color w:val="auto"/>
              </w:rPr>
            </w:pPr>
            <w:r>
              <w:rPr>
                <w:rFonts w:ascii="Arial" w:cs="Arial" w:eastAsia="Arial" w:hAnsi="Arial"/>
                <w:sz w:val="18"/>
                <w:szCs w:val="18"/>
                <w:color w:val="0000EE"/>
                <w:w w:val="79"/>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Condensed Consolidated Financial Statements (Unaudited)</w:t>
            </w:r>
          </w:p>
        </w:tc>
        <w:tc>
          <w:tcPr>
            <w:tcW w:w="480" w:type="dxa"/>
            <w:vAlign w:val="bottom"/>
            <w:gridSpan w:val="3"/>
          </w:tcPr>
          <w:p>
            <w:pPr>
              <w:jc w:val="center"/>
              <w:ind w:left="310"/>
              <w:spacing w:after="0"/>
              <w:rPr>
                <w:sz w:val="20"/>
                <w:szCs w:val="20"/>
                <w:color w:val="auto"/>
              </w:rPr>
            </w:pPr>
            <w:r>
              <w:rPr>
                <w:rFonts w:ascii="Arial" w:cs="Arial" w:eastAsia="Arial" w:hAnsi="Arial"/>
                <w:sz w:val="18"/>
                <w:szCs w:val="18"/>
                <w:color w:val="0000EE"/>
                <w:w w:val="79"/>
              </w:rPr>
              <w:t>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Condensed Consolidated Balance Sheets as of September 30, 2023 and December 31, 2022</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79"/>
              </w:rPr>
              <w:t>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168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8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Arial" w:cs="Arial" w:eastAsia="Arial" w:hAnsi="Arial"/>
                <w:sz w:val="18"/>
                <w:szCs w:val="18"/>
                <w:color w:val="0000EE"/>
                <w:w w:val="89"/>
              </w:rPr>
              <w:t>Condensed Consolidated Statements of Operations for the Three and Nine Months Ended September 30, 2023 and 2022</w:t>
            </w:r>
          </w:p>
        </w:tc>
        <w:tc>
          <w:tcPr>
            <w:tcW w:w="600" w:type="dxa"/>
            <w:vAlign w:val="bottom"/>
          </w:tcPr>
          <w:p>
            <w:pPr>
              <w:spacing w:after="0"/>
              <w:rPr>
                <w:sz w:val="17"/>
                <w:szCs w:val="17"/>
                <w:color w:val="auto"/>
              </w:rPr>
            </w:pPr>
          </w:p>
        </w:tc>
        <w:tc>
          <w:tcPr>
            <w:tcW w:w="480" w:type="dxa"/>
            <w:vAlign w:val="bottom"/>
            <w:gridSpan w:val="3"/>
          </w:tcPr>
          <w:p>
            <w:pPr>
              <w:jc w:val="center"/>
              <w:ind w:left="310"/>
              <w:spacing w:after="0" w:line="196" w:lineRule="exact"/>
              <w:rPr>
                <w:sz w:val="20"/>
                <w:szCs w:val="20"/>
                <w:color w:val="auto"/>
              </w:rPr>
            </w:pPr>
            <w:r>
              <w:rPr>
                <w:rFonts w:ascii="Arial" w:cs="Arial" w:eastAsia="Arial" w:hAnsi="Arial"/>
                <w:sz w:val="18"/>
                <w:szCs w:val="18"/>
                <w:color w:val="0000EE"/>
                <w:w w:val="79"/>
              </w:rPr>
              <w:t>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20" w:type="dxa"/>
            <w:vAlign w:val="bottom"/>
            <w:gridSpan w:val="15"/>
          </w:tcPr>
          <w:p>
            <w:pPr>
              <w:spacing w:after="0"/>
              <w:rPr>
                <w:sz w:val="20"/>
                <w:szCs w:val="20"/>
                <w:color w:val="auto"/>
              </w:rPr>
            </w:pPr>
            <w:r>
              <w:rPr>
                <w:rFonts w:ascii="Arial" w:cs="Arial" w:eastAsia="Arial" w:hAnsi="Arial"/>
                <w:sz w:val="18"/>
                <w:szCs w:val="18"/>
                <w:color w:val="0000EE"/>
                <w:w w:val="92"/>
              </w:rPr>
              <w:t>Condensed Consolidated Statements of Equity for the Three and Nine Months Ended September 30, 2023 and 2022</w:t>
            </w:r>
          </w:p>
        </w:tc>
        <w:tc>
          <w:tcPr>
            <w:tcW w:w="600" w:type="dxa"/>
            <w:vAlign w:val="bottom"/>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Arial" w:cs="Arial" w:eastAsia="Arial" w:hAnsi="Arial"/>
                <w:sz w:val="18"/>
                <w:szCs w:val="18"/>
                <w:color w:val="0000EE"/>
                <w:w w:val="79"/>
              </w:rPr>
              <w:t>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300" w:type="dxa"/>
            <w:vAlign w:val="bottom"/>
            <w:gridSpan w:val="14"/>
          </w:tcPr>
          <w:p>
            <w:pPr>
              <w:spacing w:after="0"/>
              <w:rPr>
                <w:sz w:val="20"/>
                <w:szCs w:val="20"/>
                <w:color w:val="auto"/>
              </w:rPr>
            </w:pPr>
            <w:r>
              <w:rPr>
                <w:rFonts w:ascii="Arial" w:cs="Arial" w:eastAsia="Arial" w:hAnsi="Arial"/>
                <w:sz w:val="18"/>
                <w:szCs w:val="18"/>
                <w:color w:val="0000EE"/>
                <w:w w:val="93"/>
              </w:rPr>
              <w:t>Condensed Consolidated Statements of Cash Flows for the Nine Months Ended September 30, 2023 and 2022</w:t>
            </w:r>
          </w:p>
        </w:tc>
        <w:tc>
          <w:tcPr>
            <w:tcW w:w="920" w:type="dxa"/>
            <w:vAlign w:val="bottom"/>
            <w:gridSpan w:val="2"/>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Arial" w:cs="Arial" w:eastAsia="Arial" w:hAnsi="Arial"/>
                <w:sz w:val="18"/>
                <w:szCs w:val="18"/>
                <w:color w:val="0000EE"/>
                <w:w w:val="79"/>
              </w:rPr>
              <w:t>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80" w:type="dxa"/>
            <w:vAlign w:val="bottom"/>
            <w:gridSpan w:val="7"/>
          </w:tcPr>
          <w:p>
            <w:pPr>
              <w:spacing w:after="0"/>
              <w:rPr>
                <w:sz w:val="20"/>
                <w:szCs w:val="20"/>
                <w:color w:val="auto"/>
              </w:rPr>
            </w:pPr>
            <w:r>
              <w:rPr>
                <w:rFonts w:ascii="Arial" w:cs="Arial" w:eastAsia="Arial" w:hAnsi="Arial"/>
                <w:sz w:val="18"/>
                <w:szCs w:val="18"/>
                <w:color w:val="0000EE"/>
                <w:w w:val="88"/>
              </w:rPr>
              <w:t>Notes to Condensed Consolidated Financial Statements</w:t>
            </w:r>
          </w:p>
        </w:tc>
        <w:tc>
          <w:tcPr>
            <w:tcW w:w="3920" w:type="dxa"/>
            <w:vAlign w:val="bottom"/>
            <w:gridSpan w:val="6"/>
          </w:tcPr>
          <w:p>
            <w:pPr>
              <w:spacing w:after="0"/>
              <w:rPr>
                <w:sz w:val="20"/>
                <w:szCs w:val="20"/>
                <w:color w:val="auto"/>
              </w:rPr>
            </w:pPr>
          </w:p>
        </w:tc>
        <w:tc>
          <w:tcPr>
            <w:tcW w:w="1320" w:type="dxa"/>
            <w:vAlign w:val="bottom"/>
            <w:gridSpan w:val="3"/>
          </w:tcPr>
          <w:p>
            <w:pPr>
              <w:spacing w:after="0"/>
              <w:rPr>
                <w:sz w:val="20"/>
                <w:szCs w:val="20"/>
                <w:color w:val="auto"/>
              </w:rPr>
            </w:pPr>
          </w:p>
        </w:tc>
        <w:tc>
          <w:tcPr>
            <w:tcW w:w="480" w:type="dxa"/>
            <w:vAlign w:val="bottom"/>
            <w:gridSpan w:val="3"/>
          </w:tcPr>
          <w:p>
            <w:pPr>
              <w:jc w:val="center"/>
              <w:ind w:left="310"/>
              <w:spacing w:after="0"/>
              <w:rPr>
                <w:sz w:val="20"/>
                <w:szCs w:val="20"/>
                <w:color w:val="auto"/>
              </w:rPr>
            </w:pPr>
            <w:r>
              <w:rPr>
                <w:rFonts w:ascii="Arial" w:cs="Arial" w:eastAsia="Arial" w:hAnsi="Arial"/>
                <w:sz w:val="18"/>
                <w:szCs w:val="18"/>
                <w:color w:val="0000EE"/>
                <w:w w:val="79"/>
              </w:rPr>
              <w:t>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60" w:type="dxa"/>
            <w:vAlign w:val="bottom"/>
            <w:gridSpan w:val="5"/>
          </w:tcPr>
          <w:p>
            <w:pPr>
              <w:jc w:val="center"/>
              <w:ind w:left="250"/>
              <w:spacing w:after="0"/>
              <w:rPr>
                <w:sz w:val="20"/>
                <w:szCs w:val="20"/>
                <w:color w:val="auto"/>
              </w:rPr>
            </w:pPr>
            <w:r>
              <w:rPr>
                <w:rFonts w:ascii="Arial" w:cs="Arial" w:eastAsia="Arial" w:hAnsi="Arial"/>
                <w:sz w:val="18"/>
                <w:szCs w:val="18"/>
                <w:color w:val="0000EE"/>
                <w:w w:val="89"/>
              </w:rPr>
              <w:t>28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0000EE"/>
            </w:tcBorders>
            <w:shd w:val="clear" w:color="auto" w:fill="0000EE"/>
          </w:tcPr>
          <w:p>
            <w:pPr>
              <w:spacing w:after="0" w:line="20" w:lineRule="exact"/>
              <w:rPr>
                <w:sz w:val="1"/>
                <w:szCs w:val="1"/>
                <w:color w:val="auto"/>
              </w:rPr>
            </w:pPr>
          </w:p>
        </w:tc>
        <w:tc>
          <w:tcPr>
            <w:tcW w:w="300" w:type="dxa"/>
            <w:vAlign w:val="bottom"/>
            <w:tcBorders>
              <w:top w:val="single" w:sz="8" w:color="0000EE"/>
            </w:tcBorders>
            <w:shd w:val="clear" w:color="auto" w:fill="0000EE"/>
          </w:tcPr>
          <w:p>
            <w:pPr>
              <w:spacing w:after="0" w:line="20" w:lineRule="exact"/>
              <w:rPr>
                <w:sz w:val="1"/>
                <w:szCs w:val="1"/>
                <w:color w:val="auto"/>
              </w:rPr>
            </w:pPr>
          </w:p>
        </w:tc>
        <w:tc>
          <w:tcPr>
            <w:tcW w:w="420" w:type="dxa"/>
            <w:vAlign w:val="bottom"/>
            <w:tcBorders>
              <w:top w:val="single" w:sz="8" w:color="0000EE"/>
            </w:tcBorders>
            <w:shd w:val="clear" w:color="auto" w:fill="0000EE"/>
          </w:tcPr>
          <w:p>
            <w:pPr>
              <w:spacing w:after="0" w:line="20" w:lineRule="exact"/>
              <w:rPr>
                <w:sz w:val="1"/>
                <w:szCs w:val="1"/>
                <w:color w:val="auto"/>
              </w:rPr>
            </w:pPr>
          </w:p>
        </w:tc>
        <w:tc>
          <w:tcPr>
            <w:tcW w:w="440" w:type="dxa"/>
            <w:vAlign w:val="bottom"/>
            <w:tcBorders>
              <w:top w:val="single" w:sz="8" w:color="0000EE"/>
              <w:left w:val="single" w:sz="8" w:color="0000EE"/>
            </w:tcBorders>
            <w:shd w:val="clear" w:color="auto" w:fill="0000EE"/>
          </w:tcPr>
          <w:p>
            <w:pPr>
              <w:spacing w:after="0" w:line="20" w:lineRule="exact"/>
              <w:rPr>
                <w:sz w:val="1"/>
                <w:szCs w:val="1"/>
                <w:color w:val="auto"/>
              </w:rPr>
            </w:pPr>
          </w:p>
        </w:tc>
        <w:tc>
          <w:tcPr>
            <w:tcW w:w="560" w:type="dxa"/>
            <w:vAlign w:val="bottom"/>
            <w:tcBorders>
              <w:top w:val="single" w:sz="8" w:color="0000EE"/>
            </w:tcBorders>
            <w:gridSpan w:val="2"/>
            <w:shd w:val="clear" w:color="auto" w:fill="0000EE"/>
          </w:tcPr>
          <w:p>
            <w:pPr>
              <w:spacing w:after="0" w:line="20" w:lineRule="exact"/>
              <w:rPr>
                <w:sz w:val="1"/>
                <w:szCs w:val="1"/>
                <w:color w:val="auto"/>
              </w:rPr>
            </w:pPr>
          </w:p>
        </w:tc>
        <w:tc>
          <w:tcPr>
            <w:tcW w:w="2020" w:type="dxa"/>
            <w:vAlign w:val="bottom"/>
            <w:tcBorders>
              <w:top w:val="single" w:sz="8" w:color="0000EE"/>
            </w:tcBorders>
            <w:gridSpan w:val="3"/>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2080" w:type="dxa"/>
            <w:vAlign w:val="bottom"/>
            <w:tcBorders>
              <w:top w:val="single" w:sz="8" w:color="0000EE"/>
            </w:tcBorders>
            <w:shd w:val="clear" w:color="auto" w:fill="0000EE"/>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0000EE"/>
            </w:tcBorders>
            <w:gridSpan w:val="3"/>
            <w:vMerge w:val="restart"/>
          </w:tcPr>
          <w:p>
            <w:pPr>
              <w:jc w:val="right"/>
              <w:spacing w:after="0"/>
              <w:rPr>
                <w:sz w:val="20"/>
                <w:szCs w:val="20"/>
                <w:color w:val="auto"/>
              </w:rPr>
            </w:pPr>
            <w:r>
              <w:rPr>
                <w:rFonts w:ascii="Arial" w:cs="Arial" w:eastAsia="Arial" w:hAnsi="Arial"/>
                <w:sz w:val="18"/>
                <w:szCs w:val="18"/>
                <w:color w:val="0000EE"/>
                <w:w w:val="79"/>
              </w:rPr>
              <w:t>44</w:t>
            </w: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3.</w:t>
            </w:r>
          </w:p>
        </w:tc>
        <w:tc>
          <w:tcPr>
            <w:tcW w:w="600" w:type="dxa"/>
            <w:vAlign w:val="bottom"/>
            <w:gridSpan w:val="3"/>
          </w:tcPr>
          <w:p>
            <w:pPr>
              <w:spacing w:after="0"/>
              <w:rPr>
                <w:sz w:val="18"/>
                <w:szCs w:val="18"/>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360" w:type="dxa"/>
            <w:vAlign w:val="bottom"/>
          </w:tcPr>
          <w:p>
            <w:pPr>
              <w:spacing w:after="0"/>
              <w:rPr>
                <w:sz w:val="18"/>
                <w:szCs w:val="18"/>
                <w:color w:val="auto"/>
              </w:rPr>
            </w:pPr>
          </w:p>
        </w:tc>
        <w:tc>
          <w:tcPr>
            <w:tcW w:w="180" w:type="dxa"/>
            <w:vAlign w:val="bottom"/>
            <w:tcBorders>
              <w:bottom w:val="single" w:sz="8" w:color="0000EE"/>
            </w:tcBorders>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gridSpan w:val="2"/>
          </w:tcPr>
          <w:p>
            <w:pPr>
              <w:spacing w:after="0" w:line="20" w:lineRule="exact"/>
              <w:rPr>
                <w:sz w:val="1"/>
                <w:szCs w:val="1"/>
                <w:color w:val="auto"/>
              </w:rPr>
            </w:pPr>
          </w:p>
        </w:tc>
        <w:tc>
          <w:tcPr>
            <w:tcW w:w="2020" w:type="dxa"/>
            <w:vAlign w:val="bottom"/>
            <w:tcBorders>
              <w:bottom w:val="single" w:sz="8" w:color="0000EE"/>
            </w:tcBorders>
            <w:gridSpan w:val="3"/>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4.</w:t>
            </w:r>
          </w:p>
        </w:tc>
        <w:tc>
          <w:tcPr>
            <w:tcW w:w="600" w:type="dxa"/>
            <w:vAlign w:val="bottom"/>
            <w:gridSpan w:val="3"/>
          </w:tcPr>
          <w:p>
            <w:pPr>
              <w:spacing w:after="0"/>
              <w:rPr>
                <w:sz w:val="17"/>
                <w:szCs w:val="17"/>
                <w:color w:val="auto"/>
              </w:rPr>
            </w:pPr>
          </w:p>
        </w:tc>
        <w:tc>
          <w:tcPr>
            <w:tcW w:w="9220" w:type="dxa"/>
            <w:vAlign w:val="bottom"/>
            <w:gridSpan w:val="16"/>
          </w:tcPr>
          <w:p>
            <w:pPr>
              <w:spacing w:after="0" w:line="196" w:lineRule="exact"/>
              <w:rPr>
                <w:sz w:val="20"/>
                <w:szCs w:val="20"/>
                <w:color w:val="auto"/>
              </w:rPr>
            </w:pPr>
            <w:r>
              <w:rPr>
                <w:rFonts w:ascii="Arial" w:cs="Arial" w:eastAsia="Arial" w:hAnsi="Arial"/>
                <w:sz w:val="18"/>
                <w:szCs w:val="18"/>
                <w:color w:val="0000EE"/>
              </w:rPr>
              <w:t>Controls and Procedures</w:t>
            </w:r>
          </w:p>
        </w:tc>
        <w:tc>
          <w:tcPr>
            <w:tcW w:w="560" w:type="dxa"/>
            <w:vAlign w:val="bottom"/>
            <w:gridSpan w:val="5"/>
          </w:tcPr>
          <w:p>
            <w:pPr>
              <w:jc w:val="center"/>
              <w:ind w:left="250"/>
              <w:spacing w:after="0" w:line="196" w:lineRule="exact"/>
              <w:rPr>
                <w:sz w:val="20"/>
                <w:szCs w:val="20"/>
                <w:color w:val="auto"/>
              </w:rPr>
            </w:pPr>
            <w:r>
              <w:rPr>
                <w:rFonts w:ascii="Arial" w:cs="Arial" w:eastAsia="Arial" w:hAnsi="Arial"/>
                <w:sz w:val="18"/>
                <w:szCs w:val="18"/>
                <w:color w:val="0000EE"/>
                <w:w w:val="89"/>
              </w:rPr>
              <w:t>44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Arial" w:cs="Arial" w:eastAsia="Arial" w:hAnsi="Arial"/>
                <w:sz w:val="18"/>
                <w:szCs w:val="18"/>
                <w:b w:val="1"/>
                <w:bCs w:val="1"/>
                <w:color w:val="auto"/>
              </w:rPr>
              <w:t>Part II - Other Information</w:t>
            </w:r>
          </w:p>
        </w:tc>
        <w:tc>
          <w:tcPr>
            <w:tcW w:w="560" w:type="dxa"/>
            <w:vAlign w:val="bottom"/>
            <w:gridSpan w:val="5"/>
          </w:tcPr>
          <w:p>
            <w:pPr>
              <w:jc w:val="center"/>
              <w:ind w:left="250"/>
              <w:spacing w:after="0"/>
              <w:rPr>
                <w:sz w:val="20"/>
                <w:szCs w:val="20"/>
                <w:color w:val="auto"/>
              </w:rPr>
            </w:pPr>
            <w:r>
              <w:rPr>
                <w:rFonts w:ascii="Arial" w:cs="Arial" w:eastAsia="Arial" w:hAnsi="Arial"/>
                <w:sz w:val="18"/>
                <w:szCs w:val="18"/>
                <w:color w:val="0000EE"/>
                <w:w w:val="89"/>
              </w:rPr>
              <w:t>46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EE"/>
              </w:rPr>
              <w:t>Item 1.</w:t>
            </w: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Legal Proceedings</w:t>
            </w:r>
          </w:p>
        </w:tc>
        <w:tc>
          <w:tcPr>
            <w:tcW w:w="560" w:type="dxa"/>
            <w:vAlign w:val="bottom"/>
            <w:gridSpan w:val="5"/>
          </w:tcPr>
          <w:p>
            <w:pPr>
              <w:jc w:val="center"/>
              <w:ind w:left="250"/>
              <w:spacing w:after="0"/>
              <w:rPr>
                <w:sz w:val="20"/>
                <w:szCs w:val="20"/>
                <w:color w:val="auto"/>
              </w:rPr>
            </w:pPr>
            <w:r>
              <w:rPr>
                <w:rFonts w:ascii="Arial" w:cs="Arial" w:eastAsia="Arial" w:hAnsi="Arial"/>
                <w:sz w:val="18"/>
                <w:szCs w:val="18"/>
                <w:color w:val="0000EE"/>
                <w:w w:val="8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0000EE"/>
              </w:rPr>
              <w:t>Item 1A.</w:t>
            </w:r>
          </w:p>
        </w:tc>
        <w:tc>
          <w:tcPr>
            <w:tcW w:w="9220" w:type="dxa"/>
            <w:vAlign w:val="bottom"/>
            <w:gridSpan w:val="16"/>
          </w:tcPr>
          <w:p>
            <w:pPr>
              <w:spacing w:after="0"/>
              <w:rPr>
                <w:sz w:val="20"/>
                <w:szCs w:val="20"/>
                <w:color w:val="auto"/>
              </w:rPr>
            </w:pPr>
            <w:r>
              <w:rPr>
                <w:rFonts w:ascii="Arial" w:cs="Arial" w:eastAsia="Arial" w:hAnsi="Arial"/>
                <w:sz w:val="18"/>
                <w:szCs w:val="18"/>
                <w:color w:val="0000EE"/>
              </w:rPr>
              <w:t>Risk Factors</w:t>
            </w:r>
          </w:p>
        </w:tc>
        <w:tc>
          <w:tcPr>
            <w:tcW w:w="560" w:type="dxa"/>
            <w:vAlign w:val="bottom"/>
            <w:gridSpan w:val="5"/>
          </w:tcPr>
          <w:p>
            <w:pPr>
              <w:jc w:val="center"/>
              <w:ind w:left="250"/>
              <w:spacing w:after="0"/>
              <w:rPr>
                <w:sz w:val="20"/>
                <w:szCs w:val="20"/>
                <w:color w:val="auto"/>
              </w:rPr>
            </w:pPr>
            <w:r>
              <w:rPr>
                <w:rFonts w:ascii="Arial" w:cs="Arial" w:eastAsia="Arial" w:hAnsi="Arial"/>
                <w:sz w:val="18"/>
                <w:szCs w:val="18"/>
                <w:color w:val="0000EE"/>
                <w:w w:val="8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560" w:type="dxa"/>
            <w:vAlign w:val="bottom"/>
            <w:gridSpan w:val="5"/>
          </w:tcPr>
          <w:p>
            <w:pPr>
              <w:jc w:val="center"/>
              <w:ind w:left="250"/>
              <w:spacing w:after="0"/>
              <w:rPr>
                <w:sz w:val="20"/>
                <w:szCs w:val="20"/>
                <w:color w:val="auto"/>
              </w:rPr>
            </w:pPr>
            <w:r>
              <w:rPr>
                <w:rFonts w:ascii="Arial" w:cs="Arial" w:eastAsia="Arial" w:hAnsi="Arial"/>
                <w:sz w:val="18"/>
                <w:szCs w:val="18"/>
                <w:color w:val="0000EE"/>
                <w:w w:val="8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3.</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Defaults Upon Senior Securities</w:t>
            </w:r>
          </w:p>
        </w:tc>
        <w:tc>
          <w:tcPr>
            <w:tcW w:w="560" w:type="dxa"/>
            <w:vAlign w:val="bottom"/>
            <w:gridSpan w:val="5"/>
          </w:tcPr>
          <w:p>
            <w:pPr>
              <w:jc w:val="center"/>
              <w:ind w:left="250"/>
              <w:spacing w:after="0"/>
              <w:rPr>
                <w:sz w:val="20"/>
                <w:szCs w:val="20"/>
                <w:color w:val="auto"/>
              </w:rPr>
            </w:pPr>
            <w:r>
              <w:rPr>
                <w:rFonts w:ascii="Arial" w:cs="Arial" w:eastAsia="Arial" w:hAnsi="Arial"/>
                <w:sz w:val="18"/>
                <w:szCs w:val="18"/>
                <w:color w:val="0000EE"/>
                <w:w w:val="8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9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4.</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Mine Safety Disclosures</w:t>
            </w:r>
          </w:p>
        </w:tc>
        <w:tc>
          <w:tcPr>
            <w:tcW w:w="560" w:type="dxa"/>
            <w:vAlign w:val="bottom"/>
            <w:gridSpan w:val="5"/>
          </w:tcPr>
          <w:p>
            <w:pPr>
              <w:jc w:val="center"/>
              <w:ind w:left="250"/>
              <w:spacing w:after="0"/>
              <w:rPr>
                <w:sz w:val="20"/>
                <w:szCs w:val="20"/>
                <w:color w:val="auto"/>
              </w:rPr>
            </w:pPr>
            <w:r>
              <w:rPr>
                <w:rFonts w:ascii="Arial" w:cs="Arial" w:eastAsia="Arial" w:hAnsi="Arial"/>
                <w:sz w:val="18"/>
                <w:szCs w:val="18"/>
                <w:color w:val="0000EE"/>
                <w:w w:val="8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5.</w:t>
            </w:r>
          </w:p>
        </w:tc>
        <w:tc>
          <w:tcPr>
            <w:tcW w:w="2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Other Information</w:t>
            </w:r>
          </w:p>
        </w:tc>
        <w:tc>
          <w:tcPr>
            <w:tcW w:w="560" w:type="dxa"/>
            <w:vAlign w:val="bottom"/>
            <w:gridSpan w:val="5"/>
          </w:tcPr>
          <w:p>
            <w:pPr>
              <w:jc w:val="center"/>
              <w:ind w:left="250"/>
              <w:spacing w:after="0"/>
              <w:rPr>
                <w:sz w:val="20"/>
                <w:szCs w:val="20"/>
                <w:color w:val="auto"/>
              </w:rPr>
            </w:pPr>
            <w:r>
              <w:rPr>
                <w:rFonts w:ascii="Arial" w:cs="Arial" w:eastAsia="Arial" w:hAnsi="Arial"/>
                <w:sz w:val="18"/>
                <w:szCs w:val="18"/>
                <w:color w:val="0000EE"/>
                <w:w w:val="89"/>
              </w:rPr>
              <w:t>46</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6.</w:t>
            </w:r>
          </w:p>
        </w:tc>
        <w:tc>
          <w:tcPr>
            <w:tcW w:w="600" w:type="dxa"/>
            <w:vAlign w:val="bottom"/>
            <w:gridSpan w:val="3"/>
          </w:tcPr>
          <w:p>
            <w:pPr>
              <w:spacing w:after="0"/>
              <w:rPr>
                <w:sz w:val="20"/>
                <w:szCs w:val="20"/>
                <w:color w:val="auto"/>
              </w:rPr>
            </w:pPr>
          </w:p>
        </w:tc>
        <w:tc>
          <w:tcPr>
            <w:tcW w:w="9220" w:type="dxa"/>
            <w:vAlign w:val="bottom"/>
            <w:gridSpan w:val="16"/>
          </w:tcPr>
          <w:p>
            <w:pPr>
              <w:spacing w:after="0"/>
              <w:rPr>
                <w:sz w:val="20"/>
                <w:szCs w:val="20"/>
                <w:color w:val="auto"/>
              </w:rPr>
            </w:pPr>
            <w:r>
              <w:rPr>
                <w:rFonts w:ascii="Arial" w:cs="Arial" w:eastAsia="Arial" w:hAnsi="Arial"/>
                <w:sz w:val="18"/>
                <w:szCs w:val="18"/>
                <w:color w:val="0000EE"/>
              </w:rPr>
              <w:t>Exhibits</w:t>
            </w:r>
          </w:p>
        </w:tc>
        <w:tc>
          <w:tcPr>
            <w:tcW w:w="560" w:type="dxa"/>
            <w:vAlign w:val="bottom"/>
            <w:gridSpan w:val="5"/>
          </w:tcPr>
          <w:p>
            <w:pPr>
              <w:jc w:val="center"/>
              <w:ind w:left="250"/>
              <w:spacing w:after="0"/>
              <w:rPr>
                <w:sz w:val="20"/>
                <w:szCs w:val="20"/>
                <w:color w:val="auto"/>
              </w:rPr>
            </w:pPr>
            <w:r>
              <w:rPr>
                <w:rFonts w:ascii="Arial" w:cs="Arial" w:eastAsia="Arial" w:hAnsi="Arial"/>
                <w:sz w:val="18"/>
                <w:szCs w:val="18"/>
                <w:color w:val="0000EE"/>
                <w:w w:val="89"/>
              </w:rPr>
              <w:t>47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0000EE"/>
              </w:rPr>
              <w:t>Signatures</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gridSpan w:val="5"/>
          </w:tcPr>
          <w:p>
            <w:pPr>
              <w:jc w:val="center"/>
              <w:ind w:left="250"/>
              <w:spacing w:after="0"/>
              <w:rPr>
                <w:sz w:val="20"/>
                <w:szCs w:val="20"/>
                <w:color w:val="auto"/>
              </w:rPr>
            </w:pPr>
            <w:r>
              <w:rPr>
                <w:rFonts w:ascii="Arial" w:cs="Arial" w:eastAsia="Arial" w:hAnsi="Arial"/>
                <w:sz w:val="18"/>
                <w:szCs w:val="18"/>
                <w:color w:val="0000EE"/>
                <w:w w:val="89"/>
              </w:rPr>
              <w:t>48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spacing w:after="0" w:line="27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6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and business performance, including key business metrics and any underlying assumptions thereunder;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clients and retain existing clients;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and timing related to commercial product launches;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go-to-market strategy;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scale our business and expand our offerings;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competitive advantages and growth strategies;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funding for our future operations;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material weakness in our internal controls and our ability to remediate this material weakness on the timing we anticipate, or at all;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63"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 of macroeconomic conditions, including but not limited to health crises like the COVID-19 pandemic, inflation, uncertain credit and global financial markets, recent and potential future disruptions in access to bank deposits or lending commitments due to bank failures and geopolitical events, including the military conflict between Russia and Ukraine or the recent state of war between Israel and Hamas and the related risk of a larger regional conflict;</w:t>
      </w:r>
    </w:p>
    <w:p>
      <w:pPr>
        <w:spacing w:after="0" w:line="2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global, regional or local economic and market conditions affecting the cannabis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capitalize on new and existing cannabis markets, including our ability to successfully monetize our solutions in those markets;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future growth;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effectively anticipate and address changes in the end-user market in the cannabis industry;</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competition on our future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officers, key employees or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cyber-attacks and security vulnerabilities;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2022, filed with the SEC on March 16, 2023 and our Quarterly Report on Form 10-Q for the quarter ended June 30, 2023 filed with the SEC on August 9, 2023. Moreover, we operate in a very competitive and rapidly changing environment. New risks and uncertainties emerge from time to time, and it is not possible for us to predict all risks and uncertainties that could have an impact on the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1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28,583</w:t>
            </w: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12,314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17,438</w:t>
            </w: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46,929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54,983</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24,928</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68,368</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31,447</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199,035</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33,635</w:t>
            </w: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6,256</w:t>
            </w: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Tax receivable agreement liability, current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46,323</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33,043</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Tax receivable agreement liability, non-current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84,258</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 (Note 3)</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5"/>
        </w:trPr>
        <w:tc>
          <w:tcPr>
            <w:tcW w:w="7240" w:type="dxa"/>
            <w:vAlign w:val="bottom"/>
          </w:tcPr>
          <w:p>
            <w:pPr>
              <w:ind w:left="180"/>
              <w:spacing w:after="0" w:line="176" w:lineRule="exact"/>
              <w:rPr>
                <w:sz w:val="20"/>
                <w:szCs w:val="20"/>
                <w:color w:val="auto"/>
              </w:rPr>
            </w:pPr>
            <w:r>
              <w:rPr>
                <w:rFonts w:ascii="Arial" w:cs="Arial" w:eastAsia="Arial" w:hAnsi="Arial"/>
                <w:sz w:val="18"/>
                <w:szCs w:val="18"/>
                <w:color w:val="auto"/>
                <w:w w:val="98"/>
              </w:rPr>
              <w:t>Preferred Stock - $0.0001 par value; 75,000,000 shares authorized; no shares issued and</w:t>
            </w: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outstanding at September 30, 2023 and December 31, 2022</w:t>
            </w:r>
          </w:p>
        </w:tc>
        <w:tc>
          <w:tcPr>
            <w:tcW w:w="160" w:type="dxa"/>
            <w:vAlign w:val="bottom"/>
          </w:tcPr>
          <w:p>
            <w:pPr>
              <w:spacing w:after="0"/>
              <w:rPr>
                <w:sz w:val="21"/>
                <w:szCs w:val="21"/>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Class A Common Stock - $0.0001 par value; 1,500,000,000 shares authorized; 93,881,130</w:t>
            </w: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8"/>
        </w:trPr>
        <w:tc>
          <w:tcPr>
            <w:tcW w:w="72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6"/>
              </w:rPr>
              <w:t>shares issued and outstanding at September 30, 2023 and 92,062,468 shares issued and</w:t>
            </w:r>
          </w:p>
        </w:tc>
        <w:tc>
          <w:tcPr>
            <w:tcW w:w="1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December 31, 2022</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175"/>
        </w:trPr>
        <w:tc>
          <w:tcPr>
            <w:tcW w:w="7240" w:type="dxa"/>
            <w:vAlign w:val="bottom"/>
          </w:tcPr>
          <w:p>
            <w:pPr>
              <w:ind w:left="180"/>
              <w:spacing w:after="0" w:line="176" w:lineRule="exact"/>
              <w:rPr>
                <w:sz w:val="20"/>
                <w:szCs w:val="20"/>
                <w:color w:val="auto"/>
              </w:rPr>
            </w:pPr>
            <w:r>
              <w:rPr>
                <w:rFonts w:ascii="Arial" w:cs="Arial" w:eastAsia="Arial" w:hAnsi="Arial"/>
                <w:sz w:val="18"/>
                <w:szCs w:val="18"/>
                <w:color w:val="auto"/>
                <w:w w:val="91"/>
              </w:rPr>
              <w:t>Class V Common Stock - $0.0001 par value; 500,000,000 shares authorized, 55,486,361 shares</w:t>
            </w: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240" w:type="dxa"/>
            <w:vAlign w:val="bottom"/>
          </w:tcPr>
          <w:p>
            <w:pPr>
              <w:ind w:left="360"/>
              <w:spacing w:after="0"/>
              <w:rPr>
                <w:sz w:val="20"/>
                <w:szCs w:val="20"/>
                <w:color w:val="auto"/>
              </w:rPr>
            </w:pPr>
            <w:r>
              <w:rPr>
                <w:rFonts w:ascii="Arial" w:cs="Arial" w:eastAsia="Arial" w:hAnsi="Arial"/>
                <w:sz w:val="18"/>
                <w:szCs w:val="18"/>
                <w:color w:val="auto"/>
              </w:rPr>
              <w:t>issued and outstanding at September 30, 2023 and December 31, 2022</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67,986</w:t>
            </w:r>
          </w:p>
        </w:tc>
      </w:tr>
      <w:tr>
        <w:trPr>
          <w:trHeight w:val="230"/>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(54,620)</w:t>
            </w: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WM Technology, Inc. stockholders’ equity</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w:t>
            </w:r>
          </w:p>
        </w:tc>
      </w:tr>
      <w:tr>
        <w:trPr>
          <w:trHeight w:val="230"/>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101,397</w:t>
            </w: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114,777</w:t>
            </w:r>
          </w:p>
        </w:tc>
      </w:tr>
      <w:tr>
        <w:trPr>
          <w:trHeight w:val="223"/>
        </w:trPr>
        <w:tc>
          <w:tcPr>
            <w:tcW w:w="724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199,035</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5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6440" w:type="dxa"/>
            <w:vAlign w:val="bottom"/>
            <w:gridSpan w:val="4"/>
          </w:tcPr>
          <w:p>
            <w:pPr>
              <w:jc w:val="center"/>
              <w:ind w:left="2170"/>
              <w:spacing w:after="0"/>
              <w:rPr>
                <w:sz w:val="20"/>
                <w:szCs w:val="20"/>
                <w:color w:val="auto"/>
              </w:rPr>
            </w:pPr>
            <w:r>
              <w:rPr>
                <w:rFonts w:ascii="Arial" w:cs="Arial" w:eastAsia="Arial" w:hAnsi="Arial"/>
                <w:sz w:val="18"/>
                <w:szCs w:val="18"/>
                <w:b w:val="1"/>
                <w:bCs w:val="1"/>
                <w:color w:val="auto"/>
              </w:rPr>
              <w:t>WM TECHNOLOGY, INC.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60" w:type="dxa"/>
            <w:vAlign w:val="bottom"/>
            <w:gridSpan w:val="7"/>
          </w:tcPr>
          <w:p>
            <w:pPr>
              <w:jc w:val="center"/>
              <w:ind w:left="9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5240" w:type="dxa"/>
            <w:vAlign w:val="bottom"/>
          </w:tcPr>
          <w:p>
            <w:pPr>
              <w:jc w:val="center"/>
              <w:ind w:left="335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440" w:type="dxa"/>
            <w:vAlign w:val="bottom"/>
            <w:gridSpan w:val="4"/>
          </w:tcPr>
          <w:p>
            <w:pPr>
              <w:jc w:val="center"/>
              <w:ind w:left="2170"/>
              <w:spacing w:after="0"/>
              <w:rPr>
                <w:sz w:val="20"/>
                <w:szCs w:val="20"/>
                <w:color w:val="auto"/>
              </w:rPr>
            </w:pPr>
            <w:r>
              <w:rPr>
                <w:rFonts w:ascii="Arial" w:cs="Arial" w:eastAsia="Arial" w:hAnsi="Arial"/>
                <w:sz w:val="18"/>
                <w:szCs w:val="18"/>
                <w:b w:val="1"/>
                <w:bCs w:val="1"/>
                <w:color w:val="auto"/>
                <w:w w:val="89"/>
              </w:rPr>
              <w:t>(In thousands, except for share data)</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10"/>
        </w:trPr>
        <w:tc>
          <w:tcPr>
            <w:tcW w:w="12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4"/>
                <w:szCs w:val="24"/>
                <w:color w:val="auto"/>
              </w:rPr>
            </w:pPr>
          </w:p>
        </w:tc>
        <w:tc>
          <w:tcPr>
            <w:tcW w:w="21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12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21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128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r>
        <w:trPr>
          <w:trHeight w:val="223"/>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166,246</w:t>
            </w:r>
          </w:p>
        </w:tc>
      </w:tr>
      <w:tr>
        <w:trPr>
          <w:trHeight w:val="257"/>
        </w:trPr>
        <w:tc>
          <w:tcPr>
            <w:tcW w:w="652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520" w:type="dxa"/>
            <w:vAlign w:val="bottom"/>
            <w:gridSpan w:val="2"/>
          </w:tcPr>
          <w:p>
            <w:pPr>
              <w:ind w:left="140"/>
              <w:spacing w:after="0"/>
              <w:rPr>
                <w:sz w:val="20"/>
                <w:szCs w:val="20"/>
                <w:color w:val="auto"/>
              </w:rPr>
            </w:pPr>
            <w:r>
              <w:rPr>
                <w:rFonts w:ascii="Arial" w:cs="Arial" w:eastAsia="Arial" w:hAnsi="Arial"/>
                <w:sz w:val="18"/>
                <w:szCs w:val="18"/>
                <w:color w:val="auto"/>
                <w:w w:val="92"/>
              </w:rPr>
              <w:t>Cost of revenues (exclusive of depreciation and amortization shown separately below)</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11,870</w:t>
            </w:r>
          </w:p>
        </w:tc>
      </w:tr>
      <w:tr>
        <w:trPr>
          <w:trHeight w:val="229"/>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61,887</w:t>
            </w:r>
          </w:p>
        </w:tc>
      </w:tr>
      <w:tr>
        <w:trPr>
          <w:trHeight w:val="229"/>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Product development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38,341</w:t>
            </w:r>
          </w:p>
        </w:tc>
      </w:tr>
      <w:tr>
        <w:trPr>
          <w:trHeight w:val="230"/>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92,155</w:t>
            </w:r>
          </w:p>
        </w:tc>
      </w:tr>
      <w:tr>
        <w:trPr>
          <w:trHeight w:val="229"/>
        </w:trPr>
        <w:tc>
          <w:tcPr>
            <w:tcW w:w="6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w:t>
            </w:r>
          </w:p>
        </w:tc>
      </w:tr>
      <w:tr>
        <w:trPr>
          <w:trHeight w:val="223"/>
        </w:trPr>
        <w:tc>
          <w:tcPr>
            <w:tcW w:w="6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213,169</w:t>
            </w:r>
          </w:p>
        </w:tc>
      </w:tr>
      <w:tr>
        <w:trPr>
          <w:trHeight w:val="223"/>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(46,923)</w:t>
            </w:r>
          </w:p>
        </w:tc>
      </w:tr>
      <w:tr>
        <w:trPr>
          <w:trHeight w:val="23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20,605</w:t>
            </w:r>
          </w:p>
        </w:tc>
      </w:tr>
      <w:tr>
        <w:trPr>
          <w:trHeight w:val="229"/>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 in tax receivable agreement liability</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r>
      <w:tr>
        <w:trPr>
          <w:trHeight w:val="223"/>
        </w:trPr>
        <w:tc>
          <w:tcPr>
            <w:tcW w:w="6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(27,548)</w:t>
            </w:r>
          </w:p>
        </w:tc>
      </w:tr>
      <w:tr>
        <w:trPr>
          <w:trHeight w:val="230"/>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Benefit from income taxes</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(5,699)</w:t>
            </w:r>
          </w:p>
        </w:tc>
      </w:tr>
      <w:tr>
        <w:trPr>
          <w:trHeight w:val="223"/>
        </w:trPr>
        <w:tc>
          <w:tcPr>
            <w:tcW w:w="65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(21,849)</w:t>
            </w:r>
          </w:p>
        </w:tc>
      </w:tr>
      <w:tr>
        <w:trPr>
          <w:trHeight w:val="230"/>
        </w:trPr>
        <w:tc>
          <w:tcPr>
            <w:tcW w:w="65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loss attributable to noncontrolling interests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(14,484)</w:t>
            </w:r>
          </w:p>
        </w:tc>
      </w:tr>
      <w:tr>
        <w:trPr>
          <w:trHeight w:val="248"/>
        </w:trPr>
        <w:tc>
          <w:tcPr>
            <w:tcW w:w="65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loss attributable to WM Technology,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(7,365)</w:t>
            </w:r>
          </w:p>
        </w:tc>
      </w:tr>
      <w:tr>
        <w:trPr>
          <w:trHeight w:val="20"/>
        </w:trPr>
        <w:tc>
          <w:tcPr>
            <w:tcW w:w="65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Basic and diluted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0"/>
        </w:trPr>
        <w:tc>
          <w:tcPr>
            <w:tcW w:w="652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Class A Common Stock:</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basic and diluted shares outstanding</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93,651,871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89,552,914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92,947,191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82,872,137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-3771265</wp:posOffset>
            </wp:positionV>
            <wp:extent cx="60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-3771265</wp:posOffset>
            </wp:positionV>
            <wp:extent cx="603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data)</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20" w:type="dxa"/>
            <w:vAlign w:val="bottom"/>
            <w:gridSpan w:val="11"/>
          </w:tcPr>
          <w:p>
            <w:pPr>
              <w:ind w:left="100"/>
              <w:spacing w:after="0"/>
              <w:rPr>
                <w:sz w:val="20"/>
                <w:szCs w:val="20"/>
                <w:color w:val="auto"/>
              </w:rPr>
            </w:pPr>
            <w:r>
              <w:rPr>
                <w:rFonts w:ascii="Arial" w:cs="Arial" w:eastAsia="Arial" w:hAnsi="Arial"/>
                <w:sz w:val="14"/>
                <w:szCs w:val="14"/>
                <w:b w:val="1"/>
                <w:bCs w:val="1"/>
                <w:color w:val="auto"/>
              </w:rPr>
              <w:t>Three and Nine Months Ended September 30, 2023</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2040" w:type="dxa"/>
            <w:vAlign w:val="bottom"/>
          </w:tcPr>
          <w:p>
            <w:pPr>
              <w:spacing w:after="0"/>
              <w:rPr>
                <w:sz w:val="24"/>
                <w:szCs w:val="24"/>
                <w:color w:val="auto"/>
              </w:rPr>
            </w:pPr>
          </w:p>
        </w:tc>
        <w:tc>
          <w:tcPr>
            <w:tcW w:w="188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86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Total WM</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186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3"/>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Technology, Inc.</w:t>
            </w:r>
          </w:p>
        </w:tc>
        <w:tc>
          <w:tcPr>
            <w:tcW w:w="120" w:type="dxa"/>
            <w:vAlign w:val="bottom"/>
          </w:tcPr>
          <w:p>
            <w:pPr>
              <w:spacing w:after="0"/>
              <w:rPr>
                <w:sz w:val="7"/>
                <w:szCs w:val="7"/>
                <w:color w:val="auto"/>
              </w:rPr>
            </w:pPr>
          </w:p>
        </w:tc>
        <w:tc>
          <w:tcPr>
            <w:tcW w:w="940" w:type="dxa"/>
            <w:vAlign w:val="bottom"/>
            <w:gridSpan w:val="2"/>
            <w:vMerge w:val="restart"/>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40" w:type="dxa"/>
            <w:vAlign w:val="bottom"/>
          </w:tcPr>
          <w:p>
            <w:pPr>
              <w:spacing w:after="0"/>
              <w:rPr>
                <w:sz w:val="5"/>
                <w:szCs w:val="5"/>
                <w:color w:val="auto"/>
              </w:rPr>
            </w:pPr>
          </w:p>
        </w:tc>
        <w:tc>
          <w:tcPr>
            <w:tcW w:w="1780" w:type="dxa"/>
            <w:vAlign w:val="bottom"/>
            <w:gridSpan w:val="3"/>
            <w:vMerge w:val="restart"/>
          </w:tcPr>
          <w:p>
            <w:pPr>
              <w:jc w:val="right"/>
              <w:ind w:right="588"/>
              <w:spacing w:after="0"/>
              <w:rPr>
                <w:sz w:val="20"/>
                <w:szCs w:val="20"/>
                <w:color w:val="auto"/>
              </w:rPr>
            </w:pPr>
            <w:r>
              <w:rPr>
                <w:rFonts w:ascii="Arial" w:cs="Arial" w:eastAsia="Arial" w:hAnsi="Arial"/>
                <w:sz w:val="14"/>
                <w:szCs w:val="14"/>
                <w:b w:val="1"/>
                <w:bCs w:val="1"/>
                <w:color w:val="auto"/>
              </w:rPr>
              <w:t>Class A</w:t>
            </w:r>
          </w:p>
        </w:tc>
        <w:tc>
          <w:tcPr>
            <w:tcW w:w="100" w:type="dxa"/>
            <w:vAlign w:val="bottom"/>
            <w:vMerge w:val="restart"/>
          </w:tcPr>
          <w:p>
            <w:pPr>
              <w:spacing w:after="0"/>
              <w:rPr>
                <w:sz w:val="5"/>
                <w:szCs w:val="5"/>
                <w:color w:val="auto"/>
              </w:rPr>
            </w:pPr>
          </w:p>
        </w:tc>
        <w:tc>
          <w:tcPr>
            <w:tcW w:w="1780" w:type="dxa"/>
            <w:vAlign w:val="bottom"/>
            <w:gridSpan w:val="3"/>
            <w:vMerge w:val="restart"/>
          </w:tcPr>
          <w:p>
            <w:pPr>
              <w:jc w:val="right"/>
              <w:ind w:right="588"/>
              <w:spacing w:after="0"/>
              <w:rPr>
                <w:sz w:val="20"/>
                <w:szCs w:val="20"/>
                <w:color w:val="auto"/>
              </w:rPr>
            </w:pPr>
            <w:r>
              <w:rPr>
                <w:rFonts w:ascii="Arial" w:cs="Arial" w:eastAsia="Arial" w:hAnsi="Arial"/>
                <w:sz w:val="14"/>
                <w:szCs w:val="14"/>
                <w:b w:val="1"/>
                <w:bCs w:val="1"/>
                <w:color w:val="auto"/>
              </w:rPr>
              <w:t>Class V</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1"/>
                <w:szCs w:val="11"/>
                <w:color w:val="auto"/>
              </w:rPr>
            </w:pPr>
          </w:p>
        </w:tc>
        <w:tc>
          <w:tcPr>
            <w:tcW w:w="1780" w:type="dxa"/>
            <w:vAlign w:val="bottom"/>
            <w:tcBorders>
              <w:bottom w:val="single" w:sz="8" w:color="auto"/>
            </w:tcBorders>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78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4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202"/>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 of December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92,062,468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55,486,361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101,397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114,777</w:t>
            </w:r>
          </w:p>
        </w:tc>
        <w:tc>
          <w:tcPr>
            <w:tcW w:w="0" w:type="dxa"/>
            <w:vAlign w:val="bottom"/>
          </w:tcPr>
          <w:p>
            <w:pPr>
              <w:spacing w:after="0"/>
              <w:rPr>
                <w:sz w:val="1"/>
                <w:szCs w:val="1"/>
                <w:color w:val="auto"/>
              </w:rPr>
            </w:pPr>
          </w:p>
        </w:tc>
      </w:tr>
      <w:tr>
        <w:trPr>
          <w:trHeight w:val="213"/>
        </w:trPr>
        <w:tc>
          <w:tcPr>
            <w:tcW w:w="2040" w:type="dxa"/>
            <w:vAlign w:val="bottom"/>
          </w:tcPr>
          <w:p>
            <w:pPr>
              <w:ind w:left="120"/>
              <w:spacing w:after="0"/>
              <w:rPr>
                <w:sz w:val="20"/>
                <w:szCs w:val="20"/>
                <w:color w:val="auto"/>
              </w:rPr>
            </w:pPr>
            <w:r>
              <w:rPr>
                <w:rFonts w:ascii="Arial" w:cs="Arial" w:eastAsia="Arial" w:hAnsi="Arial"/>
                <w:sz w:val="16"/>
                <w:szCs w:val="16"/>
                <w:color w:val="auto"/>
                <w:w w:val="98"/>
              </w:rPr>
              <w:t>Stock-based compensation</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4,681</w:t>
            </w: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5"/>
              </w:rPr>
              <w:t>Issuance of common stock -</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vesting of restricted stock</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5"/>
              </w:rPr>
              <w:t>units, net of shares withheld</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 taxes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475,510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2040" w:type="dxa"/>
            <w:vAlign w:val="bottom"/>
          </w:tcPr>
          <w:p>
            <w:pPr>
              <w:ind w:left="120"/>
              <w:spacing w:after="0"/>
              <w:rPr>
                <w:sz w:val="20"/>
                <w:szCs w:val="20"/>
                <w:color w:val="auto"/>
              </w:rPr>
            </w:pPr>
            <w:r>
              <w:rPr>
                <w:rFonts w:ascii="Arial" w:cs="Arial" w:eastAsia="Arial" w:hAnsi="Arial"/>
                <w:sz w:val="16"/>
                <w:szCs w:val="16"/>
                <w:color w:val="auto"/>
              </w:rPr>
              <w:t>Distributions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5"/>
              </w:rPr>
              <w:t>Issuance of common stock -</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Class P Unit exchange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2040" w:type="dxa"/>
            <w:vAlign w:val="bottom"/>
          </w:tcPr>
          <w:p>
            <w:pPr>
              <w:ind w:left="1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(3,969)</w:t>
            </w:r>
          </w:p>
        </w:tc>
        <w:tc>
          <w:tcPr>
            <w:tcW w:w="0" w:type="dxa"/>
            <w:vAlign w:val="bottom"/>
          </w:tcPr>
          <w:p>
            <w:pPr>
              <w:spacing w:after="0"/>
              <w:rPr>
                <w:sz w:val="1"/>
                <w:szCs w:val="1"/>
                <w:color w:val="auto"/>
              </w:rPr>
            </w:pPr>
          </w:p>
        </w:tc>
      </w:tr>
      <w:tr>
        <w:trPr>
          <w:trHeight w:val="199"/>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 of March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92,573,466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55,486,361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72,444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99,876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115,239</w:t>
            </w:r>
          </w:p>
        </w:tc>
        <w:tc>
          <w:tcPr>
            <w:tcW w:w="0" w:type="dxa"/>
            <w:vAlign w:val="bottom"/>
          </w:tcPr>
          <w:p>
            <w:pPr>
              <w:spacing w:after="0"/>
              <w:rPr>
                <w:sz w:val="1"/>
                <w:szCs w:val="1"/>
                <w:color w:val="auto"/>
              </w:rPr>
            </w:pPr>
          </w:p>
        </w:tc>
      </w:tr>
      <w:tr>
        <w:trPr>
          <w:trHeight w:val="213"/>
        </w:trPr>
        <w:tc>
          <w:tcPr>
            <w:tcW w:w="2040" w:type="dxa"/>
            <w:vAlign w:val="bottom"/>
          </w:tcPr>
          <w:p>
            <w:pPr>
              <w:ind w:left="120"/>
              <w:spacing w:after="0"/>
              <w:rPr>
                <w:sz w:val="20"/>
                <w:szCs w:val="20"/>
                <w:color w:val="auto"/>
              </w:rPr>
            </w:pPr>
            <w:r>
              <w:rPr>
                <w:rFonts w:ascii="Arial" w:cs="Arial" w:eastAsia="Arial" w:hAnsi="Arial"/>
                <w:sz w:val="16"/>
                <w:szCs w:val="16"/>
                <w:color w:val="auto"/>
                <w:w w:val="98"/>
              </w:rPr>
              <w:t>Stock-based compensation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4,005</w:t>
            </w: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5"/>
              </w:rPr>
              <w:t>Issuance of common stock -</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vesting of restricted stock</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5"/>
              </w:rPr>
              <w:t>units, net of shares withheld</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 taxes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842,178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3"/>
        </w:trPr>
        <w:tc>
          <w:tcPr>
            <w:tcW w:w="2040" w:type="dxa"/>
            <w:vAlign w:val="bottom"/>
          </w:tcPr>
          <w:p>
            <w:pPr>
              <w:ind w:left="120"/>
              <w:spacing w:after="0"/>
              <w:rPr>
                <w:sz w:val="20"/>
                <w:szCs w:val="20"/>
                <w:color w:val="auto"/>
              </w:rPr>
            </w:pPr>
            <w:r>
              <w:rPr>
                <w:rFonts w:ascii="Arial" w:cs="Arial" w:eastAsia="Arial" w:hAnsi="Arial"/>
                <w:sz w:val="16"/>
                <w:szCs w:val="16"/>
                <w:color w:val="auto"/>
              </w:rPr>
              <w:t>Distributions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Arial" w:cs="Arial" w:eastAsia="Arial" w:hAnsi="Arial"/>
                <w:sz w:val="16"/>
                <w:szCs w:val="16"/>
                <w:b w:val="1"/>
                <w:bCs w:val="1"/>
                <w:color w:val="auto"/>
              </w:rPr>
              <w:t>As of June 30, 2023</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93,415,644</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55,486,361</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76,351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(55,869)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20,496</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99,978</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120,474</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Stock-based compensation</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2,662</w:t>
            </w:r>
          </w:p>
        </w:tc>
        <w:tc>
          <w:tcPr>
            <w:tcW w:w="0" w:type="dxa"/>
            <w:vAlign w:val="bottom"/>
          </w:tcPr>
          <w:p>
            <w:pPr>
              <w:spacing w:after="0"/>
              <w:rPr>
                <w:sz w:val="1"/>
                <w:szCs w:val="1"/>
                <w:color w:val="auto"/>
              </w:rPr>
            </w:pPr>
          </w:p>
        </w:tc>
      </w:tr>
      <w:tr>
        <w:trPr>
          <w:trHeight w:val="143"/>
        </w:trPr>
        <w:tc>
          <w:tcPr>
            <w:tcW w:w="2040" w:type="dxa"/>
            <w:vAlign w:val="bottom"/>
          </w:tcPr>
          <w:p>
            <w:pPr>
              <w:ind w:left="120"/>
              <w:spacing w:after="0" w:line="143" w:lineRule="exact"/>
              <w:rPr>
                <w:sz w:val="20"/>
                <w:szCs w:val="20"/>
                <w:color w:val="auto"/>
              </w:rPr>
            </w:pPr>
            <w:r>
              <w:rPr>
                <w:rFonts w:ascii="Arial" w:cs="Arial" w:eastAsia="Arial" w:hAnsi="Arial"/>
                <w:sz w:val="14"/>
                <w:szCs w:val="14"/>
                <w:color w:val="auto"/>
              </w:rPr>
              <w:t>Discharge of holdback</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tcPr>
          <w:p>
            <w:pPr>
              <w:ind w:left="120"/>
              <w:spacing w:after="0" w:line="141" w:lineRule="exact"/>
              <w:rPr>
                <w:sz w:val="20"/>
                <w:szCs w:val="20"/>
                <w:color w:val="auto"/>
              </w:rPr>
            </w:pPr>
            <w:r>
              <w:rPr>
                <w:rFonts w:ascii="Arial" w:cs="Arial" w:eastAsia="Arial" w:hAnsi="Arial"/>
                <w:sz w:val="14"/>
                <w:szCs w:val="14"/>
                <w:color w:val="auto"/>
              </w:rPr>
              <w:t>obligation related to prior</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(1,995)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(3,607)</w:t>
            </w:r>
          </w:p>
        </w:tc>
        <w:tc>
          <w:tcPr>
            <w:tcW w:w="0" w:type="dxa"/>
            <w:vAlign w:val="bottom"/>
          </w:tcPr>
          <w:p>
            <w:pPr>
              <w:spacing w:after="0"/>
              <w:rPr>
                <w:sz w:val="1"/>
                <w:szCs w:val="1"/>
                <w:color w:val="auto"/>
              </w:rPr>
            </w:pPr>
          </w:p>
        </w:tc>
      </w:tr>
      <w:tr>
        <w:trPr>
          <w:trHeight w:val="182"/>
        </w:trPr>
        <w:tc>
          <w:tcPr>
            <w:tcW w:w="2040" w:type="dxa"/>
            <w:vAlign w:val="bottom"/>
          </w:tcPr>
          <w:p>
            <w:pPr>
              <w:ind w:left="120"/>
              <w:spacing w:after="0"/>
              <w:rPr>
                <w:sz w:val="20"/>
                <w:szCs w:val="20"/>
                <w:color w:val="auto"/>
              </w:rPr>
            </w:pPr>
            <w:r>
              <w:rPr>
                <w:rFonts w:ascii="Arial" w:cs="Arial" w:eastAsia="Arial" w:hAnsi="Arial"/>
                <w:sz w:val="14"/>
                <w:szCs w:val="14"/>
                <w:color w:val="auto"/>
              </w:rPr>
              <w:t>acquisition</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40" w:type="dxa"/>
            <w:vAlign w:val="bottom"/>
            <w:shd w:val="clear" w:color="auto" w:fill="CCEEFF"/>
          </w:tcPr>
          <w:p>
            <w:pPr>
              <w:ind w:left="120"/>
              <w:spacing w:after="0" w:line="166" w:lineRule="exact"/>
              <w:rPr>
                <w:sz w:val="20"/>
                <w:szCs w:val="20"/>
                <w:color w:val="auto"/>
              </w:rPr>
            </w:pPr>
            <w:r>
              <w:rPr>
                <w:rFonts w:ascii="Arial" w:cs="Arial" w:eastAsia="Arial" w:hAnsi="Arial"/>
                <w:sz w:val="16"/>
                <w:szCs w:val="16"/>
                <w:color w:val="auto"/>
                <w:w w:val="95"/>
              </w:rPr>
              <w:t>Issuance of common stock -</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vesting of restricted stock</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w w:val="95"/>
              </w:rPr>
              <w:t>units, net of shares withheld</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 taxes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455,820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3"/>
        </w:trPr>
        <w:tc>
          <w:tcPr>
            <w:tcW w:w="2040" w:type="dxa"/>
            <w:vAlign w:val="bottom"/>
          </w:tcPr>
          <w:p>
            <w:pPr>
              <w:ind w:left="120"/>
              <w:spacing w:after="0"/>
              <w:rPr>
                <w:sz w:val="20"/>
                <w:szCs w:val="20"/>
                <w:color w:val="auto"/>
              </w:rPr>
            </w:pPr>
            <w:r>
              <w:rPr>
                <w:rFonts w:ascii="Arial" w:cs="Arial" w:eastAsia="Arial" w:hAnsi="Arial"/>
                <w:sz w:val="16"/>
                <w:szCs w:val="16"/>
                <w:color w:val="auto"/>
              </w:rPr>
              <w:t>Distributions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(2,231)</w:t>
            </w: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5"/>
              </w:rPr>
              <w:t>Issuance of common stock -</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Class P Unit exchange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2040" w:type="dxa"/>
            <w:vAlign w:val="bottom"/>
          </w:tcPr>
          <w:p>
            <w:pPr>
              <w:ind w:left="1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(2,512)</w:t>
            </w:r>
          </w:p>
        </w:tc>
        <w:tc>
          <w:tcPr>
            <w:tcW w:w="0" w:type="dxa"/>
            <w:vAlign w:val="bottom"/>
          </w:tcPr>
          <w:p>
            <w:pPr>
              <w:spacing w:after="0"/>
              <w:rPr>
                <w:sz w:val="1"/>
                <w:szCs w:val="1"/>
                <w:color w:val="auto"/>
              </w:rPr>
            </w:pPr>
          </w:p>
        </w:tc>
      </w:tr>
      <w:tr>
        <w:trPr>
          <w:trHeight w:val="199"/>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 of September 30,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93,881,130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55,486,361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94,836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for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20" w:type="dxa"/>
            <w:vAlign w:val="bottom"/>
            <w:gridSpan w:val="12"/>
          </w:tcPr>
          <w:p>
            <w:pPr>
              <w:ind w:left="80"/>
              <w:spacing w:after="0"/>
              <w:rPr>
                <w:sz w:val="20"/>
                <w:szCs w:val="20"/>
                <w:color w:val="auto"/>
              </w:rPr>
            </w:pPr>
            <w:r>
              <w:rPr>
                <w:rFonts w:ascii="Arial" w:cs="Arial" w:eastAsia="Arial" w:hAnsi="Arial"/>
                <w:sz w:val="14"/>
                <w:szCs w:val="14"/>
                <w:b w:val="1"/>
                <w:bCs w:val="1"/>
                <w:color w:val="auto"/>
              </w:rPr>
              <w:t>Three and Nine Months Ended September 30, 2022</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040" w:type="dxa"/>
            <w:vAlign w:val="bottom"/>
          </w:tcPr>
          <w:p>
            <w:pPr>
              <w:spacing w:after="0"/>
              <w:rPr>
                <w:sz w:val="24"/>
                <w:szCs w:val="24"/>
                <w:color w:val="auto"/>
              </w:rPr>
            </w:pPr>
          </w:p>
        </w:tc>
        <w:tc>
          <w:tcPr>
            <w:tcW w:w="190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4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Total WM</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900" w:type="dxa"/>
            <w:vAlign w:val="bottom"/>
            <w:gridSpan w:val="4"/>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restart"/>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Technology, Inc.</w:t>
            </w:r>
          </w:p>
        </w:tc>
        <w:tc>
          <w:tcPr>
            <w:tcW w:w="120" w:type="dxa"/>
            <w:vAlign w:val="bottom"/>
          </w:tcPr>
          <w:p>
            <w:pPr>
              <w:spacing w:after="0"/>
              <w:rPr>
                <w:sz w:val="7"/>
                <w:szCs w:val="7"/>
                <w:color w:val="auto"/>
              </w:rPr>
            </w:pPr>
          </w:p>
        </w:tc>
        <w:tc>
          <w:tcPr>
            <w:tcW w:w="92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40" w:type="dxa"/>
            <w:vAlign w:val="bottom"/>
          </w:tcPr>
          <w:p>
            <w:pPr>
              <w:spacing w:after="0"/>
              <w:rPr>
                <w:sz w:val="5"/>
                <w:szCs w:val="5"/>
                <w:color w:val="auto"/>
              </w:rPr>
            </w:pPr>
          </w:p>
        </w:tc>
        <w:tc>
          <w:tcPr>
            <w:tcW w:w="1800" w:type="dxa"/>
            <w:vAlign w:val="bottom"/>
            <w:gridSpan w:val="3"/>
            <w:vMerge w:val="restart"/>
          </w:tcPr>
          <w:p>
            <w:pPr>
              <w:jc w:val="right"/>
              <w:ind w:right="588"/>
              <w:spacing w:after="0"/>
              <w:rPr>
                <w:sz w:val="20"/>
                <w:szCs w:val="20"/>
                <w:color w:val="auto"/>
              </w:rPr>
            </w:pPr>
            <w:r>
              <w:rPr>
                <w:rFonts w:ascii="Arial" w:cs="Arial" w:eastAsia="Arial" w:hAnsi="Arial"/>
                <w:sz w:val="14"/>
                <w:szCs w:val="14"/>
                <w:b w:val="1"/>
                <w:bCs w:val="1"/>
                <w:color w:val="auto"/>
              </w:rPr>
              <w:t>Class A</w:t>
            </w:r>
          </w:p>
        </w:tc>
        <w:tc>
          <w:tcPr>
            <w:tcW w:w="100" w:type="dxa"/>
            <w:vAlign w:val="bottom"/>
            <w:vMerge w:val="restart"/>
          </w:tcPr>
          <w:p>
            <w:pPr>
              <w:spacing w:after="0"/>
              <w:rPr>
                <w:sz w:val="5"/>
                <w:szCs w:val="5"/>
                <w:color w:val="auto"/>
              </w:rPr>
            </w:pPr>
          </w:p>
        </w:tc>
        <w:tc>
          <w:tcPr>
            <w:tcW w:w="146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Class V</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800" w:type="dxa"/>
            <w:vAlign w:val="bottom"/>
            <w:tcBorders>
              <w:bottom w:val="single" w:sz="8" w:color="auto"/>
            </w:tcBorders>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60" w:type="dxa"/>
            <w:vAlign w:val="bottom"/>
            <w:tcBorders>
              <w:bottom w:val="single" w:sz="8" w:color="auto"/>
            </w:tcBorders>
            <w:gridSpan w:val="2"/>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40" w:type="dxa"/>
            <w:vAlign w:val="bottom"/>
          </w:tcPr>
          <w:p>
            <w:pPr>
              <w:spacing w:after="0"/>
              <w:rPr>
                <w:sz w:val="16"/>
                <w:szCs w:val="16"/>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3"/>
          </w:tcPr>
          <w:p>
            <w:pPr>
              <w:ind w:left="1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2"/>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65,677,361</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65,502,347</w:t>
            </w:r>
          </w:p>
        </w:tc>
        <w:tc>
          <w:tcPr>
            <w:tcW w:w="520" w:type="dxa"/>
            <w:vAlign w:val="bottom"/>
            <w:tcBorders>
              <w:top w:val="single" w:sz="8" w:color="auto"/>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131,940</w:t>
            </w:r>
          </w:p>
        </w:tc>
        <w:tc>
          <w:tcPr>
            <w:tcW w:w="0" w:type="dxa"/>
            <w:vAlign w:val="bottom"/>
          </w:tcPr>
          <w:p>
            <w:pPr>
              <w:spacing w:after="0"/>
              <w:rPr>
                <w:sz w:val="1"/>
                <w:szCs w:val="1"/>
                <w:color w:val="auto"/>
              </w:rPr>
            </w:pPr>
          </w:p>
        </w:tc>
      </w:tr>
      <w:tr>
        <w:trPr>
          <w:trHeight w:val="182"/>
        </w:trPr>
        <w:tc>
          <w:tcPr>
            <w:tcW w:w="20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7,927</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4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common stock -</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6"/>
              </w:rPr>
              <w:t>vesting of restricted stock units,</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879,284</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2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7"/>
              </w:rPr>
              <w:t>net of shares withheld for taxes</w:t>
            </w: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for</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4,721,706</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12,836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12,836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15,889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28,725</w:t>
            </w:r>
          </w:p>
        </w:tc>
        <w:tc>
          <w:tcPr>
            <w:tcW w:w="0" w:type="dxa"/>
            <w:vAlign w:val="bottom"/>
          </w:tcPr>
          <w:p>
            <w:pPr>
              <w:spacing w:after="0"/>
              <w:rPr>
                <w:sz w:val="1"/>
                <w:szCs w:val="1"/>
                <w:color w:val="auto"/>
              </w:rPr>
            </w:pPr>
          </w:p>
        </w:tc>
      </w:tr>
      <w:tr>
        <w:trPr>
          <w:trHeight w:val="188"/>
        </w:trPr>
        <w:tc>
          <w:tcPr>
            <w:tcW w:w="2040" w:type="dxa"/>
            <w:vAlign w:val="bottom"/>
          </w:tcPr>
          <w:p>
            <w:pPr>
              <w:ind w:left="140"/>
              <w:spacing w:after="0"/>
              <w:rPr>
                <w:sz w:val="20"/>
                <w:szCs w:val="20"/>
                <w:color w:val="auto"/>
              </w:rPr>
            </w:pPr>
            <w:r>
              <w:rPr>
                <w:rFonts w:ascii="Arial" w:cs="Arial" w:eastAsia="Arial" w:hAnsi="Arial"/>
                <w:sz w:val="14"/>
                <w:szCs w:val="14"/>
                <w:color w:val="auto"/>
              </w:rPr>
              <w:t>acquisitions</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Issuance of common stock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4,295,574</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(4,295,574)</w:t>
            </w:r>
          </w:p>
        </w:tc>
        <w:tc>
          <w:tcPr>
            <w:tcW w:w="5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Unit exchange</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7,525,045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6,427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6,427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(6,427)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tcPr>
          <w:p>
            <w:pPr>
              <w:ind w:left="140"/>
              <w:spacing w:after="0"/>
              <w:rPr>
                <w:sz w:val="20"/>
                <w:szCs w:val="20"/>
                <w:color w:val="auto"/>
              </w:rPr>
            </w:pPr>
            <w:r>
              <w:rPr>
                <w:rFonts w:ascii="Arial" w:cs="Arial" w:eastAsia="Arial" w:hAnsi="Arial"/>
                <w:sz w:val="14"/>
                <w:szCs w:val="14"/>
                <w:color w:val="auto"/>
              </w:rPr>
              <w:t>Class P Unit exchange</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Issuance of common stock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 exercised</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140"/>
              <w:spacing w:after="0" w:line="143" w:lineRule="exact"/>
              <w:rPr>
                <w:sz w:val="20"/>
                <w:szCs w:val="20"/>
                <w:color w:val="auto"/>
              </w:rPr>
            </w:pPr>
            <w:r>
              <w:rPr>
                <w:rFonts w:ascii="Arial" w:cs="Arial" w:eastAsia="Arial" w:hAnsi="Arial"/>
                <w:sz w:val="14"/>
                <w:szCs w:val="14"/>
                <w:color w:val="auto"/>
              </w:rPr>
              <w:t>Impact of Tax Receivable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tcPr>
          <w:p>
            <w:pPr>
              <w:ind w:left="140"/>
              <w:spacing w:after="0" w:line="141" w:lineRule="exact"/>
              <w:rPr>
                <w:sz w:val="20"/>
                <w:szCs w:val="20"/>
                <w:color w:val="auto"/>
              </w:rPr>
            </w:pPr>
            <w:r>
              <w:rPr>
                <w:rFonts w:ascii="Arial" w:cs="Arial" w:eastAsia="Arial" w:hAnsi="Arial"/>
                <w:sz w:val="14"/>
                <w:szCs w:val="14"/>
                <w:color w:val="auto"/>
              </w:rPr>
              <w:t>Agreement due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11,625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11,625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11,625</w:t>
            </w:r>
          </w:p>
        </w:tc>
        <w:tc>
          <w:tcPr>
            <w:tcW w:w="0" w:type="dxa"/>
            <w:vAlign w:val="bottom"/>
          </w:tcPr>
          <w:p>
            <w:pPr>
              <w:spacing w:after="0"/>
              <w:rPr>
                <w:sz w:val="1"/>
                <w:szCs w:val="1"/>
                <w:color w:val="auto"/>
              </w:rPr>
            </w:pPr>
          </w:p>
        </w:tc>
      </w:tr>
      <w:tr>
        <w:trPr>
          <w:trHeight w:val="182"/>
        </w:trPr>
        <w:tc>
          <w:tcPr>
            <w:tcW w:w="2040" w:type="dxa"/>
            <w:vAlign w:val="bottom"/>
          </w:tcPr>
          <w:p>
            <w:pPr>
              <w:ind w:left="140"/>
              <w:spacing w:after="0"/>
              <w:rPr>
                <w:sz w:val="20"/>
                <w:szCs w:val="20"/>
                <w:color w:val="auto"/>
              </w:rPr>
            </w:pPr>
            <w:r>
              <w:rPr>
                <w:rFonts w:ascii="Arial" w:cs="Arial" w:eastAsia="Arial" w:hAnsi="Arial"/>
                <w:sz w:val="14"/>
                <w:szCs w:val="14"/>
                <w:color w:val="auto"/>
              </w:rPr>
              <w:t>to exchanges of Units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(17,340)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(31,233)</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As of March 31, 2022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83,098,990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61,206,773</w:t>
            </w: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43,970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47,476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91,460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57,511</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148,971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8,613</w:t>
            </w:r>
          </w:p>
        </w:tc>
        <w:tc>
          <w:tcPr>
            <w:tcW w:w="0" w:type="dxa"/>
            <w:vAlign w:val="bottom"/>
          </w:tcPr>
          <w:p>
            <w:pPr>
              <w:spacing w:after="0"/>
              <w:rPr>
                <w:sz w:val="1"/>
                <w:szCs w:val="1"/>
                <w:color w:val="auto"/>
              </w:rPr>
            </w:pPr>
          </w:p>
        </w:tc>
      </w:tr>
      <w:tr>
        <w:trPr>
          <w:trHeight w:val="182"/>
        </w:trPr>
        <w:tc>
          <w:tcPr>
            <w:tcW w:w="2040" w:type="dxa"/>
            <w:vAlign w:val="bottom"/>
          </w:tcPr>
          <w:p>
            <w:pPr>
              <w:ind w:left="140"/>
              <w:spacing w:after="0"/>
              <w:rPr>
                <w:sz w:val="20"/>
                <w:szCs w:val="20"/>
                <w:color w:val="auto"/>
              </w:rPr>
            </w:pPr>
            <w:r>
              <w:rPr>
                <w:rFonts w:ascii="Arial" w:cs="Arial" w:eastAsia="Arial" w:hAnsi="Arial"/>
                <w:sz w:val="14"/>
                <w:szCs w:val="14"/>
                <w:color w:val="auto"/>
              </w:rPr>
              <w:t>Distributions</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4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common stock -</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6"/>
              </w:rPr>
              <w:t>vesting of restricted stock units,</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543,118</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7"/>
              </w:rPr>
              <w:t>net of shares withheld for taxes</w:t>
            </w: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140"/>
              <w:spacing w:after="0" w:line="143" w:lineRule="exact"/>
              <w:rPr>
                <w:sz w:val="20"/>
                <w:szCs w:val="20"/>
                <w:color w:val="auto"/>
              </w:rPr>
            </w:pPr>
            <w:r>
              <w:rPr>
                <w:rFonts w:ascii="Arial" w:cs="Arial" w:eastAsia="Arial" w:hAnsi="Arial"/>
                <w:sz w:val="14"/>
                <w:szCs w:val="14"/>
                <w:color w:val="auto"/>
              </w:rPr>
              <w:t>Impact of Tax Receivable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tcPr>
          <w:p>
            <w:pPr>
              <w:ind w:left="140"/>
              <w:spacing w:after="0" w:line="141" w:lineRule="exact"/>
              <w:rPr>
                <w:sz w:val="20"/>
                <w:szCs w:val="20"/>
                <w:color w:val="auto"/>
              </w:rPr>
            </w:pPr>
            <w:r>
              <w:rPr>
                <w:rFonts w:ascii="Arial" w:cs="Arial" w:eastAsia="Arial" w:hAnsi="Arial"/>
                <w:sz w:val="14"/>
                <w:szCs w:val="14"/>
                <w:color w:val="auto"/>
              </w:rPr>
              <w:t>Agreement due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2,282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2,282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2,282</w:t>
            </w:r>
          </w:p>
        </w:tc>
        <w:tc>
          <w:tcPr>
            <w:tcW w:w="0" w:type="dxa"/>
            <w:vAlign w:val="bottom"/>
          </w:tcPr>
          <w:p>
            <w:pPr>
              <w:spacing w:after="0"/>
              <w:rPr>
                <w:sz w:val="1"/>
                <w:szCs w:val="1"/>
                <w:color w:val="auto"/>
              </w:rPr>
            </w:pPr>
          </w:p>
        </w:tc>
      </w:tr>
      <w:tr>
        <w:trPr>
          <w:trHeight w:val="182"/>
        </w:trPr>
        <w:tc>
          <w:tcPr>
            <w:tcW w:w="2040" w:type="dxa"/>
            <w:vAlign w:val="bottom"/>
          </w:tcPr>
          <w:p>
            <w:pPr>
              <w:ind w:left="140"/>
              <w:spacing w:after="0"/>
              <w:rPr>
                <w:sz w:val="20"/>
                <w:szCs w:val="20"/>
                <w:color w:val="auto"/>
              </w:rPr>
            </w:pPr>
            <w:r>
              <w:rPr>
                <w:rFonts w:ascii="Arial" w:cs="Arial" w:eastAsia="Arial" w:hAnsi="Arial"/>
                <w:sz w:val="14"/>
                <w:szCs w:val="14"/>
                <w:color w:val="auto"/>
              </w:rPr>
              <w:t>to exchanges of Class A Units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4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common stock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4,740,760</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(4,740,760)</w:t>
            </w:r>
          </w:p>
        </w:tc>
        <w:tc>
          <w:tcPr>
            <w:tcW w:w="5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Unit exchange</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453,460</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tcPr>
          <w:p>
            <w:pPr>
              <w:ind w:left="140"/>
              <w:spacing w:after="0"/>
              <w:rPr>
                <w:sz w:val="20"/>
                <w:szCs w:val="20"/>
                <w:color w:val="auto"/>
              </w:rPr>
            </w:pPr>
            <w:r>
              <w:rPr>
                <w:rFonts w:ascii="Arial" w:cs="Arial" w:eastAsia="Arial" w:hAnsi="Arial"/>
                <w:sz w:val="14"/>
                <w:szCs w:val="14"/>
                <w:color w:val="auto"/>
              </w:rPr>
              <w:t>Class P Unit exchange</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11,692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11,692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8,156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19,848</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As of June 30, 2022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88,836,328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56,466,013</w:t>
            </w: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59,135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59,168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118,317</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59,607</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177,924</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0" w:type="dxa"/>
            <w:vAlign w:val="bottom"/>
          </w:tcPr>
          <w:p>
            <w:pPr>
              <w:spacing w:after="0"/>
              <w:rPr>
                <w:sz w:val="1"/>
                <w:szCs w:val="1"/>
                <w:color w:val="auto"/>
              </w:rPr>
            </w:pPr>
          </w:p>
        </w:tc>
      </w:tr>
      <w:tr>
        <w:trPr>
          <w:trHeight w:val="182"/>
        </w:trPr>
        <w:tc>
          <w:tcPr>
            <w:tcW w:w="2040" w:type="dxa"/>
            <w:vAlign w:val="bottom"/>
          </w:tcPr>
          <w:p>
            <w:pPr>
              <w:ind w:left="140"/>
              <w:spacing w:after="0"/>
              <w:rPr>
                <w:sz w:val="20"/>
                <w:szCs w:val="20"/>
                <w:color w:val="auto"/>
              </w:rPr>
            </w:pPr>
            <w:r>
              <w:rPr>
                <w:rFonts w:ascii="Arial" w:cs="Arial" w:eastAsia="Arial" w:hAnsi="Arial"/>
                <w:sz w:val="14"/>
                <w:szCs w:val="14"/>
                <w:color w:val="auto"/>
              </w:rPr>
              <w:t>Distributions</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4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common stock -</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6"/>
              </w:rPr>
              <w:t>vesting of restricted stock units,</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915,544</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7"/>
              </w:rPr>
              <w:t>net of shares withheld for taxes</w:t>
            </w: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140"/>
              <w:spacing w:after="0" w:line="143" w:lineRule="exact"/>
              <w:rPr>
                <w:sz w:val="20"/>
                <w:szCs w:val="20"/>
                <w:color w:val="auto"/>
              </w:rPr>
            </w:pPr>
            <w:r>
              <w:rPr>
                <w:rFonts w:ascii="Arial" w:cs="Arial" w:eastAsia="Arial" w:hAnsi="Arial"/>
                <w:sz w:val="14"/>
                <w:szCs w:val="14"/>
                <w:color w:val="auto"/>
              </w:rPr>
              <w:t>Impact of Tax Receivable</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40" w:type="dxa"/>
            <w:vAlign w:val="bottom"/>
          </w:tcPr>
          <w:p>
            <w:pPr>
              <w:ind w:left="140"/>
              <w:spacing w:after="0" w:line="141" w:lineRule="exact"/>
              <w:rPr>
                <w:sz w:val="20"/>
                <w:szCs w:val="20"/>
                <w:color w:val="auto"/>
              </w:rPr>
            </w:pPr>
            <w:r>
              <w:rPr>
                <w:rFonts w:ascii="Arial" w:cs="Arial" w:eastAsia="Arial" w:hAnsi="Arial"/>
                <w:sz w:val="14"/>
                <w:szCs w:val="14"/>
                <w:color w:val="auto"/>
              </w:rPr>
              <w:t>Agreement due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82"/>
        </w:trPr>
        <w:tc>
          <w:tcPr>
            <w:tcW w:w="2040" w:type="dxa"/>
            <w:vAlign w:val="bottom"/>
          </w:tcPr>
          <w:p>
            <w:pPr>
              <w:ind w:left="140"/>
              <w:spacing w:after="0"/>
              <w:rPr>
                <w:sz w:val="20"/>
                <w:szCs w:val="20"/>
                <w:color w:val="auto"/>
              </w:rPr>
            </w:pPr>
            <w:r>
              <w:rPr>
                <w:rFonts w:ascii="Arial" w:cs="Arial" w:eastAsia="Arial" w:hAnsi="Arial"/>
                <w:sz w:val="14"/>
                <w:szCs w:val="14"/>
                <w:color w:val="auto"/>
              </w:rPr>
              <w:t>to exchanges of Class A Units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4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Issuance of common stock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399,389</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(399,389)</w:t>
            </w:r>
          </w:p>
        </w:tc>
        <w:tc>
          <w:tcPr>
            <w:tcW w:w="5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A Unit exchange</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220,944</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40" w:type="dxa"/>
            <w:vAlign w:val="bottom"/>
          </w:tcPr>
          <w:p>
            <w:pPr>
              <w:ind w:left="140"/>
              <w:spacing w:after="0"/>
              <w:rPr>
                <w:sz w:val="20"/>
                <w:szCs w:val="20"/>
                <w:color w:val="auto"/>
              </w:rPr>
            </w:pPr>
            <w:r>
              <w:rPr>
                <w:rFonts w:ascii="Arial" w:cs="Arial" w:eastAsia="Arial" w:hAnsi="Arial"/>
                <w:sz w:val="14"/>
                <w:szCs w:val="14"/>
                <w:color w:val="auto"/>
              </w:rPr>
              <w:t>Class P Unit exchange</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(10,464)</w:t>
            </w:r>
          </w:p>
        </w:tc>
        <w:tc>
          <w:tcPr>
            <w:tcW w:w="0" w:type="dxa"/>
            <w:vAlign w:val="bottom"/>
          </w:tcPr>
          <w:p>
            <w:pPr>
              <w:spacing w:after="0"/>
              <w:rPr>
                <w:sz w:val="1"/>
                <w:szCs w:val="1"/>
                <w:color w:val="auto"/>
              </w:rPr>
            </w:pPr>
          </w:p>
        </w:tc>
      </w:tr>
      <w:tr>
        <w:trPr>
          <w:trHeight w:val="196"/>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90,372,205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56,066,624</w:t>
            </w: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61,375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54,004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115,393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53,644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169,037</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20"/>
          </w:cols>
          <w:pgMar w:left="320" w:top="23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7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81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460" w:type="dxa"/>
            <w:vAlign w:val="bottom"/>
          </w:tcPr>
          <w:p>
            <w:pPr>
              <w:jc w:val="center"/>
              <w:ind w:left="2150"/>
              <w:spacing w:after="0"/>
              <w:rPr>
                <w:sz w:val="20"/>
                <w:szCs w:val="20"/>
                <w:color w:val="auto"/>
              </w:rPr>
            </w:pPr>
            <w:r>
              <w:rPr>
                <w:rFonts w:ascii="Arial" w:cs="Arial" w:eastAsia="Arial" w:hAnsi="Arial"/>
                <w:sz w:val="18"/>
                <w:szCs w:val="18"/>
                <w:b w:val="1"/>
                <w:bCs w:val="1"/>
                <w:color w:val="auto"/>
              </w:rPr>
              <w:t>WM TECHNOLOGY, INC. AND SUBSIDIARIES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52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6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(Unaudited)</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60" w:type="dxa"/>
            <w:vAlign w:val="bottom"/>
          </w:tcPr>
          <w:p>
            <w:pPr>
              <w:jc w:val="center"/>
              <w:ind w:left="2130"/>
              <w:spacing w:after="0"/>
              <w:rPr>
                <w:sz w:val="20"/>
                <w:szCs w:val="20"/>
                <w:color w:val="auto"/>
              </w:rPr>
            </w:pPr>
            <w:r>
              <w:rPr>
                <w:rFonts w:ascii="Arial" w:cs="Arial" w:eastAsia="Arial" w:hAnsi="Arial"/>
                <w:sz w:val="18"/>
                <w:szCs w:val="18"/>
                <w:b w:val="1"/>
                <w:bCs w:val="1"/>
                <w:color w:val="auto"/>
                <w:w w:val="90"/>
              </w:rPr>
              <w:t>(In thousands)</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4"/>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48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09"/>
        </w:trPr>
        <w:tc>
          <w:tcPr>
            <w:tcW w:w="4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(21,849)</w:t>
            </w:r>
          </w:p>
        </w:tc>
      </w:tr>
      <w:tr>
        <w:trPr>
          <w:trHeight w:val="230"/>
        </w:trPr>
        <w:tc>
          <w:tcPr>
            <w:tcW w:w="40" w:type="dxa"/>
            <w:vAlign w:val="bottom"/>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8,916</w:t>
            </w:r>
          </w:p>
        </w:tc>
      </w:tr>
      <w:tr>
        <w:trPr>
          <w:trHeight w:val="230"/>
        </w:trPr>
        <w:tc>
          <w:tcPr>
            <w:tcW w:w="40" w:type="dxa"/>
            <w:vAlign w:val="bottom"/>
          </w:tcPr>
          <w:p>
            <w:pPr>
              <w:spacing w:after="0"/>
              <w:rPr>
                <w:sz w:val="19"/>
                <w:szCs w:val="19"/>
                <w:color w:val="auto"/>
              </w:rPr>
            </w:pPr>
          </w:p>
        </w:tc>
        <w:tc>
          <w:tcPr>
            <w:tcW w:w="7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fair value of warrant liability</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(20,605)</w:t>
            </w:r>
          </w:p>
        </w:tc>
      </w:tr>
      <w:tr>
        <w:trPr>
          <w:trHeight w:val="229"/>
        </w:trPr>
        <w:tc>
          <w:tcPr>
            <w:tcW w:w="40" w:type="dxa"/>
            <w:vAlign w:val="bottom"/>
          </w:tcPr>
          <w:p>
            <w:pPr>
              <w:spacing w:after="0"/>
              <w:rPr>
                <w:sz w:val="19"/>
                <w:szCs w:val="19"/>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Change in tax receivable agreement liability</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7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Impairment of right-of-use asset and investment securities</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30"/>
        </w:trPr>
        <w:tc>
          <w:tcPr>
            <w:tcW w:w="40" w:type="dxa"/>
            <w:vAlign w:val="bottom"/>
          </w:tcPr>
          <w:p>
            <w:pPr>
              <w:spacing w:after="0"/>
              <w:rPr>
                <w:sz w:val="19"/>
                <w:szCs w:val="19"/>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17,250</w:t>
            </w:r>
          </w:p>
        </w:tc>
      </w:tr>
      <w:tr>
        <w:trPr>
          <w:trHeight w:val="229"/>
        </w:trPr>
        <w:tc>
          <w:tcPr>
            <w:tcW w:w="40" w:type="dxa"/>
            <w:vAlign w:val="bottom"/>
          </w:tcPr>
          <w:p>
            <w:pPr>
              <w:spacing w:after="0"/>
              <w:rPr>
                <w:sz w:val="19"/>
                <w:szCs w:val="19"/>
                <w:color w:val="auto"/>
              </w:rPr>
            </w:pPr>
          </w:p>
        </w:tc>
        <w:tc>
          <w:tcPr>
            <w:tcW w:w="7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tax asset</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r>
      <w:tr>
        <w:trPr>
          <w:trHeight w:val="230"/>
        </w:trPr>
        <w:tc>
          <w:tcPr>
            <w:tcW w:w="40" w:type="dxa"/>
            <w:vAlign w:val="bottom"/>
          </w:tcPr>
          <w:p>
            <w:pPr>
              <w:spacing w:after="0"/>
              <w:rPr>
                <w:sz w:val="19"/>
                <w:szCs w:val="19"/>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Discharge of holdback obligation related to prior acquisition</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7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Provision for doubtful accounts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w:t>
            </w:r>
          </w:p>
        </w:tc>
      </w:tr>
      <w:tr>
        <w:trPr>
          <w:trHeight w:val="229"/>
        </w:trPr>
        <w:tc>
          <w:tcPr>
            <w:tcW w:w="4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r>
      <w:tr>
        <w:trPr>
          <w:trHeight w:val="229"/>
        </w:trPr>
        <w:tc>
          <w:tcPr>
            <w:tcW w:w="40" w:type="dxa"/>
            <w:vAlign w:val="bottom"/>
          </w:tcPr>
          <w:p>
            <w:pPr>
              <w:spacing w:after="0"/>
              <w:rPr>
                <w:sz w:val="19"/>
                <w:szCs w:val="19"/>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5,222</w:t>
            </w:r>
          </w:p>
        </w:tc>
      </w:tr>
      <w:tr>
        <w:trPr>
          <w:trHeight w:val="229"/>
        </w:trPr>
        <w:tc>
          <w:tcPr>
            <w:tcW w:w="40" w:type="dxa"/>
            <w:vAlign w:val="bottom"/>
          </w:tcPr>
          <w:p>
            <w:pPr>
              <w:spacing w:after="0"/>
              <w:rPr>
                <w:sz w:val="19"/>
                <w:szCs w:val="19"/>
                <w:color w:val="auto"/>
              </w:rPr>
            </w:pPr>
          </w:p>
        </w:tc>
        <w:tc>
          <w:tcPr>
            <w:tcW w:w="7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40" w:type="dxa"/>
            <w:vAlign w:val="bottom"/>
          </w:tcPr>
          <w:p>
            <w:pPr>
              <w:spacing w:after="0"/>
              <w:rPr>
                <w:sz w:val="19"/>
                <w:szCs w:val="19"/>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(16,441)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5,008</w:t>
            </w:r>
          </w:p>
        </w:tc>
      </w:tr>
      <w:tr>
        <w:trPr>
          <w:trHeight w:val="229"/>
        </w:trPr>
        <w:tc>
          <w:tcPr>
            <w:tcW w:w="40" w:type="dxa"/>
            <w:vAlign w:val="bottom"/>
          </w:tcPr>
          <w:p>
            <w:pPr>
              <w:spacing w:after="0"/>
              <w:rPr>
                <w:sz w:val="19"/>
                <w:szCs w:val="19"/>
                <w:color w:val="auto"/>
              </w:rPr>
            </w:pPr>
          </w:p>
        </w:tc>
        <w:tc>
          <w:tcPr>
            <w:tcW w:w="7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23"/>
        </w:trPr>
        <w:tc>
          <w:tcPr>
            <w:tcW w:w="40" w:type="dxa"/>
            <w:vAlign w:val="bottom"/>
          </w:tcPr>
          <w:p>
            <w:pPr>
              <w:spacing w:after="0"/>
              <w:rPr>
                <w:sz w:val="19"/>
                <w:szCs w:val="19"/>
                <w:color w:val="auto"/>
              </w:rPr>
            </w:pPr>
          </w:p>
        </w:tc>
        <w:tc>
          <w:tcPr>
            <w:tcW w:w="7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(10,466)</w:t>
            </w:r>
          </w:p>
        </w:tc>
      </w:tr>
      <w:tr>
        <w:trPr>
          <w:trHeight w:val="250"/>
        </w:trPr>
        <w:tc>
          <w:tcPr>
            <w:tcW w:w="4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w:t>
            </w:r>
          </w:p>
        </w:tc>
      </w:tr>
      <w:tr>
        <w:trPr>
          <w:trHeight w:val="230"/>
        </w:trPr>
        <w:tc>
          <w:tcPr>
            <w:tcW w:w="40" w:type="dxa"/>
            <w:vAlign w:val="bottom"/>
          </w:tcPr>
          <w:p>
            <w:pPr>
              <w:spacing w:after="0"/>
              <w:rPr>
                <w:sz w:val="19"/>
                <w:szCs w:val="19"/>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Cash paid for acquisitions, net of cash acquired</w:t>
            </w:r>
          </w:p>
        </w:tc>
        <w:tc>
          <w:tcPr>
            <w:tcW w:w="10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40" w:type="dxa"/>
            <w:vAlign w:val="bottom"/>
          </w:tcPr>
          <w:p>
            <w:pPr>
              <w:spacing w:after="0"/>
              <w:rPr>
                <w:sz w:val="19"/>
                <w:szCs w:val="19"/>
                <w:color w:val="auto"/>
              </w:rPr>
            </w:pPr>
          </w:p>
        </w:tc>
        <w:tc>
          <w:tcPr>
            <w:tcW w:w="7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paid for acquisition holdback</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40" w:type="dxa"/>
            <w:vAlign w:val="bottom"/>
          </w:tcPr>
          <w:p>
            <w:pPr>
              <w:spacing w:after="0"/>
              <w:rPr>
                <w:sz w:val="19"/>
                <w:szCs w:val="19"/>
                <w:color w:val="auto"/>
              </w:rPr>
            </w:pPr>
          </w:p>
        </w:tc>
        <w:tc>
          <w:tcPr>
            <w:tcW w:w="7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(14,848)</w:t>
            </w:r>
          </w:p>
        </w:tc>
      </w:tr>
      <w:tr>
        <w:trPr>
          <w:trHeight w:val="250"/>
        </w:trPr>
        <w:tc>
          <w:tcPr>
            <w:tcW w:w="4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Repayments of insurance premium financing</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r>
      <w:tr>
        <w:trPr>
          <w:trHeight w:val="230"/>
        </w:trPr>
        <w:tc>
          <w:tcPr>
            <w:tcW w:w="40" w:type="dxa"/>
            <w:vAlign w:val="bottom"/>
          </w:tcPr>
          <w:p>
            <w:pPr>
              <w:spacing w:after="0"/>
              <w:rPr>
                <w:sz w:val="19"/>
                <w:szCs w:val="19"/>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Distributions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(2,448)</w:t>
            </w:r>
          </w:p>
        </w:tc>
      </w:tr>
      <w:tr>
        <w:trPr>
          <w:trHeight w:val="230"/>
        </w:trPr>
        <w:tc>
          <w:tcPr>
            <w:tcW w:w="40" w:type="dxa"/>
            <w:vAlign w:val="bottom"/>
          </w:tcPr>
          <w:p>
            <w:pPr>
              <w:spacing w:after="0"/>
              <w:rPr>
                <w:sz w:val="19"/>
                <w:szCs w:val="19"/>
                <w:color w:val="auto"/>
              </w:rPr>
            </w:pPr>
          </w:p>
        </w:tc>
        <w:tc>
          <w:tcPr>
            <w:tcW w:w="7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repayment of related party note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7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40" w:type="dxa"/>
            <w:vAlign w:val="bottom"/>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(8,293)</w:t>
            </w:r>
          </w:p>
        </w:tc>
      </w:tr>
      <w:tr>
        <w:trPr>
          <w:trHeight w:val="250"/>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(33,607)</w:t>
            </w:r>
          </w:p>
        </w:tc>
      </w:tr>
      <w:tr>
        <w:trPr>
          <w:trHeight w:val="230"/>
        </w:trPr>
        <w:tc>
          <w:tcPr>
            <w:tcW w:w="40" w:type="dxa"/>
            <w:vAlign w:val="bottom"/>
          </w:tcPr>
          <w:p>
            <w:pPr>
              <w:spacing w:after="0"/>
              <w:rPr>
                <w:sz w:val="19"/>
                <w:szCs w:val="19"/>
                <w:color w:val="auto"/>
              </w:rPr>
            </w:pPr>
          </w:p>
        </w:tc>
        <w:tc>
          <w:tcPr>
            <w:tcW w:w="7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 beginning of period</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67,777</w:t>
            </w:r>
          </w:p>
        </w:tc>
      </w:tr>
      <w:tr>
        <w:trPr>
          <w:trHeight w:val="248"/>
        </w:trPr>
        <w:tc>
          <w:tcPr>
            <w:tcW w:w="40" w:type="dxa"/>
            <w:vAlign w:val="bottom"/>
          </w:tcPr>
          <w:p>
            <w:pPr>
              <w:spacing w:after="0"/>
              <w:rPr>
                <w:sz w:val="21"/>
                <w:szCs w:val="21"/>
                <w:color w:val="auto"/>
              </w:rPr>
            </w:pPr>
          </w:p>
        </w:tc>
        <w:tc>
          <w:tcPr>
            <w:tcW w:w="7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 end of period</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34,170</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-5245735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21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12"/>
        </w:trPr>
        <w:tc>
          <w:tcPr>
            <w:tcW w:w="6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320" w:type="dxa"/>
            <w:vAlign w:val="bottom"/>
          </w:tcPr>
          <w:p>
            <w:pPr>
              <w:jc w:val="center"/>
              <w:ind w:left="2290"/>
              <w:spacing w:after="0"/>
              <w:rPr>
                <w:sz w:val="20"/>
                <w:szCs w:val="20"/>
                <w:color w:val="auto"/>
              </w:rPr>
            </w:pPr>
            <w:r>
              <w:rPr>
                <w:rFonts w:ascii="Arial" w:cs="Arial" w:eastAsia="Arial" w:hAnsi="Arial"/>
                <w:sz w:val="18"/>
                <w:szCs w:val="18"/>
                <w:b w:val="1"/>
                <w:bCs w:val="1"/>
                <w:color w:val="auto"/>
              </w:rPr>
              <w:t>WM TECHNOLOGY, INC. AND SUBSIDIARIES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320" w:type="dxa"/>
            <w:vAlign w:val="bottom"/>
          </w:tcPr>
          <w:p>
            <w:pPr>
              <w:jc w:val="center"/>
              <w:ind w:left="227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320" w:type="dxa"/>
            <w:vAlign w:val="bottom"/>
          </w:tcPr>
          <w:p>
            <w:pPr>
              <w:jc w:val="center"/>
              <w:ind w:left="227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320" w:type="dxa"/>
            <w:vAlign w:val="bottom"/>
          </w:tcPr>
          <w:p>
            <w:pPr>
              <w:jc w:val="center"/>
              <w:ind w:left="2270"/>
              <w:spacing w:after="0"/>
              <w:rPr>
                <w:sz w:val="20"/>
                <w:szCs w:val="20"/>
                <w:color w:val="auto"/>
              </w:rPr>
            </w:pPr>
            <w:r>
              <w:rPr>
                <w:rFonts w:ascii="Arial" w:cs="Arial" w:eastAsia="Arial" w:hAnsi="Arial"/>
                <w:sz w:val="18"/>
                <w:szCs w:val="18"/>
                <w:b w:val="1"/>
                <w:bCs w:val="1"/>
                <w:color w:val="auto"/>
                <w:w w:val="91"/>
              </w:rPr>
              <w:t>(Continued)</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60" w:type="dxa"/>
            <w:vAlign w:val="bottom"/>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10"/>
        </w:trPr>
        <w:tc>
          <w:tcPr>
            <w:tcW w:w="60" w:type="dxa"/>
            <w:vAlign w:val="bottom"/>
          </w:tcPr>
          <w:p>
            <w:pPr>
              <w:spacing w:after="0"/>
              <w:rPr>
                <w:sz w:val="18"/>
                <w:szCs w:val="18"/>
                <w:color w:val="auto"/>
              </w:rPr>
            </w:pPr>
          </w:p>
        </w:tc>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 capitalized for software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29"/>
        </w:trPr>
        <w:tc>
          <w:tcPr>
            <w:tcW w:w="60" w:type="dxa"/>
            <w:vAlign w:val="bottom"/>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Insurance premium financing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r>
      <w:tr>
        <w:trPr>
          <w:trHeight w:val="230"/>
        </w:trPr>
        <w:tc>
          <w:tcPr>
            <w:tcW w:w="60" w:type="dxa"/>
            <w:vAlign w:val="bottom"/>
          </w:tcPr>
          <w:p>
            <w:pPr>
              <w:spacing w:after="0"/>
              <w:rPr>
                <w:sz w:val="19"/>
                <w:szCs w:val="19"/>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Issuance of equity for acquisitions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28,725</w:t>
            </w:r>
          </w:p>
        </w:tc>
      </w:tr>
      <w:tr>
        <w:trPr>
          <w:trHeight w:val="229"/>
        </w:trPr>
        <w:tc>
          <w:tcPr>
            <w:tcW w:w="60" w:type="dxa"/>
            <w:vAlign w:val="bottom"/>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Holdback liability recognized in connection with prior acquisition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60" w:type="dxa"/>
            <w:vAlign w:val="bottom"/>
          </w:tcPr>
          <w:p>
            <w:pPr>
              <w:spacing w:after="0"/>
              <w:rPr>
                <w:sz w:val="19"/>
                <w:szCs w:val="19"/>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Capitalized assets included in 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60" w:type="dxa"/>
            <w:vAlign w:val="bottom"/>
          </w:tcPr>
          <w:p>
            <w:pPr>
              <w:spacing w:after="0"/>
              <w:rPr>
                <w:sz w:val="19"/>
                <w:szCs w:val="19"/>
                <w:color w:val="auto"/>
              </w:rPr>
            </w:pPr>
          </w:p>
        </w:tc>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liabilities assumed in connection with acquisition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-1019810</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Business and Organization</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8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of its user base is highly valuable to the Company’s clients and results in clients paying for its services.</w:t>
      </w:r>
    </w:p>
    <w:p>
      <w:pPr>
        <w:spacing w:after="0" w:line="7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June 16, 2021, WM Holding Company, LLC (when referred to in its pre-Business Combination capacity, “Legacy WMH” and following the Business Combination, “WMH LLC”) completed its previously announced business combination (the “Business Combination”) with Silver Spike Acquisition Corp (“Silver Spike”). In connection with the closing of the Business Combination (the “Closing”), Silver Spike changed its name to WM Technology,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accounting principles generally accepted in the United States of America (“GAAP”), in all material respects, and have been consistently applied in preparing the accompanying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2022, filed with the SEC on March 16, 2023. The condensed consolidated financial statements of the Company include all adjustments of a normal recurring nature which, in the opinion of management, are necessary for a fair statement of the Company’s financial position as of September 30, 2023, and results of its operations and its cash flows for the interim periods presented. The results of operations for the three and nine months ended September 30, 2023 are not necessarily indicative of the results to be expected for the entire year. There have been no significant changes in the Company’s accounting policies from those described in the Company’s annually audited consolidated financial statements and the related notes to those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nine months ended September 30, 2023 and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Significant estimates made by management include, among others, the allowance for doubtful accounts,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contingent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Twenty-three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geographic concentration of the Company’s clients makes the Company vulnerable to a downturn in local markets. Historically, the Company’s business operations have been located primarily in the State of California. For three months ended September 30, 2023, approximately 52% of the Company’s revenue originated in California compared with 53% for the three months ended September 30, 2022 and for the nine months ended September 30, 2023, approximately 54% of the Company’s revenue originated in California compared with 56% for the nine months ended September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 xml:space="preserve">The Company follows the guidance in Accounting Standards Codification (“ASC”) 820 -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for its financial assets and liabilities that are re-measured and reported at fair value at each reporting period. See Note 5 for additional information on liabilities measured at fair value.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30" w:lineRule="exact"/>
        <w:rPr>
          <w:sz w:val="20"/>
          <w:szCs w:val="20"/>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 receivable is recorded when an unconditional right to invoice and receive payment exists. Accounts receivable primarily include amounts related to receivables from customers. Receivables are shown net of allowance for doubtful accounts which is maintained at a level that management believes to be sufficient to absorb estimated losses in the accounts receivable portfolio.</w:t>
      </w:r>
    </w:p>
    <w:p>
      <w:pPr>
        <w:spacing w:after="0" w:line="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Effective January 1, 2021, the Company adopted the new accounting guidance on measuring credit losses on its trade accounts receivable using the modified retrospective approach. The new credit loss guidance replaces the old model for measuring the allowance for credit losses with a model that is based on the expected losses rather than incurred losses. Under the new accounting guidance, the Company measures credit losses on its trade accounts receivable using the current expected credit loss model under ASC 326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calculates the expected credit losses on a pool basis for trade receivables that have similar risk characteristics. For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76"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Account balances are written off against the allowance when it is determined that it is probable that the receivable will not be recovered. The Company had allowance for doubtful account balances of $9.2 million and $12.2 million as of September 30, 2023 and December 31, 2022, respectively.</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changes in the allowance for doubtful accounts: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23"/>
        </w:trPr>
        <w:tc>
          <w:tcPr>
            <w:tcW w:w="3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beginning of period</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9,222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Addition to allowance</w:t>
            </w:r>
          </w:p>
        </w:tc>
        <w:tc>
          <w:tcPr>
            <w:tcW w:w="1280" w:type="dxa"/>
            <w:vAlign w:val="bottom"/>
          </w:tcPr>
          <w:p>
            <w:pPr>
              <w:spacing w:after="0"/>
              <w:rPr>
                <w:sz w:val="19"/>
                <w:szCs w:val="19"/>
                <w:color w:val="auto"/>
              </w:rPr>
            </w:pPr>
          </w:p>
        </w:tc>
        <w:tc>
          <w:tcPr>
            <w:tcW w:w="680" w:type="dxa"/>
            <w:vAlign w:val="bottom"/>
          </w:tcPr>
          <w:p>
            <w:pPr>
              <w:jc w:val="center"/>
              <w:ind w:left="50"/>
              <w:spacing w:after="0"/>
              <w:rPr>
                <w:sz w:val="20"/>
                <w:szCs w:val="20"/>
                <w:color w:val="auto"/>
              </w:rPr>
            </w:pPr>
            <w:r>
              <w:rPr>
                <w:rFonts w:ascii="Arial" w:cs="Arial" w:eastAsia="Arial" w:hAnsi="Arial"/>
                <w:sz w:val="18"/>
                <w:szCs w:val="18"/>
                <w:color w:val="auto"/>
                <w:w w:val="93"/>
              </w:rPr>
              <w:t>1,257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10,176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14,867</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net of recoveries</w:t>
            </w:r>
          </w:p>
        </w:tc>
        <w:tc>
          <w:tcPr>
            <w:tcW w:w="1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(1,317)</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w:t>
            </w: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Allowance, end of period</w:t>
            </w: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3"/>
              </w:rPr>
              <w:t>9,162</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13,874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13,874</w:t>
            </w:r>
          </w:p>
        </w:tc>
      </w:tr>
      <w:tr>
        <w:trPr>
          <w:trHeight w:val="21"/>
        </w:trPr>
        <w:tc>
          <w:tcPr>
            <w:tcW w:w="3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Equity Securities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are accounted for at cost, less any impairment, plus or minus changes resulting from observable price changes in orderly transactions for an identical or similar investment of the same issuer. As of September 30, 2023 and December 31, 2022, the carrying value of the Company’s investments in equity securities without a readily determinable fair value was $3.5 million, which is recorded within other assets on the Company’s condensed consolidated balance sheets.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and the impairment charge is included in general and administrative expenses in the accompanying condensed consolidated statements of operations. No impairments to investments in equity securities were recorded during the three and nine months ended September 30, 2023 and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The Company recorded an impairment charge of $2.3 million for the three and nine months ended September 30, 2023 related to property and equipment associated with certain product offerings expected to be sunset in December 2023, which is included in depreciation and amortization in the condensed consolidated statements of operations. No impairments to property and equipment were recorded during the three and nine months ended September 30,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 No goodwill impairment charges were recorded for the three and nine months ended September 30, 2023 and 2022.</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an impairment charge of $6.1 million for the three and nine months ended September 30, 2023 related to intangible assets associated with certain product offerings expected to be sunset in December 2023, which is included in depreciation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in the condensed consolidated statements of operations. There were no intangible asset impairment charges recorded for the three and nine months ended September 30,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Total lease costs, net, for the three months ended September 30, 2023 and 2022 were $2.2 million and $2.3 million, respectively. Total lease costs, net, for the nine months ended September 30, 2023 and 2022 were $6.6 million and $7.1 million, respectively.</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Sublease rental income is recognized as a reduction to the related lease expense on a straight-line basis over the sublease term. For both the three months ended September 30, 2023 and 2022, contra rent expense was $0.5 million. For the nine months ended September 30, 2023 and 2022, contra rent expense was $1.6 million and $1.3 million, respectively.</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During the three and nine months ended September 30, 2023 and the three months ended September 30, 2022, the Company recognized no impairment charge related to ROU assets. During the nine months ended September 30, 2022, the Company recognized an impairment charge of $0.6 million related to certain ROU assets reducing the carrying values of the lease assets to their estimated fair values. The fair values were estimated using an income approach based on management’s forecast of future cash flows expected to be derived based on the sublease market rent. The impairment charges are included in general and administrative expenses in the condensed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September 30,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The Company evaluated the Warrants under ASC 815-40 </w:t>
      </w:r>
      <w:r>
        <w:rPr>
          <w:rFonts w:ascii="Arial" w:cs="Arial" w:eastAsia="Arial" w:hAnsi="Arial"/>
          <w:sz w:val="18"/>
          <w:szCs w:val="18"/>
          <w:i w:val="1"/>
          <w:iCs w:val="1"/>
          <w:color w:val="auto"/>
        </w:rPr>
        <w:t>- Derivatives and Hedging - Contracts in Entity’s Own Equity</w:t>
      </w:r>
      <w:r>
        <w:rPr>
          <w:rFonts w:ascii="Arial" w:cs="Arial" w:eastAsia="Arial" w:hAnsi="Arial"/>
          <w:sz w:val="18"/>
          <w:szCs w:val="18"/>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condensed consolidated statements of operations. As of September 30, 2023 and December 31, 2022, the TRA liability was $1.2 million and $0.5 million, respectively. During the three and nine months ended September 30, 2023, the Company recognized a loss of $0.1 million and $0.7 million, respectively, related to the remeasurement of its TRA liability. See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below for information related to the Company’s allowance against its net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recognizes revenue when the fundamental criteria for revenue recognition are met.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For clients that pay in advance for listing and other services, the Company records deferred revenue and recognizes revenue over the applicable subscription term.</w:t>
      </w:r>
    </w:p>
    <w:p>
      <w:pPr>
        <w:spacing w:after="0" w:line="7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Company’s revenues are derived primarily from monthly subscriptions to Weedmaps for Business and other SaaS solutions, featured and deal listings and other WM Ad solutions. The Company’s Weedmaps for Business subscriptions and other SaaS solutions generally have one-month terms that automatically renew unless notice of cancellation is provided in advance. Featured and deal listings and other WM Ad solutions are offered as add-on products to the Weedmaps for Business and other SaaS solution subscriptions. Featured and deal listings provide customers with premium placement ad solutions and discount and promotion pricing tools. Other WM Ad solutions includes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60"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(Exclusive of Depreciation and Amortization)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cost of revenue primarily consists of web hosting, internet service costs, credit card processing costs and inventory costs related to multi-media offerings.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expenses the cost of advertising in the period incurred. Advertising expense totaled $3.5 million and $2.3 million for the three months ended September 30, 2023 and 2022, respectively, and $8.1 million and $12.6 million for the nine months ended September 30, 2023 and 2022, respectively, and are included in sales and marketing expense in the accompanying condensed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September 30, 2023 and 2022, the Company recognized an expense of $0.9 million and $0.7 million, respectively, and for the nine months ended September 30, 2023 and 2022, the Company recognized an expense of $1.9 million and $1.9 million, respectively, related to employer contributions for the Company’s 401(k) plan.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Other income (expense), net consists primarily of gain resulting from the discharge of a holdback obligation related to a prior acquisition, change in fair value of warrant liability and TRA liability remeasurement, political contributions, interest income, interest expense, financing fees and other tax related expenses. The Company recorded a non-cash gain of $3.7 million during the three and nine months ended September 30, 2023 resulting from the discharge of a holdback obligation related to a prior acquisition.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spacing w:after="0" w:line="6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amount or timing of expected future deductions or taxable income may have a material impact on the level of income tax valuation allowances.</w:t>
      </w:r>
    </w:p>
    <w:p>
      <w:pPr>
        <w:spacing w:after="0" w:line="1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Based on the weight of all available evidence, both positive and negative, the Company determined during the three months ended December 31, 2022 that a full valuation allowance was required against its net deferred tax assets.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the time. The Company maintains an existing valuation allowance until enough positive evidence exists to support its reversal. Payment under the TRA liability was not probable resulting from the full valuation allowance and accordingly, substantially all of the TRA liability was reversed. As of September 30, 2023 and December 31, 2022, the TRA liability was $1.2 million and $0.5 million, respectively.</w:t>
      </w:r>
    </w:p>
    <w:p>
      <w:pPr>
        <w:spacing w:after="0" w:line="6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8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8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7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three and nine months ended September 30, 2023, the Company recorded zero income tax provision due to the impact of the full valuation allowance on its net deferred assets. For the three and nine months ended September 30, 2022, the Company recorded an income tax benefit of $2.6 million and $5.7 million, respectively. The income tax benefit for three and nine months ended September 30, 2022 was the result of the tax benefit of the Company's pro rata share of losses and tax credits flowing through from WMH LLC.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nine months ended September 30, 2022, the Company acquired additional interests in WMH, LLC (“LLC Interests”) in connection with the exchange of LLC Interests, and activity relating to the Company’s stock compensation plan. The Company recognized a deferred tax asset in the amount of $28.5 million associated with the basis difference in its investment in WMH, LLC upon acquisition of these LLC Interests, some of which are related to the additional tax basis increases generated from expected future payments under the TRA, some of which are partially offset by the TRA liability amount of $14.3 million, and these amounts were recorded through equity.</w:t>
      </w:r>
    </w:p>
    <w:p>
      <w:pPr>
        <w:spacing w:after="0" w:line="8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identified one business segment which management also considers to be one reporting unit as the Company’s chief operating decision maker allocates resources, assesses performance and manages the businesses as one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for additional information on dilutive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As of September 30, 2023, the Company had cash balances that exceeded the FDIC limit with four financial institutions. Management believes that the risk of loss is not significant and has not experienced any losses in such accounts.</w:t>
      </w:r>
    </w:p>
    <w:p>
      <w:pPr>
        <w:spacing w:after="0" w:line="3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disaggregated net revenues information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64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0"/>
                <w:szCs w:val="20"/>
                <w:color w:val="auto"/>
              </w:rPr>
            </w:pPr>
          </w:p>
        </w:tc>
        <w:tc>
          <w:tcPr>
            <w:tcW w:w="31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Weedmaps for Business and other SaaS solutions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38,093</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Featured and deal listings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116,709</w:t>
            </w:r>
          </w:p>
        </w:tc>
      </w:tr>
      <w:tr>
        <w:trPr>
          <w:trHeight w:val="223"/>
        </w:trPr>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Subtotal</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154,802</w:t>
            </w:r>
          </w:p>
        </w:tc>
      </w:tr>
      <w:tr>
        <w:trPr>
          <w:trHeight w:val="256"/>
        </w:trPr>
        <w:tc>
          <w:tcPr>
            <w:tcW w:w="4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WM Ad solutions</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11,444</w:t>
            </w:r>
          </w:p>
        </w:tc>
      </w:tr>
      <w:tr>
        <w:trPr>
          <w:trHeight w:val="223"/>
        </w:trPr>
        <w:tc>
          <w:tcPr>
            <w:tcW w:w="4180" w:type="dxa"/>
            <w:vAlign w:val="bottom"/>
          </w:tcPr>
          <w:p>
            <w:pPr>
              <w:ind w:left="240"/>
              <w:spacing w:after="0"/>
              <w:rPr>
                <w:sz w:val="20"/>
                <w:szCs w:val="20"/>
                <w:color w:val="auto"/>
              </w:rPr>
            </w:pPr>
            <w:r>
              <w:rPr>
                <w:rFonts w:ascii="Arial" w:cs="Arial" w:eastAsia="Arial" w:hAnsi="Arial"/>
                <w:sz w:val="18"/>
                <w:szCs w:val="18"/>
                <w:color w:val="auto"/>
              </w:rPr>
              <w:t>Total net revenues</w:t>
            </w:r>
          </w:p>
        </w:tc>
        <w:tc>
          <w:tcPr>
            <w:tcW w:w="11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166,246</w:t>
            </w:r>
          </w:p>
        </w:tc>
      </w:tr>
      <w:tr>
        <w:trPr>
          <w:trHeight w:val="21"/>
        </w:trPr>
        <w:tc>
          <w:tcPr>
            <w:tcW w:w="4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Deferred revenue primarily consists of billings or payments received in advance of revenue recognition from subscription offerings and is recognized as the revenue recognition criteria are met. Deferred revenue balance as of September 30, 2023 and December 31, 2022 was $6.1 million and $6.3 million, respectively, and the balance is expected to be fully recognized within the next twelve months.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Costs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year ended December 31, 2022, the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ind w:left="500"/>
              <w:spacing w:after="0"/>
              <w:rPr>
                <w:sz w:val="20"/>
                <w:szCs w:val="20"/>
                <w:color w:val="auto"/>
              </w:rPr>
            </w:pPr>
            <w:r>
              <w:rPr>
                <w:rFonts w:ascii="Arial" w:cs="Arial" w:eastAsia="Arial" w:hAnsi="Arial"/>
                <w:sz w:val="18"/>
                <w:szCs w:val="18"/>
                <w:color w:val="auto"/>
              </w:rPr>
              <w:t>The following table provides a roll forward of employee termination costs: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11"/>
        </w:trPr>
        <w:tc>
          <w:tcPr>
            <w:tcW w:w="8760" w:type="dxa"/>
            <w:vAlign w:val="bottom"/>
          </w:tcPr>
          <w:p>
            <w:pPr>
              <w:spacing w:after="0"/>
              <w:rPr>
                <w:sz w:val="24"/>
                <w:szCs w:val="24"/>
                <w:color w:val="auto"/>
              </w:rPr>
            </w:pPr>
          </w:p>
        </w:tc>
        <w:tc>
          <w:tcPr>
            <w:tcW w:w="24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9"/>
        </w:trPr>
        <w:tc>
          <w:tcPr>
            <w:tcW w:w="87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30, 2023</w:t>
            </w:r>
          </w:p>
        </w:tc>
      </w:tr>
      <w:tr>
        <w:trPr>
          <w:trHeight w:val="362"/>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employee termination costs, December 31, 2022</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r>
      <w:tr>
        <w:trPr>
          <w:trHeight w:val="229"/>
        </w:trPr>
        <w:tc>
          <w:tcPr>
            <w:tcW w:w="8760" w:type="dxa"/>
            <w:vAlign w:val="bottom"/>
          </w:tcPr>
          <w:p>
            <w:pPr>
              <w:ind w:left="20"/>
              <w:spacing w:after="0"/>
              <w:rPr>
                <w:sz w:val="20"/>
                <w:szCs w:val="20"/>
                <w:color w:val="auto"/>
              </w:rPr>
            </w:pPr>
            <w:r>
              <w:rPr>
                <w:rFonts w:ascii="Arial" w:cs="Arial" w:eastAsia="Arial" w:hAnsi="Arial"/>
                <w:sz w:val="18"/>
                <w:szCs w:val="18"/>
                <w:color w:val="auto"/>
              </w:rPr>
              <w:t>Employee termination costs - severance and other cash costs</w:t>
            </w:r>
          </w:p>
        </w:tc>
        <w:tc>
          <w:tcPr>
            <w:tcW w:w="5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paid</w:t>
            </w:r>
          </w:p>
        </w:tc>
        <w:tc>
          <w:tcPr>
            <w:tcW w:w="5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r>
      <w:tr>
        <w:trPr>
          <w:trHeight w:val="331"/>
        </w:trPr>
        <w:tc>
          <w:tcPr>
            <w:tcW w:w="8760" w:type="dxa"/>
            <w:vAlign w:val="bottom"/>
          </w:tcPr>
          <w:p>
            <w:pPr>
              <w:ind w:left="20"/>
              <w:spacing w:after="0"/>
              <w:rPr>
                <w:sz w:val="20"/>
                <w:szCs w:val="20"/>
                <w:color w:val="auto"/>
              </w:rPr>
            </w:pPr>
            <w:r>
              <w:rPr>
                <w:rFonts w:ascii="Arial" w:cs="Arial" w:eastAsia="Arial" w:hAnsi="Arial"/>
                <w:sz w:val="18"/>
                <w:szCs w:val="18"/>
                <w:color w:val="auto"/>
              </w:rPr>
              <w:t>Unpaid employee termination costs, September 30, 2023</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8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unpaid employee termination costs are included in accounts payable and accrued expenses on the condensed consolidated balance sheets as of September 30, 2023 and is expected be paid in the fourth quarter of 2023. Employee termination costs are included in general and administrative expenses on the condensed consolidated statements of operations.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September 30, 2023 and December 31, 2022, and indicates the fair value hierarchy of the valuation inputs the Company utilized to determine such fair value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Level</w:t>
            </w: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2022</w:t>
            </w:r>
          </w:p>
        </w:tc>
      </w:tr>
      <w:tr>
        <w:trPr>
          <w:trHeight w:val="210"/>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Warrant liability – Public Warrants</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3"/>
        </w:trPr>
        <w:tc>
          <w:tcPr>
            <w:tcW w:w="5520" w:type="dxa"/>
            <w:vAlign w:val="bottom"/>
          </w:tcPr>
          <w:p>
            <w:pPr>
              <w:ind w:left="140"/>
              <w:spacing w:after="0"/>
              <w:rPr>
                <w:sz w:val="20"/>
                <w:szCs w:val="20"/>
                <w:color w:val="auto"/>
              </w:rPr>
            </w:pPr>
            <w:r>
              <w:rPr>
                <w:rFonts w:ascii="Arial" w:cs="Arial" w:eastAsia="Arial" w:hAnsi="Arial"/>
                <w:sz w:val="18"/>
                <w:szCs w:val="18"/>
                <w:color w:val="auto"/>
              </w:rPr>
              <w:t>Total warrant liability</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-624840</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-624840</wp:posOffset>
            </wp:positionV>
            <wp:extent cx="60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-624840</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in the fair value of the warrant liabilities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gridSpan w:val="7"/>
          </w:tcPr>
          <w:p>
            <w:pPr>
              <w:jc w:val="center"/>
              <w:ind w:right="27"/>
              <w:spacing w:after="0"/>
              <w:rPr>
                <w:sz w:val="20"/>
                <w:szCs w:val="20"/>
                <w:color w:val="auto"/>
              </w:rPr>
            </w:pPr>
            <w:r>
              <w:rPr>
                <w:rFonts w:ascii="Arial" w:cs="Arial" w:eastAsia="Arial" w:hAnsi="Arial"/>
                <w:sz w:val="18"/>
                <w:szCs w:val="18"/>
                <w:b w:val="1"/>
                <w:bCs w:val="1"/>
                <w:color w:val="auto"/>
                <w:w w:val="92"/>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91"/>
              </w:rPr>
              <w:t>Nine Months Ended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September 30, 2023</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September 30, 2023</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Public</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center"/>
              <w:ind w:right="320"/>
              <w:spacing w:after="0" w:line="177" w:lineRule="exact"/>
              <w:rPr>
                <w:sz w:val="20"/>
                <w:szCs w:val="20"/>
                <w:color w:val="auto"/>
              </w:rPr>
            </w:pPr>
            <w:r>
              <w:rPr>
                <w:rFonts w:ascii="Arial" w:cs="Arial" w:eastAsia="Arial" w:hAnsi="Arial"/>
                <w:sz w:val="18"/>
                <w:szCs w:val="18"/>
                <w:b w:val="1"/>
                <w:bCs w:val="1"/>
                <w:color w:val="auto"/>
                <w:w w:val="93"/>
              </w:rPr>
              <w:t>Private</w:t>
            </w:r>
          </w:p>
        </w:tc>
        <w:tc>
          <w:tcPr>
            <w:tcW w:w="160" w:type="dxa"/>
            <w:vAlign w:val="bottom"/>
          </w:tcPr>
          <w:p>
            <w:pPr>
              <w:spacing w:after="0"/>
              <w:rPr>
                <w:sz w:val="15"/>
                <w:szCs w:val="15"/>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6"/>
              </w:rPr>
              <w:t>Warrant</w:t>
            </w:r>
          </w:p>
        </w:tc>
        <w:tc>
          <w:tcPr>
            <w:tcW w:w="200" w:type="dxa"/>
            <w:vAlign w:val="bottom"/>
          </w:tcPr>
          <w:p>
            <w:pPr>
              <w:spacing w:after="0"/>
              <w:rPr>
                <w:sz w:val="15"/>
                <w:szCs w:val="15"/>
                <w:color w:val="auto"/>
              </w:rPr>
            </w:pPr>
          </w:p>
        </w:tc>
        <w:tc>
          <w:tcPr>
            <w:tcW w:w="10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Public</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Private</w:t>
            </w:r>
          </w:p>
        </w:tc>
        <w:tc>
          <w:tcPr>
            <w:tcW w:w="180" w:type="dxa"/>
            <w:vAlign w:val="bottom"/>
          </w:tcPr>
          <w:p>
            <w:pPr>
              <w:spacing w:after="0"/>
              <w:rPr>
                <w:sz w:val="15"/>
                <w:szCs w:val="15"/>
                <w:color w:val="auto"/>
              </w:rPr>
            </w:pPr>
          </w:p>
        </w:tc>
        <w:tc>
          <w:tcPr>
            <w:tcW w:w="11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Warrant</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center"/>
              <w:ind w:right="320"/>
              <w:spacing w:after="0" w:line="181" w:lineRule="exact"/>
              <w:rPr>
                <w:sz w:val="20"/>
                <w:szCs w:val="20"/>
                <w:color w:val="auto"/>
              </w:rPr>
            </w:pPr>
            <w:r>
              <w:rPr>
                <w:rFonts w:ascii="Arial" w:cs="Arial" w:eastAsia="Arial" w:hAnsi="Arial"/>
                <w:sz w:val="18"/>
                <w:szCs w:val="18"/>
                <w:b w:val="1"/>
                <w:bCs w:val="1"/>
                <w:color w:val="auto"/>
                <w:w w:val="88"/>
              </w:rPr>
              <w:t>Placement</w:t>
            </w: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16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Warrants</w:t>
            </w:r>
          </w:p>
        </w:tc>
        <w:tc>
          <w:tcPr>
            <w:tcW w:w="18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Fair value,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-1148080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-1148080</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7"/>
          </w:tcPr>
          <w:p>
            <w:pPr>
              <w:jc w:val="center"/>
              <w:ind w:left="850"/>
              <w:spacing w:after="0"/>
              <w:rPr>
                <w:sz w:val="20"/>
                <w:szCs w:val="20"/>
                <w:color w:val="auto"/>
              </w:rPr>
            </w:pPr>
            <w:r>
              <w:rPr>
                <w:rFonts w:ascii="Arial" w:cs="Arial" w:eastAsia="Arial" w:hAnsi="Arial"/>
                <w:sz w:val="18"/>
                <w:szCs w:val="18"/>
                <w:b w:val="1"/>
                <w:bCs w:val="1"/>
                <w:color w:val="auto"/>
                <w:w w:val="92"/>
              </w:rPr>
              <w:t>Three Months Ended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2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91"/>
              </w:rPr>
              <w:t>Nine Months Ended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September 30, 2022</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September 30, 2022</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2"/>
              </w:rPr>
              <w:t>Public</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center"/>
              <w:ind w:right="320"/>
              <w:spacing w:after="0" w:line="173" w:lineRule="exact"/>
              <w:rPr>
                <w:sz w:val="20"/>
                <w:szCs w:val="20"/>
                <w:color w:val="auto"/>
              </w:rPr>
            </w:pPr>
            <w:r>
              <w:rPr>
                <w:rFonts w:ascii="Arial" w:cs="Arial" w:eastAsia="Arial" w:hAnsi="Arial"/>
                <w:sz w:val="18"/>
                <w:szCs w:val="18"/>
                <w:b w:val="1"/>
                <w:bCs w:val="1"/>
                <w:color w:val="auto"/>
                <w:w w:val="93"/>
              </w:rPr>
              <w:t>Private</w:t>
            </w:r>
          </w:p>
        </w:tc>
        <w:tc>
          <w:tcPr>
            <w:tcW w:w="160" w:type="dxa"/>
            <w:vAlign w:val="bottom"/>
          </w:tcPr>
          <w:p>
            <w:pPr>
              <w:spacing w:after="0"/>
              <w:rPr>
                <w:sz w:val="15"/>
                <w:szCs w:val="15"/>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6"/>
              </w:rPr>
              <w:t>Warrant</w:t>
            </w:r>
          </w:p>
        </w:tc>
        <w:tc>
          <w:tcPr>
            <w:tcW w:w="200" w:type="dxa"/>
            <w:vAlign w:val="bottom"/>
          </w:tcPr>
          <w:p>
            <w:pPr>
              <w:spacing w:after="0"/>
              <w:rPr>
                <w:sz w:val="15"/>
                <w:szCs w:val="15"/>
                <w:color w:val="auto"/>
              </w:rPr>
            </w:pPr>
          </w:p>
        </w:tc>
        <w:tc>
          <w:tcPr>
            <w:tcW w:w="10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Public</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3"/>
              </w:rPr>
              <w:t>Private</w:t>
            </w:r>
          </w:p>
        </w:tc>
        <w:tc>
          <w:tcPr>
            <w:tcW w:w="180" w:type="dxa"/>
            <w:vAlign w:val="bottom"/>
          </w:tcPr>
          <w:p>
            <w:pPr>
              <w:spacing w:after="0"/>
              <w:rPr>
                <w:sz w:val="15"/>
                <w:szCs w:val="15"/>
                <w:color w:val="auto"/>
              </w:rPr>
            </w:pPr>
          </w:p>
        </w:tc>
        <w:tc>
          <w:tcPr>
            <w:tcW w:w="11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Warrant</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center"/>
              <w:ind w:right="320"/>
              <w:spacing w:after="0" w:line="176" w:lineRule="exact"/>
              <w:rPr>
                <w:sz w:val="20"/>
                <w:szCs w:val="20"/>
                <w:color w:val="auto"/>
              </w:rPr>
            </w:pPr>
            <w:r>
              <w:rPr>
                <w:rFonts w:ascii="Arial" w:cs="Arial" w:eastAsia="Arial" w:hAnsi="Arial"/>
                <w:sz w:val="18"/>
                <w:szCs w:val="18"/>
                <w:b w:val="1"/>
                <w:bCs w:val="1"/>
                <w:color w:val="auto"/>
                <w:w w:val="88"/>
              </w:rPr>
              <w:t>Placement</w:t>
            </w: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160" w:type="dxa"/>
            <w:vAlign w:val="bottom"/>
          </w:tcPr>
          <w:p>
            <w:pPr>
              <w:spacing w:after="0"/>
              <w:rPr>
                <w:sz w:val="21"/>
                <w:szCs w:val="21"/>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Warrants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Warrants</w:t>
            </w:r>
          </w:p>
        </w:tc>
        <w:tc>
          <w:tcPr>
            <w:tcW w:w="18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88"/>
              </w:rPr>
              <w:t>8,125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5,320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27,460</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94"/>
              </w:rPr>
              <w:t>(4,000)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1"/>
              </w:rPr>
              <w:t>(2,590)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(20,605)</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88"/>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2,730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-488315</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-488315</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-488315</wp:posOffset>
            </wp:positionV>
            <wp:extent cx="59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-488315</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$1.8 million and $1.3 million as of September 30, 2023 and December 31, 2022,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2023</w:t>
            </w:r>
          </w:p>
        </w:tc>
        <w:tc>
          <w:tcPr>
            <w:tcW w:w="300" w:type="dxa"/>
            <w:vAlign w:val="bottom"/>
          </w:tcPr>
          <w:p>
            <w:pPr>
              <w:spacing w:after="0"/>
              <w:rPr>
                <w:sz w:val="20"/>
                <w:szCs w:val="20"/>
                <w:color w:val="auto"/>
              </w:rPr>
            </w:pPr>
          </w:p>
        </w:tc>
        <w:tc>
          <w:tcPr>
            <w:tcW w:w="212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December 31, 2022</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11.50</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Stock price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ind w:right="1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30"/>
              <w:spacing w:after="0"/>
              <w:rPr>
                <w:sz w:val="20"/>
                <w:szCs w:val="20"/>
                <w:color w:val="auto"/>
              </w:rPr>
            </w:pPr>
            <w:r>
              <w:rPr>
                <w:rFonts w:ascii="Arial" w:cs="Arial" w:eastAsia="Arial" w:hAnsi="Arial"/>
                <w:sz w:val="18"/>
                <w:szCs w:val="18"/>
                <w:color w:val="auto"/>
              </w:rPr>
              <w:t>1.01</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Term (years)</w:t>
            </w: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4.17 %</w:t>
            </w: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changes in the volatility would result in a significant lower or higher fair value measurement, respectively.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the Private Placement Warrants was $1.1 million and $0.8 million as of September 30, 2023 and December 31, 2022, respectively.</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 the following as of September 30, 2023 and December 31, 2022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ind w:left="420"/>
              <w:spacing w:after="0"/>
              <w:rPr>
                <w:sz w:val="20"/>
                <w:szCs w:val="20"/>
                <w:color w:val="auto"/>
              </w:rPr>
            </w:pPr>
            <w:r>
              <w:rPr>
                <w:rFonts w:ascii="Arial" w:cs="Arial" w:eastAsia="Arial" w:hAnsi="Arial"/>
                <w:sz w:val="18"/>
                <w:szCs w:val="18"/>
                <w:b w:val="1"/>
                <w:bCs w:val="1"/>
                <w:color w:val="auto"/>
              </w:rPr>
              <w:t>September 30, 2023</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140"/>
              <w:spacing w:after="0" w:line="169" w:lineRule="exact"/>
              <w:rPr>
                <w:sz w:val="20"/>
                <w:szCs w:val="20"/>
                <w:color w:val="auto"/>
              </w:rPr>
            </w:pPr>
            <w:r>
              <w:rPr>
                <w:rFonts w:ascii="Arial" w:cs="Arial" w:eastAsia="Arial" w:hAnsi="Arial"/>
                <w:sz w:val="18"/>
                <w:szCs w:val="18"/>
                <w:b w:val="1"/>
                <w:bCs w:val="1"/>
                <w:color w:val="auto"/>
                <w:w w:val="91"/>
              </w:rPr>
              <w:t>Weighted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3"/>
          </w:tcPr>
          <w:p>
            <w:pPr>
              <w:jc w:val="center"/>
              <w:ind w:right="140"/>
              <w:spacing w:after="0" w:line="184" w:lineRule="exact"/>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6"/>
                <w:szCs w:val="16"/>
                <w:color w:val="auto"/>
              </w:rPr>
            </w:pPr>
          </w:p>
        </w:tc>
        <w:tc>
          <w:tcPr>
            <w:tcW w:w="14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w w:val="99"/>
              </w:rPr>
              <w:t>Gross Intangible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2"/>
              </w:rPr>
              <w:t>Net Intangible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140"/>
              <w:spacing w:after="0" w:line="181" w:lineRule="exact"/>
              <w:rPr>
                <w:sz w:val="20"/>
                <w:szCs w:val="20"/>
                <w:color w:val="auto"/>
              </w:rPr>
            </w:pPr>
            <w:r>
              <w:rPr>
                <w:rFonts w:ascii="Arial" w:cs="Arial" w:eastAsia="Arial" w:hAnsi="Arial"/>
                <w:sz w:val="18"/>
                <w:szCs w:val="18"/>
                <w:b w:val="1"/>
                <w:bCs w:val="1"/>
                <w:color w:val="auto"/>
                <w:w w:val="92"/>
              </w:rPr>
              <w:t>Amortization</w:t>
            </w:r>
          </w:p>
        </w:tc>
        <w:tc>
          <w:tcPr>
            <w:tcW w:w="4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Period (Years)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ind w:left="180"/>
              <w:spacing w:after="0"/>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420" w:type="dxa"/>
            <w:vAlign w:val="bottom"/>
            <w:tcBorders>
              <w:top w:val="single" w:sz="8" w:color="auto"/>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14.9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Software technology</w:t>
            </w: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Total intangible assets</w:t>
            </w:r>
          </w:p>
        </w:tc>
        <w:tc>
          <w:tcPr>
            <w:tcW w:w="1420" w:type="dxa"/>
            <w:vAlign w:val="bottom"/>
            <w:gridSpan w:val="2"/>
          </w:tcPr>
          <w:p>
            <w:pPr>
              <w:jc w:val="right"/>
              <w:ind w:right="47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480"/>
              <w:spacing w:after="0"/>
              <w:rPr>
                <w:sz w:val="20"/>
                <w:szCs w:val="20"/>
                <w:color w:val="auto"/>
              </w:rPr>
            </w:pPr>
            <w:r>
              <w:rPr>
                <w:rFonts w:ascii="Arial" w:cs="Arial" w:eastAsia="Arial" w:hAnsi="Arial"/>
                <w:sz w:val="18"/>
                <w:szCs w:val="18"/>
                <w:b w:val="1"/>
                <w:bCs w:val="1"/>
                <w:color w:val="auto"/>
              </w:rPr>
              <w:t>December 31, 2022</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3"/>
          </w:tcPr>
          <w:p>
            <w:pPr>
              <w:jc w:val="center"/>
              <w:ind w:right="60"/>
              <w:spacing w:after="0" w:line="169" w:lineRule="exact"/>
              <w:rPr>
                <w:sz w:val="20"/>
                <w:szCs w:val="20"/>
                <w:color w:val="auto"/>
              </w:rPr>
            </w:pPr>
            <w:r>
              <w:rPr>
                <w:rFonts w:ascii="Arial" w:cs="Arial" w:eastAsia="Arial" w:hAnsi="Arial"/>
                <w:sz w:val="18"/>
                <w:szCs w:val="18"/>
                <w:b w:val="1"/>
                <w:bCs w:val="1"/>
                <w:color w:val="auto"/>
                <w:w w:val="91"/>
              </w:rPr>
              <w:t>Weighted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60"/>
              <w:spacing w:after="0" w:line="176" w:lineRule="exact"/>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5"/>
                <w:szCs w:val="15"/>
                <w:color w:val="auto"/>
              </w:rPr>
            </w:pPr>
          </w:p>
        </w:tc>
        <w:tc>
          <w:tcPr>
            <w:tcW w:w="1480" w:type="dxa"/>
            <w:vAlign w:val="bottom"/>
            <w:gridSpan w:val="4"/>
            <w:vMerge w:val="restart"/>
          </w:tcPr>
          <w:p>
            <w:pPr>
              <w:jc w:val="center"/>
              <w:ind w:right="40"/>
              <w:spacing w:after="0"/>
              <w:rPr>
                <w:sz w:val="20"/>
                <w:szCs w:val="20"/>
                <w:color w:val="auto"/>
              </w:rPr>
            </w:pPr>
            <w:r>
              <w:rPr>
                <w:rFonts w:ascii="Arial" w:cs="Arial" w:eastAsia="Arial" w:hAnsi="Arial"/>
                <w:sz w:val="18"/>
                <w:szCs w:val="18"/>
                <w:b w:val="1"/>
                <w:bCs w:val="1"/>
                <w:color w:val="auto"/>
                <w:w w:val="90"/>
              </w:rPr>
              <w:t>Gross Intangible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5"/>
              </w:rPr>
              <w:t>Net Intangible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60"/>
              <w:spacing w:after="0" w:line="176" w:lineRule="exact"/>
              <w:rPr>
                <w:sz w:val="20"/>
                <w:szCs w:val="20"/>
                <w:color w:val="auto"/>
              </w:rPr>
            </w:pPr>
            <w:r>
              <w:rPr>
                <w:rFonts w:ascii="Arial" w:cs="Arial" w:eastAsia="Arial" w:hAnsi="Arial"/>
                <w:sz w:val="18"/>
                <w:szCs w:val="18"/>
                <w:b w:val="1"/>
                <w:bCs w:val="1"/>
                <w:color w:val="auto"/>
                <w:w w:val="92"/>
              </w:rPr>
              <w:t>Amortization</w:t>
            </w:r>
          </w:p>
        </w:tc>
        <w:tc>
          <w:tcPr>
            <w:tcW w:w="4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Period (Years)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14.4</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Software technology</w:t>
            </w:r>
          </w:p>
        </w:tc>
        <w:tc>
          <w:tcPr>
            <w:tcW w:w="1420" w:type="dxa"/>
            <w:vAlign w:val="bottom"/>
            <w:gridSpan w:val="2"/>
          </w:tcPr>
          <w:p>
            <w:pPr>
              <w:jc w:val="right"/>
              <w:ind w:right="47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(4,413)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Order backlog</w:t>
            </w:r>
          </w:p>
        </w:tc>
        <w:tc>
          <w:tcPr>
            <w:tcW w:w="1420" w:type="dxa"/>
            <w:vAlign w:val="bottom"/>
            <w:tcBorders>
              <w:bottom w:val="single" w:sz="8" w:color="CCEEFF"/>
            </w:tcBorders>
            <w:gridSpan w:val="2"/>
          </w:tcPr>
          <w:p>
            <w:pPr>
              <w:jc w:val="right"/>
              <w:ind w:right="470"/>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intangible assets</w:t>
            </w:r>
          </w:p>
        </w:tc>
        <w:tc>
          <w:tcPr>
            <w:tcW w:w="14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10.8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20,572</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(10,233)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10,339</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Amortization expense for intangible assets was $6.6 million and $0.7 million during the three months ended September 30, 2023 and 2022, respectively. Amortization expense for intangible assets was $7.7 million and $2.0 million during the nine months ended September 30, 2023 and 2022, respectively.</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recorded a non-cash intangible impairment charge of $6.1 million for the three and nine months ended September 30, 2023 related to certain product offerings expected to be sunset in December 2023, which is included in depreciation and amortization in the condensed consolidated statements of operations.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future amortization expense of intangible assets as of September 30, 2023 is as follows (in thousands):</w:t>
      </w:r>
    </w:p>
    <w:p>
      <w:pPr>
        <w:sectPr>
          <w:pgSz w:w="11900" w:h="16838" w:orient="portrait"/>
          <w:cols w:equalWidth="0" w:num="1">
            <w:col w:w="11240"/>
          </w:cols>
          <w:pgMar w:left="320" w:top="125" w:right="339" w:bottom="1440" w:gutter="0" w:footer="0" w:header="0"/>
        </w:sectPr>
      </w:pP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Remaining period in 2023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 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 2027</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1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1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2960"/>
          </w:cols>
          <w:pgMar w:left="320" w:top="125"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Prepaid expenses and other current assets as of September 30, 2023 and December 31, 2022 consisted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Prepaid marketing</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2,321</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software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prepaid expenses and other current assets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r>
      <w:tr>
        <w:trPr>
          <w:trHeight w:val="248"/>
        </w:trPr>
        <w:tc>
          <w:tcPr>
            <w:tcW w:w="7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-779145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-779145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17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as of September 30, 2023 and December 31, 2022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Accrued employee expenses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24,074</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r>
      <w:tr>
        <w:trPr>
          <w:trHeight w:val="223"/>
        </w:trPr>
        <w:tc>
          <w:tcPr>
            <w:tcW w:w="7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33,635</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-633730</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-633730</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Accrued employee expenses include accrued bonuses of $2.9 million and $9.9 million as of September 30, 2023 and December 31, 2022, respectively, related to certain employment agreements entered into in connection with prior acquisitions. During the nine months ended September 30, 2023, the Company paid $10.3 million of employee expenses related to certain employment agreements entered into in connection with prior acquisitions.</w:t>
      </w:r>
    </w:p>
    <w:p>
      <w:pPr>
        <w:spacing w:after="0" w:line="14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Warrant Liability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2023, there were 12,499,973 Public Warrants outstanding and 7,000,000 Private Placement Warrants outstanding.</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4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8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6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may exercise its redemption right even if it is unable to register or qualify the underlying securities for sale under all applicable state securities laws.</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5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concluded the Public Warrants and Private Placement Warrants, or the Warrants, meet the definition of a derivative under ASC 815-</w:t>
      </w:r>
      <w:r>
        <w:rPr>
          <w:rFonts w:ascii="Arial" w:cs="Arial" w:eastAsia="Arial" w:hAnsi="Arial"/>
          <w:sz w:val="18"/>
          <w:szCs w:val="18"/>
          <w:i w:val="1"/>
          <w:iCs w:val="1"/>
          <w:color w:val="auto"/>
        </w:rPr>
        <w:t xml:space="preserve">Derivatives and Hedging </w:t>
      </w:r>
      <w:r>
        <w:rPr>
          <w:rFonts w:ascii="Arial" w:cs="Arial" w:eastAsia="Arial" w:hAnsi="Arial"/>
          <w:sz w:val="18"/>
          <w:szCs w:val="18"/>
          <w:color w:val="auto"/>
        </w:rPr>
        <w:t>(as described in Note 2) and are recorded as liabilities. Upon the Closing, the fair value of the Warrants was recorded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The fair value of the Warrants are remeasured as of each balance sheet date, which resulted in a non-cash loss of $0.5 million and $0.8 million in the condensed consolidated statements of operations for the three and nine months ended September 30, 2023, respectively, and a non-cash gains of $6.6 million and $20.6 million in the condensed consolidated statements of operations for the three and nine months ended September 30, 2022, respectively.</w:t>
      </w:r>
    </w:p>
    <w:p>
      <w:pPr>
        <w:spacing w:after="0" w:line="18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04"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Preemptive or Other Rights</w:t>
      </w:r>
    </w:p>
    <w:p>
      <w:pPr>
        <w:spacing w:after="0" w:line="10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privileges of holders of shares of Class A Common Stock will be subject to those of the holders of any shares of the preferred stock that the Company may issue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Voting Rights</w:t>
      </w:r>
    </w:p>
    <w:p>
      <w:pPr>
        <w:spacing w:after="0" w:line="10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holders of the Class V Common Stock will not participate in any dividends declared by the Company’s board of directors.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0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the Company’s assets.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Preemptive or Other Rights</w:t>
      </w:r>
    </w:p>
    <w:p>
      <w:pPr>
        <w:spacing w:after="0" w:line="10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0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September 30, 2023, there were no shares of preferred stock issued or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noncontrolling interest represents the Units held by holders other than the Company. As of September 30, 2023, the noncontrolling interests owned 38.5%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67"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 Holding Company, LLC Equity Incentive Plan</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The Company accounted for the issuance of Class A-3 and Class B Units issued under the WM Holding Company, LLC Equity Incentive Plan in accordance with ASC 718 - </w:t>
      </w:r>
      <w:r>
        <w:rPr>
          <w:rFonts w:ascii="Arial" w:cs="Arial" w:eastAsia="Arial" w:hAnsi="Arial"/>
          <w:sz w:val="17"/>
          <w:szCs w:val="17"/>
          <w:i w:val="1"/>
          <w:iCs w:val="1"/>
          <w:color w:val="auto"/>
        </w:rPr>
        <w:t>Stock Based Compensation</w:t>
      </w:r>
      <w:r>
        <w:rPr>
          <w:rFonts w:ascii="Arial" w:cs="Arial" w:eastAsia="Arial" w:hAnsi="Arial"/>
          <w:sz w:val="17"/>
          <w:szCs w:val="17"/>
          <w:color w:val="auto"/>
        </w:rPr>
        <w:t>. The Company considered the limitation on the exercisability of the Class A-3 and Class B Units to be a performance condition and recorded compensation cost when it became probable that the performance condition would be met.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5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ind w:left="500"/>
              <w:spacing w:after="0"/>
              <w:rPr>
                <w:sz w:val="20"/>
                <w:szCs w:val="20"/>
                <w:color w:val="auto"/>
              </w:rPr>
            </w:pPr>
            <w:r>
              <w:rPr>
                <w:rFonts w:ascii="Arial" w:cs="Arial" w:eastAsia="Arial" w:hAnsi="Arial"/>
                <w:sz w:val="18"/>
                <w:szCs w:val="18"/>
                <w:color w:val="auto"/>
              </w:rPr>
              <w:t>A summary of the Class P Unit activity for the nine months ended September 30, 2023 is as follows:</w:t>
            </w:r>
          </w:p>
        </w:tc>
        <w:tc>
          <w:tcPr>
            <w:tcW w:w="2240" w:type="dxa"/>
            <w:vAlign w:val="bottom"/>
          </w:tcPr>
          <w:p>
            <w:pPr>
              <w:spacing w:after="0"/>
              <w:rPr>
                <w:sz w:val="20"/>
                <w:szCs w:val="20"/>
                <w:color w:val="auto"/>
              </w:rPr>
            </w:pPr>
          </w:p>
        </w:tc>
      </w:tr>
      <w:tr>
        <w:trPr>
          <w:trHeight w:val="364"/>
        </w:trPr>
        <w:tc>
          <w:tcPr>
            <w:tcW w:w="90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Number of Units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Class P Units, December 31, 2022</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15,125,429</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Cancellations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(64,302)</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Exchanged for Class A Common Stock</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Outstanding, Class P Units, September 30, 2023</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14,966,127</w:t>
            </w: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September 30,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14,853,794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of September 30, 2023, unrecognized stock-based compensation expense for non-vested Class P Units was $0.3 million, which is expected to be recognized over a weighted-average period of 1.2 years. For the three months ended September 30, 2023 and 2022, the Company recorded stock-based compensation expense for the Class P Units of $0.1 million and $0.6 million, respectively. For the nine months ended September 30, 2023 and 2022, the Company recorded stock-based compensation expense for the Class P Units of $0.5 million and $1.8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 Technology, Inc. Equity Incentive Plan</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September 30, 2023, 33,146,412 shares of Class A Common Stock were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September 30, 2023, 20,510,346 shares of Class A Common Stock were available for future issuance.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restricted stock unit (“RSU”) activity for the nine months ended September 30, 2023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Weighted-average Grant</w:t>
            </w: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Number of RSUs</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6,269,868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2240" w:type="dxa"/>
            <w:vAlign w:val="bottom"/>
          </w:tcPr>
          <w:p>
            <w:pPr>
              <w:jc w:val="right"/>
              <w:spacing w:after="0"/>
              <w:rPr>
                <w:sz w:val="20"/>
                <w:szCs w:val="20"/>
                <w:color w:val="auto"/>
              </w:rPr>
            </w:pPr>
            <w:r>
              <w:rPr>
                <w:rFonts w:ascii="Arial" w:cs="Arial" w:eastAsia="Arial" w:hAnsi="Arial"/>
                <w:sz w:val="18"/>
                <w:szCs w:val="18"/>
                <w:color w:val="auto"/>
              </w:rPr>
              <w:t>5,242,710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0.96</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(1,775,434)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29"/>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(2,563,436)</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4.52</w:t>
            </w: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7,173,708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of September 30, 2023, unrecognized stock-based compensation expense for non-vested RSUs was $24.1 million, which is expected to be recognized over a weighted-average period of 2.1 years. For the three months ended September 30, 2023 and 2022, the Company recorded stock-based compensation expense for the RSUs of $2.7 million and $5.3 million, respectively. For the nine months ended September 30, 2023 and 2022, the Company recorded stock-based compensation expense for the RSUs of $10.1 million and $15.8 million, respectively.</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January 5, 2023, the compensation committee of the Company’s board of directors granted the Company’s Executive Chair, Douglas Francis, an award of 481,927 RSU with an approximate value of $800,000, based on the average closing price of the Company’s Class A common stock for the 90-day period prior to the grant date (the “RSU Grant”), in recognition of his leadership of the Company’s executive team since August 2022. On May 8, 2023, Mr. Francis declined the RSU Grant and the RSUs were forfeited.</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PRSU activity for the nine months ended September 30, 2023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Weighted-average Grant</w:t>
            </w:r>
          </w:p>
        </w:tc>
      </w:tr>
      <w:tr>
        <w:trPr>
          <w:trHeight w:val="243"/>
        </w:trPr>
        <w:tc>
          <w:tcPr>
            <w:tcW w:w="66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Number of PRSUs</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859,375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(625,000)</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6.40</w:t>
            </w:r>
          </w:p>
        </w:tc>
      </w:tr>
      <w:tr>
        <w:trPr>
          <w:trHeight w:val="35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2023</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234,375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Based on the probability of attainment as of September 30, 2023, the unrecognized stock-based compensation expense for non-vested PRSUs was less than $0.1 million, which is expected to be recognized over a period of 0.3 years. For the three months ended September 30, 2023 and 2022, the Company recorded stock-based compensation credits for the PRSUs of $0.5 million and $4.2 million, respectively. For the nine months ended September 30, 2023 and 2022, the Company recorded stock-based compensation credits for the PRSUs of $0.2 million and $0.4 million,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recorded stock-based compensation cost related to the Class P Units, RSUs and PRSUs in the following expense categories on the accompanying condensed consolidated statements of operations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62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0"/>
                <w:szCs w:val="20"/>
                <w:color w:val="auto"/>
              </w:rPr>
            </w:pPr>
          </w:p>
        </w:tc>
        <w:tc>
          <w:tcPr>
            <w:tcW w:w="31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42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3,993</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w:t>
            </w: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17,250</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capitalized to software development</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23"/>
        </w:trPr>
        <w:tc>
          <w:tcPr>
            <w:tcW w:w="4220" w:type="dxa"/>
            <w:vAlign w:val="bottom"/>
          </w:tcPr>
          <w:p>
            <w:pPr>
              <w:ind w:left="240"/>
              <w:spacing w:after="0"/>
              <w:rPr>
                <w:sz w:val="20"/>
                <w:szCs w:val="20"/>
                <w:color w:val="auto"/>
              </w:rPr>
            </w:pPr>
            <w:r>
              <w:rPr>
                <w:rFonts w:ascii="Arial" w:cs="Arial" w:eastAsia="Arial" w:hAnsi="Arial"/>
                <w:sz w:val="18"/>
                <w:szCs w:val="18"/>
                <w:color w:val="auto"/>
              </w:rPr>
              <w:t>Total stock-based compensation cost</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18,516</w:t>
            </w:r>
          </w:p>
        </w:tc>
      </w:tr>
      <w:tr>
        <w:trPr>
          <w:trHeight w:val="21"/>
        </w:trPr>
        <w:tc>
          <w:tcPr>
            <w:tcW w:w="4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-934085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7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computation of income (loss) per share attributable to WM Technology, Inc. and weighted-average shares of the Company’s Class A Common Stock outstanding are as follows for the three and nine months ending September 30, 2023 and 2022 (amounts in thousands, except for share and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92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September 30,</w:t>
            </w:r>
          </w:p>
        </w:tc>
        <w:tc>
          <w:tcPr>
            <w:tcW w:w="28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(10,464)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(21,849)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155"/>
        </w:trPr>
        <w:tc>
          <w:tcPr>
            <w:tcW w:w="5500" w:type="dxa"/>
            <w:vAlign w:val="bottom"/>
          </w:tcPr>
          <w:p>
            <w:pPr>
              <w:ind w:left="140"/>
              <w:spacing w:after="0" w:line="156" w:lineRule="exact"/>
              <w:rPr>
                <w:sz w:val="20"/>
                <w:szCs w:val="20"/>
                <w:color w:val="auto"/>
              </w:rPr>
            </w:pPr>
            <w:r>
              <w:rPr>
                <w:rFonts w:ascii="Arial" w:cs="Arial" w:eastAsia="Arial" w:hAnsi="Arial"/>
                <w:sz w:val="18"/>
                <w:szCs w:val="18"/>
                <w:color w:val="auto"/>
                <w:w w:val="95"/>
              </w:rPr>
              <w:t>Net loss attributable to WM Technology, Inc. Class A Common Stock -</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500" w:type="dxa"/>
            <w:vAlign w:val="bottom"/>
          </w:tcPr>
          <w:p>
            <w:pPr>
              <w:ind w:left="20"/>
              <w:spacing w:after="0" w:line="156" w:lineRule="exact"/>
              <w:rPr>
                <w:sz w:val="20"/>
                <w:szCs w:val="20"/>
                <w:color w:val="auto"/>
              </w:rPr>
            </w:pPr>
            <w:r>
              <w:rPr>
                <w:rFonts w:ascii="Arial" w:cs="Arial" w:eastAsia="Arial" w:hAnsi="Arial"/>
                <w:sz w:val="18"/>
                <w:szCs w:val="18"/>
                <w:color w:val="auto"/>
                <w:w w:val="91"/>
              </w:rPr>
              <w:t>Weighted average of shares of Class A Common Stock outstanding - basic</w:t>
            </w: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93,651,871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89,552,914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92,947,191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82,872,137</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and diluted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Net loss per share of Class A Common Stock - basic and diluted</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excluded the following securities from its computation of diluted shares outstanding for the periods presented, as their effect would have been anti-dilutive: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240" w:type="dxa"/>
            <w:vAlign w:val="bottom"/>
            <w:gridSpan w:val="4"/>
          </w:tcPr>
          <w:p>
            <w:pPr>
              <w:ind w:left="180"/>
              <w:spacing w:after="0"/>
              <w:rPr>
                <w:sz w:val="20"/>
                <w:szCs w:val="20"/>
                <w:color w:val="auto"/>
              </w:rPr>
            </w:pPr>
            <w:r>
              <w:rPr>
                <w:rFonts w:ascii="Arial" w:cs="Arial" w:eastAsia="Arial" w:hAnsi="Arial"/>
                <w:sz w:val="18"/>
                <w:szCs w:val="18"/>
                <w:b w:val="1"/>
                <w:bCs w:val="1"/>
                <w:color w:val="auto"/>
                <w:w w:val="99"/>
              </w:rPr>
              <w:t>Three Months Ended September 30,</w:t>
            </w:r>
          </w:p>
        </w:tc>
        <w:tc>
          <w:tcPr>
            <w:tcW w:w="31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23"/>
        </w:trPr>
        <w:tc>
          <w:tcPr>
            <w:tcW w:w="484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55,486,361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56,066,013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55,486,361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56,466,013</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Class P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14,966,127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15,419,821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14,966,127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15,419,821</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7,173,708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8,859,553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7,173,708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8,859,553</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PRSUs</w:t>
            </w:r>
          </w:p>
        </w:tc>
        <w:tc>
          <w:tcPr>
            <w:tcW w:w="1520" w:type="dxa"/>
            <w:vAlign w:val="bottom"/>
          </w:tcPr>
          <w:p>
            <w:pPr>
              <w:jc w:val="right"/>
              <w:spacing w:after="0"/>
              <w:rPr>
                <w:sz w:val="20"/>
                <w:szCs w:val="20"/>
                <w:color w:val="auto"/>
              </w:rPr>
            </w:pPr>
            <w:r>
              <w:rPr>
                <w:rFonts w:ascii="Arial" w:cs="Arial" w:eastAsia="Arial" w:hAnsi="Arial"/>
                <w:sz w:val="18"/>
                <w:szCs w:val="18"/>
                <w:color w:val="auto"/>
              </w:rPr>
              <w:t>234,375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2,437,500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234,375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2,437,500</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12,499,973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12,499,973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12,499,973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12,499,973</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Private Placement Warrants</w:t>
            </w:r>
          </w:p>
        </w:tc>
        <w:tc>
          <w:tcPr>
            <w:tcW w:w="1520" w:type="dxa"/>
            <w:vAlign w:val="bottom"/>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7,000,000</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holdback shares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677,847</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677,847</w:t>
            </w:r>
          </w:p>
        </w:tc>
      </w:tr>
    </w:tbl>
    <w:p>
      <w:pPr>
        <w:spacing w:after="0" w:line="29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During the three months ended June 30, 2022, the Company entered into a sublease agreement with an affiliate to a member of the board of directors.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As of September 30, 2023, the security deposit for the sublease of approximately $0.1 million is included in other long-term liabilities on the accompanying condensed balance sheets. As of September 30, 2023 and December 31, 2022, rent receivable was $0.7 million and $0.1 million, respectively, and these amounts are included in accounts receivable, net on the accompanying condensed consolidated balance sheets. For the three and nine months ended September 30, 2023, income on the sublease with a related party was $0.2 million and $0.5 million, respectively. For the three and nine months ended September 30, 2022, income on the sublease with a related party was approximately $0.2 million. The income on sublease is netted with rent expense and included in general and administrative expenses on the accompanying condensed consolidated statements of operations.</w:t>
      </w:r>
    </w:p>
    <w:p>
      <w:pPr>
        <w:spacing w:after="0" w:line="5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connection with the Business Combination, the Company paid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September 30, 2023 and December 31, 2022, the outstanding balance of the note receivable was $0.8 million and $1.1 million, respectively. As of September 30, 2023, $0.4 million of the note receivable was included in prepaid expenses and other current assets and the other $0.4 million was included in other assets on the accompanying condensed balance sheets. As of December 31, 2022, $1.1 million of related party note receivable was included in other assets on the accompanying condensed consolidated balance sheets. For the three and nine ended September 30, 2023, interest income on the promissory note was less than $0.1 million, which is included in other income (expense), net on the accompanying condensed consolidated statements of operations.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June 16, 2021, WM Holding Company, LLC (when referred to in its pre-Business Combination capacity, “Legacy WMH” and following the Business Combination, “WMH LLC”) completed its previously announced business combination (the “Business Combination”) with Silver Spike Acquisition Corp (“Silver Spike”).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U.S. states, U.S. territories and Canadian legalized cannabis markets. Our comprehensive business-to-consumer and business-to-business suite of products afford cannabis retailers and brands of all sizes integrated tools to compliantly run their businesses and to reach, convert, and retain consumers.</w:t>
      </w:r>
    </w:p>
    <w:p>
      <w:pPr>
        <w:spacing w:after="0" w:line="8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of our user base is highly valuable to our clients and results in clients, mainly cannabis retailers, brands, paying for access to our marketplace and other tools that streamline front and back-end operations and help manage compliance needs. These tools support cannabis businesses at every stage in the consumer funnel, enabling them to:</w:t>
      </w:r>
    </w:p>
    <w:p>
      <w:pPr>
        <w:spacing w:after="0" w:line="6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Strategically reach prospective cannabis consumers.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pickup, delivery and inventory in compliance with local regulations.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Help improve the customer experience by creating online browsing and ordering functionality on a brand or retailer (including delivery) operator’s website and by extending that functionality in-store with kiosks.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Foster customer loyalty and re-engage with segments of consumers.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Leverage the Weedmaps for Business products in conjunction with any other preferred software solutions via integrations and application programming interfaces (“APIs”).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informed marketing and merchandising decisions using performance analytics and consumer and brand insights to promote products to specific consumer groups.</w:t>
      </w:r>
    </w:p>
    <w:p>
      <w:pPr>
        <w:spacing w:after="0" w:line="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Weedmaps for Business subscription package includes:</w:t>
      </w:r>
    </w:p>
    <w:p>
      <w:pPr>
        <w:spacing w:after="0" w:line="117"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WM Listings: A listing page with product menu for a retailer or brand on the Weedmaps marketplace, enabling our clients to be discovered by the marketplace’s users. This also allows clients to disclose their license information, hours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operation, contact information, discount policies and other information that may be required under applicable state law.</w:t>
      </w:r>
    </w:p>
    <w:p>
      <w:pPr>
        <w:spacing w:after="0" w:line="117" w:lineRule="exact"/>
        <w:rPr>
          <w:sz w:val="20"/>
          <w:szCs w:val="20"/>
          <w:color w:val="auto"/>
        </w:rPr>
      </w:pPr>
    </w:p>
    <w:p>
      <w:pPr>
        <w:jc w:val="both"/>
        <w:ind w:left="660" w:hanging="328"/>
        <w:spacing w:after="0" w:line="299"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WM Store: Customizable online store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3"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24"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We also offer other add-on products for additional fees, including:</w:t>
      </w:r>
    </w:p>
    <w:p>
      <w:pPr>
        <w:spacing w:after="0" w:line="117" w:lineRule="exact"/>
        <w:rPr>
          <w:sz w:val="20"/>
          <w:szCs w:val="20"/>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WM Ad solutions on the Weedmaps marketplace designed for clients to amplify their businesses and reach more highly engaged cannabis consumers throughout their buying journey including:</w:t>
      </w:r>
    </w:p>
    <w:p>
      <w:pPr>
        <w:spacing w:after="0" w:line="62" w:lineRule="exact"/>
        <w:rPr>
          <w:rFonts w:ascii="Arial" w:cs="Arial" w:eastAsia="Arial" w:hAnsi="Arial"/>
          <w:sz w:val="18"/>
          <w:szCs w:val="18"/>
          <w:color w:val="auto"/>
        </w:rPr>
      </w:pPr>
    </w:p>
    <w:p>
      <w:pPr>
        <w:ind w:left="1300" w:hanging="320"/>
        <w:spacing w:after="0" w:line="277" w:lineRule="auto"/>
        <w:tabs>
          <w:tab w:leader="none" w:pos="13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8" w:lineRule="exact"/>
        <w:rPr>
          <w:rFonts w:ascii="Arial" w:cs="Arial" w:eastAsia="Arial" w:hAnsi="Arial"/>
          <w:sz w:val="18"/>
          <w:szCs w:val="18"/>
          <w:color w:val="auto"/>
        </w:rPr>
      </w:pPr>
    </w:p>
    <w:p>
      <w:pPr>
        <w:ind w:left="1300" w:hanging="320"/>
        <w:spacing w:after="0" w:line="298" w:lineRule="auto"/>
        <w:tabs>
          <w:tab w:leader="none" w:pos="1296" w:val="left"/>
        </w:tabs>
        <w:numPr>
          <w:ilvl w:val="1"/>
          <w:numId w:val="14"/>
        </w:numPr>
        <w:rPr>
          <w:rFonts w:ascii="Arial" w:cs="Arial" w:eastAsia="Arial" w:hAnsi="Arial"/>
          <w:sz w:val="17"/>
          <w:szCs w:val="17"/>
          <w:color w:val="auto"/>
        </w:rPr>
      </w:pPr>
      <w:r>
        <w:rPr>
          <w:rFonts w:ascii="Arial" w:cs="Arial" w:eastAsia="Arial" w:hAnsi="Arial"/>
          <w:sz w:val="17"/>
          <w:szCs w:val="17"/>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ind w:left="1300" w:hanging="320"/>
        <w:spacing w:after="0" w:line="298" w:lineRule="auto"/>
        <w:tabs>
          <w:tab w:leader="none" w:pos="1296" w:val="left"/>
        </w:tabs>
        <w:numPr>
          <w:ilvl w:val="1"/>
          <w:numId w:val="14"/>
        </w:numPr>
        <w:rPr>
          <w:rFonts w:ascii="Arial" w:cs="Arial" w:eastAsia="Arial" w:hAnsi="Arial"/>
          <w:sz w:val="17"/>
          <w:szCs w:val="17"/>
          <w:color w:val="auto"/>
        </w:rPr>
      </w:pPr>
      <w:r>
        <w:rPr>
          <w:rFonts w:ascii="Arial" w:cs="Arial" w:eastAsia="Arial" w:hAnsi="Arial"/>
          <w:sz w:val="17"/>
          <w:szCs w:val="17"/>
          <w:color w:val="auto"/>
        </w:rPr>
        <w:t>Other WM Ad solutions: Includes banner ads and promotion tiles on our marketplace as well as banner ads that can be tied to keyword searches. These products provide clients with targeted ad solutions in highly visible slots across our digital surfaces.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SaaS solutions on and off the Weedmaps marketplace, including:</w:t>
      </w:r>
    </w:p>
    <w:p>
      <w:pPr>
        <w:spacing w:after="0" w:line="63"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WM AdSuite: Omni-channel (on and off platform) marketing solution with access to the Weedmaps marketplace and cannabis-friendly off marketplace outlets including certain publishers, out-of-home units in addition to other media solutions. These campaigns leverage proprietary first-party Weedmaps data to target verified cannabis consumers.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WM CRM: Customer relationship management software allowing clients to reach new consumers, build loyalty, and grow revenue with our compliant app, text and marketing tools. The tools also allow for retargeting and re-engagement of cannabis consumers.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WM Screens: In-store digital menu signage and kiosk solution and media management tool enabling clients to enhance the in-store experience, impact omnichannel retail and centralize operations with revenue-driving and customizable digital signage.</w:t>
      </w:r>
    </w:p>
    <w:p>
      <w:pPr>
        <w:spacing w:after="0" w:line="8"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We plan to sunset the WM AdSuite, WM CRM and WM Screens product offerings on December 15, 2023 and focus our efforts on other Weedmaps for Business products that support the Weedmaps marketplace and improve the eCommerce experience for our clients and users.</w:t>
      </w:r>
    </w:p>
    <w:p>
      <w:pPr>
        <w:spacing w:after="0" w:line="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6"/>
          <w:szCs w:val="16"/>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September 30, 2023, we actively operated in over 30 U.S. states and territories that have adult-use and/or medical-use regulations in place. Substantially all of the Company’s revenue was generated in the United States during the periods presented. We define actively operated markets as those U.S. states or territories with greater than $1,000 monthly revenue.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5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8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Weedmaps marketplace is a premier destination for cannabis consumers to discover and browse information regarding cannabis and cannabis products with 5,414 and 5,555 average monthly paying business clients during the three and nine months ended September 30, 2023, respectively, on the supply-side of our marketplace. These paying clients include retailers, brands and other client types (such as doctors). Further, these clients, who can choose to purchase multiple listings solutions for each business, had purchased over 8,000 listing pages as of September 30, 2023.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Our weedmaps.com website,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website, we neither sell (or fulfill purchases of) cannabis products, nor do we process payments for cannabis transactions across our marketplace or SaaS solutions.</w:t>
      </w:r>
    </w:p>
    <w:p>
      <w:pPr>
        <w:spacing w:after="0" w:line="7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220" w:type="dxa"/>
            <w:vAlign w:val="bottom"/>
            <w:gridSpan w:val="5"/>
          </w:tcPr>
          <w:p>
            <w:pPr>
              <w:ind w:left="180"/>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20"/>
                <w:szCs w:val="20"/>
                <w:color w:val="auto"/>
              </w:rPr>
            </w:pPr>
          </w:p>
        </w:tc>
        <w:tc>
          <w:tcPr>
            <w:tcW w:w="29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4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9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4980" w:type="dxa"/>
            <w:vAlign w:val="bottom"/>
          </w:tcPr>
          <w:p>
            <w:pPr>
              <w:spacing w:after="0"/>
              <w:rPr>
                <w:sz w:val="19"/>
                <w:szCs w:val="19"/>
                <w:color w:val="auto"/>
              </w:rPr>
            </w:pPr>
          </w:p>
        </w:tc>
        <w:tc>
          <w:tcPr>
            <w:tcW w:w="6260" w:type="dxa"/>
            <w:vAlign w:val="bottom"/>
            <w:gridSpan w:val="9"/>
          </w:tcPr>
          <w:p>
            <w:pPr>
              <w:jc w:val="right"/>
              <w:ind w:right="790"/>
              <w:spacing w:after="0"/>
              <w:rPr>
                <w:sz w:val="20"/>
                <w:szCs w:val="20"/>
                <w:color w:val="auto"/>
              </w:rPr>
            </w:pPr>
            <w:r>
              <w:rPr>
                <w:rFonts w:ascii="Arial" w:cs="Arial" w:eastAsia="Arial" w:hAnsi="Arial"/>
                <w:sz w:val="18"/>
                <w:szCs w:val="18"/>
                <w:b w:val="1"/>
                <w:bCs w:val="1"/>
                <w:color w:val="auto"/>
              </w:rPr>
              <w:t>(dollars in thousands, except for revenue per paying client)</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3"/>
              </w:rPr>
              <w:t>47,725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146,584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166,246</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(2,512)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(4,498)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(21,849)</w:t>
            </w:r>
          </w:p>
        </w:tc>
      </w:tr>
      <w:tr>
        <w:trPr>
          <w:trHeight w:val="338"/>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9,254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13,278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(18,632)</w:t>
            </w:r>
          </w:p>
        </w:tc>
      </w:tr>
      <w:tr>
        <w:trPr>
          <w:trHeight w:val="337"/>
        </w:trPr>
        <w:tc>
          <w:tcPr>
            <w:tcW w:w="49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83"/>
              </w:rPr>
              <w:t>10,671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(9,630)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28,028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(11,178)</w:t>
            </w:r>
          </w:p>
        </w:tc>
      </w:tr>
      <w:tr>
        <w:trPr>
          <w:trHeight w:val="338"/>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r>
              <w:rPr>
                <w:rFonts w:ascii="Arial" w:cs="Arial" w:eastAsia="Arial" w:hAnsi="Arial"/>
                <w:sz w:val="23"/>
                <w:szCs w:val="23"/>
                <w:color w:val="auto"/>
                <w:vertAlign w:val="superscript"/>
              </w:rPr>
              <w:t>(2)</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r>
      <w:tr>
        <w:trPr>
          <w:trHeight w:val="420"/>
        </w:trPr>
        <w:tc>
          <w:tcPr>
            <w:tcW w:w="4980" w:type="dxa"/>
            <w:vAlign w:val="bottom"/>
          </w:tcPr>
          <w:p>
            <w:pPr>
              <w:ind w:left="20"/>
              <w:spacing w:after="0"/>
              <w:rPr>
                <w:sz w:val="20"/>
                <w:szCs w:val="20"/>
                <w:color w:val="auto"/>
              </w:rPr>
            </w:pPr>
            <w:r>
              <w:rPr>
                <w:rFonts w:ascii="Arial" w:cs="Arial" w:eastAsia="Arial" w:hAnsi="Arial"/>
                <w:sz w:val="18"/>
                <w:szCs w:val="18"/>
                <w:color w:val="auto"/>
              </w:rPr>
              <w:t>Average monthly paying clients</w:t>
            </w:r>
            <w:r>
              <w:rPr>
                <w:rFonts w:ascii="Arial" w:cs="Arial" w:eastAsia="Arial" w:hAnsi="Arial"/>
                <w:sz w:val="23"/>
                <w:szCs w:val="23"/>
                <w:color w:val="auto"/>
                <w:vertAlign w:val="superscript"/>
              </w:rPr>
              <w:t>(3)</w:t>
            </w:r>
          </w:p>
        </w:tc>
        <w:tc>
          <w:tcPr>
            <w:tcW w:w="96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5,414</w:t>
            </w: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5,555</w:t>
            </w:r>
          </w:p>
        </w:tc>
        <w:tc>
          <w:tcPr>
            <w:tcW w:w="3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5,380</w:t>
            </w:r>
          </w:p>
        </w:tc>
      </w:tr>
      <w:tr>
        <w:trPr>
          <w:trHeight w:val="269"/>
        </w:trPr>
        <w:tc>
          <w:tcPr>
            <w:tcW w:w="498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pacing w:after="0" w:line="31" w:lineRule="exact"/>
        <w:rPr>
          <w:sz w:val="20"/>
          <w:szCs w:val="20"/>
          <w:color w:val="auto"/>
        </w:rPr>
      </w:pPr>
    </w:p>
    <w:p>
      <w:pPr>
        <w:ind w:left="340" w:right="20" w:hanging="332"/>
        <w:spacing w:after="0" w:line="258"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further information about how we calculate EBITDA and Adjusted EBITDA as well as limitations of its use and a reconciliation of EBITDA and Adjusted EBITDA to net loss, see “Net Loss to EBITDA and Adjusted EBITDA” below.</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340" w:right="2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Average monthly revenue per paying client is defined as the average monthly revenue for any particular period divided by the average monthly paying clients in the same respective period.</w:t>
      </w:r>
    </w:p>
    <w:p>
      <w:pPr>
        <w:spacing w:after="0" w:line="1" w:lineRule="exact"/>
        <w:rPr>
          <w:rFonts w:ascii="Arial" w:cs="Arial" w:eastAsia="Arial" w:hAnsi="Arial"/>
          <w:sz w:val="16"/>
          <w:szCs w:val="16"/>
          <w:color w:val="auto"/>
        </w:rPr>
      </w:pPr>
    </w:p>
    <w:p>
      <w:pPr>
        <w:ind w:left="340" w:hanging="332"/>
        <w:spacing w:after="0" w:line="239"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Average monthly paying clients are defined as the average of the number of paying clients billed in a month across a particular period (and for which services were provided).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offer our Weedmaps for Business solution as a monthly subscription package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website or third-party websites through our orders and menu embed product), (iii) customizable menus for brands, retailers and delivery operators to embed on their website, (iv) access to our APIs, including real-time connectivity between Weedmaps for Business to a POS system to streamline workflows and promote compliance through accuracy and (v) analytics dashboards. We also offer add-on and a la carte products and services for additional fees, including Featured Listings and WM Deals, among other things (for a description of these services, see “Overview” above). Finally, we offer a growing set of offerings for brands to reach consumers and retailers as well as manage their brand catalog information.</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Net Loss to EBITDA and Adjusted EBITDA</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Our financial statements, including net loss, are prepared in accordance with accounting principles generally accepted in the United States of America (“GAAP”). For more information regarding the components of our net income (loss), see “Components of Our Results of Operations” below.</w:t>
      </w:r>
    </w:p>
    <w:p>
      <w:pPr>
        <w:spacing w:after="0" w:line="3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Net loss for the three months ended September 30, 2023 and 2022 was $2.5 million and $10.5 million, respectively. The decrease in net loss was primarily due to a decrease in operating expense of $16.9 million and an increase in other income (expense), net of $3.6 million, partially offset by a comparatively unfavorable change in fair value of warrant liability of $7.1 million, a comparatively unfavorable decrease in benefit from income taxes of $2.6 million, a decrease in net revenue of $2.8 million and an increase in change in tax receivable agreement (“TRA”) liability of $0.1 million.</w:t>
      </w:r>
    </w:p>
    <w:p>
      <w:pPr>
        <w:spacing w:after="0" w:line="6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Net loss for the nine months ended September 30, 2023 and 2022 was $4.5 million and $21.8 million, respectively. The decrease in net loss was primarily due to a decrease in operating expenses of $60.7 million and an increase in other income (expense) net of $4.1 million, partially offset by a comparatively unfavorable change in fair value of warrant liability of $21.4 million, a decrease in net revenue of $19.7 million, a comparatively unfavorable decrease in benefit from income taxes of $5.7 million and an increase in change in TRA liability of $0.7 million.</w:t>
      </w:r>
    </w:p>
    <w:p>
      <w:pPr>
        <w:spacing w:after="0" w:line="6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impairment of right-of-use asset and investment securities, transaction costs, change in TRA liability and other non-cash, unusual and/or infrequent costs in the case of Adjusted EBITDA. Below we have provided a reconciliation of net loss (the most directly comparable GAAP financial measure) to EBITDA; and from EBITDA to Adjusted EBITDA.</w:t>
      </w:r>
    </w:p>
    <w:p>
      <w:pPr>
        <w:spacing w:after="0" w:line="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62" w:lineRule="exact"/>
        <w:rPr>
          <w:sz w:val="20"/>
          <w:szCs w:val="20"/>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loss and our other GAAP results.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net loss to non-GAAP EBITDA and Adjusted EBITDA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70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Three Months Ended September</w:t>
            </w:r>
          </w:p>
        </w:tc>
        <w:tc>
          <w:tcPr>
            <w:tcW w:w="260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w:t>
            </w:r>
          </w:p>
        </w:tc>
      </w:tr>
      <w:tr>
        <w:trPr>
          <w:trHeight w:val="239"/>
        </w:trPr>
        <w:tc>
          <w:tcPr>
            <w:tcW w:w="5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r>
      <w:tr>
        <w:trPr>
          <w:trHeight w:val="227"/>
        </w:trPr>
        <w:tc>
          <w:tcPr>
            <w:tcW w:w="5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5"/>
          </w:tcPr>
          <w:p>
            <w:pPr>
              <w:ind w:left="48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(21,849)</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(5,699)</w:t>
            </w: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(18,632)</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17,250</w:t>
            </w: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(20,605)</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Transaction related bonus (recovery)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4,069</w:t>
            </w: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settlements and other legal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Discharge of holdback obligation related to prior acquisition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 in force (recovery)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Impairment of right-of-use asset and investment securities</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1,317</w:t>
            </w: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Change in tax receivable agreement liability</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Revenue Per Paying Client</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decline in our average monthly revenue per paying client for the three and nine months ended September 30, 2023 was due to spend declines in established markets. We expected these pressures given the continued liquidity challenges that clients are facing.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304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Paying Clients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8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Average monthly paying clients for the three months ended September 30, 2023 decreased 3% to 5,414 average monthly paying clients from 5,576 average monthly paying clients in the same period in 2022. The decrease in average monthly paying clients for the three months ended September 30, 2023 compared to the same period in 2022 was primarily due to client turnover in the third quarter of 2023 compared to higher client acquisitions in the third quarter of 2022. Average monthly paying clients for the nine months ended September 30, 2023 increased 3% to 5,555 average monthly paying clients from 5,380 average monthly paying clients in the same period in 2022. The increase in average monthly paying clients for the nine months ended September 30, 2023 compared to the same periods in 2022 was primarily due to new client acquisitions across existing and new states.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61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912"/>
        </w:trPr>
        <w:tc>
          <w:tcPr>
            <w:tcW w:w="1280" w:type="dxa"/>
            <w:vAlign w:val="bottom"/>
            <w:tcBorders>
              <w:top w:val="single" w:sz="8" w:color="0000FF"/>
            </w:tcBorders>
          </w:tcPr>
          <w:p>
            <w:pPr>
              <w:spacing w:after="0"/>
              <w:rPr>
                <w:sz w:val="24"/>
                <w:szCs w:val="24"/>
                <w:color w:val="auto"/>
              </w:rPr>
            </w:pPr>
          </w:p>
        </w:tc>
        <w:tc>
          <w:tcPr>
            <w:tcW w:w="3960" w:type="dxa"/>
            <w:vAlign w:val="bottom"/>
          </w:tcPr>
          <w:p>
            <w:pPr>
              <w:spacing w:after="0"/>
              <w:rPr>
                <w:sz w:val="24"/>
                <w:szCs w:val="24"/>
                <w:color w:val="auto"/>
              </w:rPr>
            </w:pPr>
          </w:p>
        </w:tc>
        <w:tc>
          <w:tcPr>
            <w:tcW w:w="3040" w:type="dxa"/>
            <w:vAlign w:val="bottom"/>
            <w:gridSpan w:val="5"/>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2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5240" w:type="dxa"/>
            <w:vAlign w:val="bottom"/>
            <w:tcBorders>
              <w:bottom w:val="single" w:sz="8" w:color="CCEEFF"/>
            </w:tcBorders>
            <w:gridSpan w:val="2"/>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22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monthly paying clients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5,414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of Our Two-Sided Weedmaps Marketplace</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63"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6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believe that we will have significant opportunities for greater growth as more jurisdictions legalize cannabis for medical and/or adult-use and the regulatory environment continues to develop. Currently, thirty-nine states, the District of Columbia, Puerto Rico, the Virgin Islands, and Guam have legalized some form of cannabis use for certain medical purposes. Twenty-three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8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technical and other resources than existing market participants. Our current and future competitors may also enjoy other competitive advantages, such as greater name recognition, more offerings and larger marketing budgets.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6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5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6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intend to continue to make focused organic and inorganic investments to grow our revenue and scale operations to support that growth.</w:t>
      </w:r>
    </w:p>
    <w:p>
      <w:pPr>
        <w:spacing w:after="0" w:line="1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operating expenses and capital expenditures fluctuate over time, we may accordingly experience short-term, negative impacts to our operating results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9"/>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14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6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6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r>
      <w:tr>
        <w:trPr>
          <w:trHeight w:val="223"/>
        </w:trPr>
        <w:tc>
          <w:tcPr>
            <w:tcW w:w="6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00" w:type="dxa"/>
            <w:vAlign w:val="bottom"/>
            <w:gridSpan w:val="8"/>
          </w:tcPr>
          <w:p>
            <w:pPr>
              <w:ind w:left="10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47,725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50,500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166,246</w:t>
            </w:r>
          </w:p>
        </w:tc>
      </w:tr>
      <w:tr>
        <w:trPr>
          <w:trHeight w:val="54"/>
        </w:trPr>
        <w:tc>
          <w:tcPr>
            <w:tcW w:w="6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9"/>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520" w:type="dxa"/>
            <w:vAlign w:val="bottom"/>
            <w:gridSpan w:val="2"/>
          </w:tcPr>
          <w:p>
            <w:pPr>
              <w:ind w:left="180"/>
              <w:spacing w:after="0"/>
              <w:rPr>
                <w:sz w:val="20"/>
                <w:szCs w:val="20"/>
                <w:color w:val="auto"/>
              </w:rPr>
            </w:pPr>
            <w:r>
              <w:rPr>
                <w:rFonts w:ascii="Arial" w:cs="Arial" w:eastAsia="Arial" w:hAnsi="Arial"/>
                <w:sz w:val="18"/>
                <w:szCs w:val="18"/>
                <w:color w:val="auto"/>
                <w:w w:val="92"/>
              </w:rPr>
              <w:t>Cost of revenues (exclusive of depreciation and amortization shown separately below)</w:t>
            </w:r>
          </w:p>
        </w:tc>
        <w:tc>
          <w:tcPr>
            <w:tcW w:w="22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3,015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9,748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11,870</w:t>
            </w:r>
          </w:p>
        </w:tc>
      </w:tr>
      <w:tr>
        <w:trPr>
          <w:trHeight w:val="230"/>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11,544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17,882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61,887</w:t>
            </w:r>
          </w:p>
        </w:tc>
      </w:tr>
      <w:tr>
        <w:trPr>
          <w:trHeight w:val="229"/>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7,748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0"/>
              </w:rPr>
              <w:t>11,988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27,882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38,341</w:t>
            </w:r>
          </w:p>
        </w:tc>
      </w:tr>
      <w:tr>
        <w:trPr>
          <w:trHeight w:val="229"/>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19,189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33,490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92,155</w:t>
            </w:r>
          </w:p>
        </w:tc>
      </w:tr>
      <w:tr>
        <w:trPr>
          <w:trHeight w:val="230"/>
        </w:trPr>
        <w:tc>
          <w:tcPr>
            <w:tcW w:w="65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11,777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17,799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w:t>
            </w:r>
          </w:p>
        </w:tc>
      </w:tr>
      <w:tr>
        <w:trPr>
          <w:trHeight w:val="223"/>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53,273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70,145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152,497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213,169</w:t>
            </w:r>
          </w:p>
        </w:tc>
      </w:tr>
      <w:tr>
        <w:trPr>
          <w:trHeight w:val="223"/>
        </w:trPr>
        <w:tc>
          <w:tcPr>
            <w:tcW w:w="6520" w:type="dxa"/>
            <w:vAlign w:val="bottom"/>
            <w:gridSpan w:val="2"/>
          </w:tcPr>
          <w:p>
            <w:pPr>
              <w:ind w:left="24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(5,548)</w:t>
            </w:r>
          </w:p>
        </w:tc>
        <w:tc>
          <w:tcPr>
            <w:tcW w:w="8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(19,645)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(46,923)</w:t>
            </w:r>
          </w:p>
        </w:tc>
      </w:tr>
      <w:tr>
        <w:trPr>
          <w:trHeight w:val="229"/>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20,605</w:t>
            </w:r>
          </w:p>
        </w:tc>
      </w:tr>
      <w:tr>
        <w:trPr>
          <w:trHeight w:val="229"/>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tax receivable agreement liability</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3,565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2,884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r>
      <w:tr>
        <w:trPr>
          <w:trHeight w:val="223"/>
        </w:trPr>
        <w:tc>
          <w:tcPr>
            <w:tcW w:w="6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(2,512)</w:t>
            </w:r>
          </w:p>
        </w:tc>
        <w:tc>
          <w:tcPr>
            <w:tcW w:w="8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(27,548)</w:t>
            </w: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8"/>
              </w:rPr>
              <w:t>(2,641)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(5,699)</w:t>
            </w:r>
          </w:p>
        </w:tc>
      </w:tr>
      <w:tr>
        <w:trPr>
          <w:trHeight w:val="223"/>
        </w:trPr>
        <w:tc>
          <w:tcPr>
            <w:tcW w:w="65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(2,512)</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(21,849)</w:t>
            </w:r>
          </w:p>
        </w:tc>
      </w:tr>
      <w:tr>
        <w:trPr>
          <w:trHeight w:val="230"/>
        </w:trPr>
        <w:tc>
          <w:tcPr>
            <w:tcW w:w="6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loss attributable to noncontrolling interests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(974)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(5,300)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(14,484)</w:t>
            </w:r>
          </w:p>
        </w:tc>
      </w:tr>
      <w:tr>
        <w:trPr>
          <w:trHeight w:val="248"/>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loss attributable to WM Technology,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(1,538)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(5,164)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46"/>
        </w:trPr>
        <w:tc>
          <w:tcPr>
            <w:tcW w:w="6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6"/>
          </w:tcPr>
          <w:p>
            <w:pPr>
              <w:jc w:val="right"/>
              <w:spacing w:after="0"/>
              <w:rPr>
                <w:sz w:val="20"/>
                <w:szCs w:val="20"/>
                <w:color w:val="auto"/>
              </w:rPr>
            </w:pPr>
            <w:r>
              <w:rPr>
                <w:rFonts w:ascii="Arial" w:cs="Arial" w:eastAsia="Arial" w:hAnsi="Arial"/>
                <w:sz w:val="18"/>
                <w:szCs w:val="18"/>
                <w:b w:val="1"/>
                <w:bCs w:val="1"/>
                <w:color w:val="auto"/>
                <w:w w:val="94"/>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9"/>
        </w:trPr>
        <w:tc>
          <w:tcPr>
            <w:tcW w:w="6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w w:val="95"/>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27"/>
        </w:trPr>
        <w:tc>
          <w:tcPr>
            <w:tcW w:w="6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54"/>
        </w:trPr>
        <w:tc>
          <w:tcPr>
            <w:tcW w:w="6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9"/>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75"/>
        </w:trPr>
        <w:tc>
          <w:tcPr>
            <w:tcW w:w="652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Cost of revenues (exclusive of depreciation and amortization shown separately</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below)</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2"/>
              </w:rPr>
              <w:t>24 %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3"/>
        </w:trPr>
        <w:tc>
          <w:tcPr>
            <w:tcW w:w="6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23"/>
        </w:trPr>
        <w:tc>
          <w:tcPr>
            <w:tcW w:w="616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2"/>
              </w:rPr>
              <w:t>13 %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tax receivable agreement liability</w:t>
            </w:r>
          </w:p>
        </w:tc>
        <w:tc>
          <w:tcPr>
            <w:tcW w:w="2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97"/>
              </w:rPr>
              <w:t>— %</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1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1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 attributable to noncontrolling interests</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loss attributable to WM Technology, Inc.</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w w:val="88"/>
              </w:rPr>
              <w:t>Comparison of Three Months Ended September 30, 2023 and 2022</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5020" w:type="dxa"/>
            <w:vAlign w:val="bottom"/>
          </w:tcPr>
          <w:p>
            <w:pPr>
              <w:spacing w:after="0"/>
              <w:rPr>
                <w:sz w:val="24"/>
                <w:szCs w:val="24"/>
                <w:color w:val="auto"/>
              </w:rPr>
            </w:pPr>
          </w:p>
        </w:tc>
        <w:tc>
          <w:tcPr>
            <w:tcW w:w="3080" w:type="dxa"/>
            <w:vAlign w:val="bottom"/>
            <w:gridSpan w:val="5"/>
          </w:tcPr>
          <w:p>
            <w:pPr>
              <w:ind w:left="120"/>
              <w:spacing w:after="0"/>
              <w:rPr>
                <w:sz w:val="20"/>
                <w:szCs w:val="20"/>
                <w:color w:val="auto"/>
              </w:rPr>
            </w:pPr>
            <w:r>
              <w:rPr>
                <w:rFonts w:ascii="Arial" w:cs="Arial" w:eastAsia="Arial" w:hAnsi="Arial"/>
                <w:sz w:val="18"/>
                <w:szCs w:val="18"/>
                <w:b w:val="1"/>
                <w:bCs w:val="1"/>
                <w:color w:val="auto"/>
                <w:w w:val="96"/>
              </w:rPr>
              <w:t>Three Months Ended September 30,</w:t>
            </w:r>
          </w:p>
        </w:tc>
        <w:tc>
          <w:tcPr>
            <w:tcW w:w="88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23"/>
        </w:trPr>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47,725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1"/>
              </w:rPr>
              <w:t>(2,775)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18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 revenues decreased by $2.8 million or 5% for the three months ended September 30, 2023 compared to the same period in 2022. The decrease was driven by a decrease in average monthly revenue per paying client primarily as a result of a decrease in revenue from our Weedmaps for Business and other SaaS subscriptions of $1.5 million and a decline in our Featured Listings and WM Deal products of $1.7 million partially offset by increase in revenue from other WM Ad solutions of $0.4 million . For the three months ended September 30, 2023, our Featured Listings and WM Deal products, Weedmaps for Business and other SaaS subscriptions and other WM Ad solutions represented approximately 69%, 23% and 8% of our total revenues,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4"/>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84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3,015</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4,272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1"/>
              </w:rPr>
              <w:t>(1,257)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6 %</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7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Cost of revenues was $3.0 million for the three months ended September 30, 2023 compared to $4.3 million for the same period in 2022. The decrease of $1.3 million was primarily related to a decrease of $1.0 million for cost of revenues associated with WM CRM and WM AdSuite both of which we expect to sunset in December 2023 and a decrease of $0.3 million in server costs.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5"/>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Three Months Ended September 30,</w:t>
            </w:r>
          </w:p>
        </w:tc>
        <w:tc>
          <w:tcPr>
            <w:tcW w:w="82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4"/>
                <w:szCs w:val="24"/>
                <w:color w:val="auto"/>
              </w:rPr>
            </w:pPr>
          </w:p>
        </w:tc>
      </w:tr>
      <w:tr>
        <w:trPr>
          <w:trHeight w:val="223"/>
        </w:trPr>
        <w:tc>
          <w:tcPr>
            <w:tcW w:w="49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23"/>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11,544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17,882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1"/>
              </w:rPr>
              <w:t>(6,338)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24 %</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Sales and marketing expenses decreased by $6.3 million, or 35%, for the three months ended September 30, 2023 compared to the same period in 2022. The decrease was primarily due to a decrease in personnel-related costs of $6.3 million and a decrease in outside services of $1.2 million, partially offset by an increase in website advertising expense of $1.0 million, an increase in branding and advertising expense of $0.2 million. The decrease in personnel-related costs was primarily due to decreased headcount, including decreases in salaries and wages of $3.7 million, bonus and commission expense of $1.9 million and stock-based compensation expense of $0.4 million.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 Expenses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86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23"/>
        </w:trPr>
        <w:tc>
          <w:tcPr>
            <w:tcW w:w="4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7,748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11,988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1"/>
              </w:rPr>
              <w:t>(4,240)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904"/>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Product development expenses decreased by $4.2 million, or 35%, for the three months ended September 30, 2023 compared to the same period in 2022. This decrease was primarily due to a decrease in personnel-related costs of $3.7 million and a decrease in outside services of $0.6 million. The decrease in personnel-related costs was primarily due to decreased headcount, including decreases in salaries and wages of $2.5 million, bonus expense of $1.0 million, and stock-based compensation expense of $0.1 million.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360" w:type="dxa"/>
            <w:vAlign w:val="bottom"/>
          </w:tcPr>
          <w:p>
            <w:pPr>
              <w:spacing w:after="0"/>
              <w:rPr>
                <w:sz w:val="24"/>
                <w:szCs w:val="24"/>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80" w:type="dxa"/>
            <w:vAlign w:val="bottom"/>
            <w:gridSpan w:val="4"/>
          </w:tcPr>
          <w:p>
            <w:pPr>
              <w:jc w:val="right"/>
              <w:ind w:right="1190"/>
              <w:spacing w:after="0"/>
              <w:rPr>
                <w:sz w:val="20"/>
                <w:szCs w:val="20"/>
                <w:color w:val="auto"/>
              </w:rPr>
            </w:pPr>
            <w:r>
              <w:rPr>
                <w:rFonts w:ascii="Arial" w:cs="Arial" w:eastAsia="Arial" w:hAnsi="Arial"/>
                <w:sz w:val="18"/>
                <w:szCs w:val="18"/>
                <w:b w:val="1"/>
                <w:bCs w:val="1"/>
                <w:color w:val="auto"/>
              </w:rPr>
              <w:t>(dollars in thousands)</w:t>
            </w:r>
          </w:p>
        </w:tc>
        <w:tc>
          <w:tcPr>
            <w:tcW w:w="108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19,189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33,490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(14,301)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40 %</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General and administrative expenses decreased by $14.3 million, or 43%, for the three months ended September 30, 2023 compared to the same period in 2022. This decrease was primarily due to a decrease in provision for doubtful accounts of $8.9 million, a decrease in personnel-related costs of $1.9 million, a decrease in professional services and board fees of $1.3 million, a decrease in impairment loss of $0.8 million a decrease in insurance expense of $0.7 million, a decrease in software expense of $0.4 million, a decrease in donation expense of $0.2 million and a decrease in rent expense of $0.1 million. The decrease in personnel-related costs was primarily due to decreased headcount, including decreases in salaries and wages of $1.5 million, severance expense of $1.3 million and employee benefits expense of $0.3 million, partially offset by increases in bonus expense of $0.2 million and stock-based compensation expense of $1.1 million.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4"/>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88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11,777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7"/>
              </w:rPr>
              <w:t>9,264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369 %</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Depreciation and amortization expenses increased $9.3 million, or 369%, for the three months ended September 30, 2023 compared to the same period in 2022. The increase was primarily due to an impairment loss of $8.4 million related to impairment of intangible assets and property and equipment associated with the decision to sunset certain product offerings, an increase in capitalized software amortization of $1.0 million, partially offset by a decrease in depreciation and amortization on other assets of $0.3 million.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5"/>
        </w:trPr>
        <w:tc>
          <w:tcPr>
            <w:tcW w:w="4740" w:type="dxa"/>
            <w:vAlign w:val="bottom"/>
          </w:tcPr>
          <w:p>
            <w:pPr>
              <w:spacing w:after="0"/>
              <w:rPr>
                <w:sz w:val="24"/>
                <w:szCs w:val="24"/>
                <w:color w:val="auto"/>
              </w:rPr>
            </w:pPr>
          </w:p>
        </w:tc>
        <w:tc>
          <w:tcPr>
            <w:tcW w:w="340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 September 30,</w:t>
            </w:r>
          </w:p>
        </w:tc>
        <w:tc>
          <w:tcPr>
            <w:tcW w:w="840" w:type="dxa"/>
            <w:vAlign w:val="bottom"/>
          </w:tcPr>
          <w:p>
            <w:pPr>
              <w:spacing w:after="0"/>
              <w:rPr>
                <w:sz w:val="24"/>
                <w:szCs w:val="24"/>
                <w:color w:val="auto"/>
              </w:rPr>
            </w:pPr>
          </w:p>
        </w:tc>
        <w:tc>
          <w:tcPr>
            <w:tcW w:w="1140" w:type="dxa"/>
            <w:vAlign w:val="bottom"/>
            <w:gridSpan w:val="3"/>
          </w:tcPr>
          <w:p>
            <w:pPr>
              <w:ind w:left="40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47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23"/>
        </w:trPr>
        <w:tc>
          <w:tcPr>
            <w:tcW w:w="4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(dollars in thousands)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(460)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6,590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(7,050)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Change in tax receivable agreement liability</w:t>
            </w:r>
          </w:p>
        </w:tc>
        <w:tc>
          <w:tcPr>
            <w:tcW w:w="98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4"/>
              </w:rPr>
              <w:t>3,565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7230 %</w:t>
            </w:r>
          </w:p>
        </w:tc>
      </w:tr>
      <w:tr>
        <w:trPr>
          <w:trHeight w:val="223"/>
        </w:trPr>
        <w:tc>
          <w:tcPr>
            <w:tcW w:w="474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3,036</w:t>
            </w:r>
          </w:p>
        </w:tc>
        <w:tc>
          <w:tcPr>
            <w:tcW w:w="10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84"/>
              </w:rPr>
              <w:t>6,540</w:t>
            </w:r>
          </w:p>
        </w:tc>
        <w:tc>
          <w:tcPr>
            <w:tcW w:w="10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(3,504)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 net revenues</w:t>
            </w:r>
          </w:p>
        </w:tc>
        <w:tc>
          <w:tcPr>
            <w:tcW w:w="29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6 %</w:t>
            </w:r>
          </w:p>
        </w:tc>
        <w:tc>
          <w:tcPr>
            <w:tcW w:w="4240" w:type="dxa"/>
            <w:vAlign w:val="bottom"/>
            <w:shd w:val="clear" w:color="auto" w:fill="CCEEFF"/>
          </w:tcPr>
          <w:p>
            <w:pPr>
              <w:jc w:val="right"/>
              <w:ind w:right="3110"/>
              <w:spacing w:after="0"/>
              <w:rPr>
                <w:sz w:val="20"/>
                <w:szCs w:val="20"/>
                <w:color w:val="auto"/>
              </w:rPr>
            </w:pPr>
            <w:r>
              <w:rPr>
                <w:rFonts w:ascii="Arial" w:cs="Arial" w:eastAsia="Arial" w:hAnsi="Arial"/>
                <w:sz w:val="18"/>
                <w:szCs w:val="18"/>
                <w:color w:val="auto"/>
              </w:rPr>
              <w:t>13 %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0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Other income (expense), net decreased by $3.5 million during the three months ended September 30, 2023 compared to the same period in 2022. Other income (expense), net was primarily impacted by comparatively unfavorable changes in fair value of warrant liability of $7.1 million. and an increase in change in tax receivable agreement liability of $0.1 million, partially offset by other income of $3.6 million primarily due to a non-cash gain recorded in September 2023 of $3.7 million associated with the discharge of a holdback obligation related to a prior acquisition.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Benefit from Income Taxes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5040" w:type="dxa"/>
            <w:vAlign w:val="bottom"/>
          </w:tcPr>
          <w:p>
            <w:pPr>
              <w:spacing w:after="0"/>
              <w:rPr>
                <w:sz w:val="24"/>
                <w:szCs w:val="24"/>
                <w:color w:val="auto"/>
              </w:rPr>
            </w:pPr>
          </w:p>
        </w:tc>
        <w:tc>
          <w:tcPr>
            <w:tcW w:w="334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360" w:type="dxa"/>
            <w:vAlign w:val="bottom"/>
          </w:tcPr>
          <w:p>
            <w:pPr>
              <w:spacing w:after="0"/>
              <w:rPr>
                <w:sz w:val="24"/>
                <w:szCs w:val="24"/>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50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5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3"/>
              </w:rPr>
              <w:t>(dollars in thousands)</w:t>
            </w: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2,641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06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97"/>
              </w:rPr>
              <w:t>— %</w:t>
            </w: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0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Benefit from income taxes decreased by $2.6 million for the three months ended September 30, 2023 compared to the same period in 2022. For the three months ended September 30, 2023, we recorded zero income tax provision due to the impact of the full valuation allowance on our net deferred assets. For the three months ended September 30, 2022, we recorded an income tax benefit of $2.6 million. The income tax benefit was as a result of the tax benefit of our pro rata share of losses and tax credits flowing through from WMH LLC. See Note 2 to our condensed consolidated financial statements included herein.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w w:val="90"/>
              </w:rPr>
              <w:t>Comparison of Nine Months Ended September 30, 2023 and 2022</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4"/>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c>
          <w:tcPr>
            <w:tcW w:w="380" w:type="dxa"/>
            <w:vAlign w:val="bottom"/>
          </w:tcPr>
          <w:p>
            <w:pPr>
              <w:spacing w:after="0"/>
              <w:rPr>
                <w:sz w:val="24"/>
                <w:szCs w:val="24"/>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23"/>
        </w:trPr>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4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9"/>
                <w:szCs w:val="19"/>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146,584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(19,662)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17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Total net revenues decreased by $19.7 million, or 12%, for the nine months ended September 30, 2023 compared to the same period in 2022. The decrease was driven by a decrease in average monthly revenue per paying client primarily as a result of a decrease in revenue from our Featured Listings and Deal products of $14.9 million, a decrease in our Weedmaps for Business and other SaaS subscriptions of $4.2 million and a decrease in our other WM Ad solutions of $0.5 million. For the nine months ended September 30, 2023, our Featured Listings and WM Deal products, Weedmaps for Business and other SaaS subscriptions, and other WM Ad solutions represented approximately 70%, 23% and 7% of our total revenues,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4"/>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840" w:type="dxa"/>
            <w:vAlign w:val="bottom"/>
          </w:tcPr>
          <w:p>
            <w:pPr>
              <w:spacing w:after="0"/>
              <w:rPr>
                <w:sz w:val="24"/>
                <w:szCs w:val="24"/>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9,748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11,870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1"/>
              </w:rPr>
              <w:t>(2,122)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7 %</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Cost of revenues decreased by $2.1 million, or 18%, for the nine months ended September 30, 2023 compared to the same period in 2022. The decrease was primarily related to a decrease of $2.6 million for cost of revenue associated with WM CRM and WM AdSuite, offset by an increase of $0.6 million in server costs.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4"/>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360" w:type="dxa"/>
            <w:vAlign w:val="bottom"/>
          </w:tcPr>
          <w:p>
            <w:pPr>
              <w:spacing w:after="0"/>
              <w:rPr>
                <w:sz w:val="24"/>
                <w:szCs w:val="24"/>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80" w:type="dxa"/>
            <w:vAlign w:val="bottom"/>
            <w:gridSpan w:val="4"/>
          </w:tcPr>
          <w:p>
            <w:pPr>
              <w:jc w:val="right"/>
              <w:ind w:right="1190"/>
              <w:spacing w:after="0"/>
              <w:rPr>
                <w:sz w:val="20"/>
                <w:szCs w:val="20"/>
                <w:color w:val="auto"/>
              </w:rPr>
            </w:pPr>
            <w:r>
              <w:rPr>
                <w:rFonts w:ascii="Arial" w:cs="Arial" w:eastAsia="Arial" w:hAnsi="Arial"/>
                <w:sz w:val="18"/>
                <w:szCs w:val="18"/>
                <w:b w:val="1"/>
                <w:bCs w:val="1"/>
                <w:color w:val="auto"/>
              </w:rPr>
              <w:t>(dollars in thousands)</w:t>
            </w:r>
          </w:p>
        </w:tc>
        <w:tc>
          <w:tcPr>
            <w:tcW w:w="108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36,171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61,887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(25,716)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25 %</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904"/>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Sales and marketing expenses decreased by $25.7 million, or 42%, for the nine months ended September 30, 2023 compared to the same period in 2022. The decrease was primarily due to a decrease in personnel-related costs of $16.9 million, a decrease in outside services of $3.9 million, a decrease in website advertising expense of $3.0 million, a decrease in event expense of $1.0 million, a decrease in print and products expense of $0.5 million, a decrease in travel and entertainment of $0.4 million and a decrease in branding and advertising expense of $0.1 million. The decrease in personnel-related costs was primarily due to decreased headcount, including a decrease in salaries and wages of $9.0 million, a decrease in bonus expense of $4.6 million, a decrease in stock-based compensation of $2.6 million and a decrease in payroll taxes of $0.6 million.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 Expenses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4"/>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360" w:type="dxa"/>
            <w:vAlign w:val="bottom"/>
          </w:tcPr>
          <w:p>
            <w:pPr>
              <w:spacing w:after="0"/>
              <w:rPr>
                <w:sz w:val="24"/>
                <w:szCs w:val="24"/>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80" w:type="dxa"/>
            <w:vAlign w:val="bottom"/>
            <w:gridSpan w:val="4"/>
          </w:tcPr>
          <w:p>
            <w:pPr>
              <w:jc w:val="right"/>
              <w:ind w:right="1190"/>
              <w:spacing w:after="0"/>
              <w:rPr>
                <w:sz w:val="20"/>
                <w:szCs w:val="20"/>
                <w:color w:val="auto"/>
              </w:rPr>
            </w:pPr>
            <w:r>
              <w:rPr>
                <w:rFonts w:ascii="Arial" w:cs="Arial" w:eastAsia="Arial" w:hAnsi="Arial"/>
                <w:sz w:val="18"/>
                <w:szCs w:val="18"/>
                <w:b w:val="1"/>
                <w:bCs w:val="1"/>
                <w:color w:val="auto"/>
              </w:rPr>
              <w:t>(dollars in thousands)</w:t>
            </w:r>
          </w:p>
        </w:tc>
        <w:tc>
          <w:tcPr>
            <w:tcW w:w="108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27,882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38,341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(10,459)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19 %</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Product development expenses decreased by $10.5 million, or 27%, for the nine months ended September 30, 2023 compared to the same period in 2022. This decrease was due to a decrease in personnel-related costs of $8.0 million and a decrease in outside services expense of $2.4 million. The decrease in personnel-related costs was primarily due to decreased headcount, including a decrease in salaries and wages of $4.7 million, a decrease in bonus expense of $2.1 million and a decrease in stock-based compensation expense of $0.8 million.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5"/>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4"/>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360" w:type="dxa"/>
            <w:vAlign w:val="bottom"/>
          </w:tcPr>
          <w:p>
            <w:pPr>
              <w:spacing w:after="0"/>
              <w:rPr>
                <w:sz w:val="24"/>
                <w:szCs w:val="24"/>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80" w:type="dxa"/>
            <w:vAlign w:val="bottom"/>
            <w:gridSpan w:val="4"/>
          </w:tcPr>
          <w:p>
            <w:pPr>
              <w:jc w:val="right"/>
              <w:ind w:right="1190"/>
              <w:spacing w:after="0"/>
              <w:rPr>
                <w:sz w:val="20"/>
                <w:szCs w:val="20"/>
                <w:color w:val="auto"/>
              </w:rPr>
            </w:pPr>
            <w:r>
              <w:rPr>
                <w:rFonts w:ascii="Arial" w:cs="Arial" w:eastAsia="Arial" w:hAnsi="Arial"/>
                <w:sz w:val="18"/>
                <w:szCs w:val="18"/>
                <w:b w:val="1"/>
                <w:bCs w:val="1"/>
                <w:color w:val="auto"/>
              </w:rPr>
              <w:t>(dollars in thousands)</w:t>
            </w:r>
          </w:p>
        </w:tc>
        <w:tc>
          <w:tcPr>
            <w:tcW w:w="108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60,897</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(31,258)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42 %</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60"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6"/>
          <w:szCs w:val="16"/>
          <w:color w:val="auto"/>
        </w:rPr>
        <w:t>General and administrative expenses decreased by $31.3 million, or 34%, for the nine months ended September 30, 2023 compared to the same period in 2022. This decrease was primarily due to a decrease in personnel-related costs of $9.7 million, a decrease in provision for doubtful accounts of $10 million, a decrease in insurance expense of $4.4 million, a decrease in software expense of $1.5 million, a decrease in outside services of $0.7 million, a decrease in professional services of $2.5 million, a decrease in impairment loss of $1.3 million, a decrease in donation expense of $0.3 million, a decrease in facilities expense of $0.4 million and a decrease in rent expense of $0.5 million. The decrease in personnel-related costs was primarily due to decreased headcount, including a decrease in salaries and wages of $4.2 million, a decrease in bonus expense of $0.6 million, a decrease in employee benefits expense of $1.0 million and a decrease in stock-based compensation expense of $3.4 million and a decrease in severance costs of $0.1 million.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5"/>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4"/>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88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17,799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7"/>
              </w:rPr>
              <w:t>8,883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Depreciation and amortization expenses increased $8.9 million for the nine months ended September 30, 2023 compared to the same period in 2022. The increase was primarily due an impairment loss of $8.4 million related to impairment of intangible assets and property and equipment associated with the decision to sunset certain product offerings and an increase in capitalized software amortization of $1.5 million partially offset by a decrease in depreciation and amortization on other assets of $1.2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7"/>
        </w:trPr>
        <w:tc>
          <w:tcPr>
            <w:tcW w:w="4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20" w:type="dxa"/>
            <w:vAlign w:val="bottom"/>
            <w:gridSpan w:val="5"/>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360" w:type="dxa"/>
            <w:vAlign w:val="bottom"/>
          </w:tcPr>
          <w:p>
            <w:pPr>
              <w:spacing w:after="0"/>
              <w:rPr>
                <w:sz w:val="22"/>
                <w:szCs w:val="22"/>
                <w:color w:val="auto"/>
              </w:rPr>
            </w:pPr>
          </w:p>
        </w:tc>
        <w:tc>
          <w:tcPr>
            <w:tcW w:w="162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2"/>
                <w:szCs w:val="22"/>
                <w:color w:val="auto"/>
              </w:rPr>
            </w:pPr>
          </w:p>
        </w:tc>
      </w:tr>
      <w:tr>
        <w:trPr>
          <w:trHeight w:val="223"/>
        </w:trPr>
        <w:tc>
          <w:tcPr>
            <w:tcW w:w="48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gridSpan w:val="6"/>
          </w:tcPr>
          <w:p>
            <w:pPr>
              <w:ind w:left="340"/>
              <w:spacing w:after="0"/>
              <w:rPr>
                <w:sz w:val="20"/>
                <w:szCs w:val="20"/>
                <w:color w:val="auto"/>
              </w:rPr>
            </w:pPr>
            <w:r>
              <w:rPr>
                <w:rFonts w:ascii="Arial" w:cs="Arial" w:eastAsia="Arial" w:hAnsi="Arial"/>
                <w:sz w:val="18"/>
                <w:szCs w:val="18"/>
                <w:b w:val="1"/>
                <w:bCs w:val="1"/>
                <w:color w:val="auto"/>
              </w:rPr>
              <w:t>(dollars in thousands)</w:t>
            </w:r>
          </w:p>
        </w:tc>
        <w:tc>
          <w:tcPr>
            <w:tcW w:w="108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Change in tax receivable agreement liability</w:t>
            </w:r>
          </w:p>
        </w:tc>
        <w:tc>
          <w:tcPr>
            <w:tcW w:w="2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23"/>
        </w:trPr>
        <w:tc>
          <w:tcPr>
            <w:tcW w:w="486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19,375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(17,960)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 net revenues</w:t>
            </w:r>
          </w:p>
        </w:tc>
        <w:tc>
          <w:tcPr>
            <w:tcW w:w="3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1 %</w:t>
            </w:r>
          </w:p>
        </w:tc>
        <w:tc>
          <w:tcPr>
            <w:tcW w:w="420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rPr>
              <w:t>12 %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0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Other income (expense), net decreased by $18.0 million for the nine months ended September 30, 2023 compared to the same period in 2022. The decrease in other income (expense), net was primarily due to comparatively unfavorable changes in fair value of warrant liability of $21.4 million and an increase in change in tax receivable agreement liability of $0.7 million partially offset by other income of $4.1 million primary due a non-cash gain recorded in September 2023 of $3.7 million associated with the discharge of a holdback obligation related to a prior acquisition.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Benefit from Income Taxes</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5040" w:type="dxa"/>
            <w:vAlign w:val="bottom"/>
          </w:tcPr>
          <w:p>
            <w:pPr>
              <w:spacing w:after="0"/>
              <w:rPr>
                <w:sz w:val="24"/>
                <w:szCs w:val="24"/>
                <w:color w:val="auto"/>
              </w:rPr>
            </w:pPr>
          </w:p>
        </w:tc>
        <w:tc>
          <w:tcPr>
            <w:tcW w:w="3340" w:type="dxa"/>
            <w:vAlign w:val="bottom"/>
            <w:gridSpan w:val="5"/>
          </w:tcPr>
          <w:p>
            <w:pPr>
              <w:ind w:left="280"/>
              <w:spacing w:after="0"/>
              <w:rPr>
                <w:sz w:val="20"/>
                <w:szCs w:val="20"/>
                <w:color w:val="auto"/>
              </w:rPr>
            </w:pPr>
            <w:r>
              <w:rPr>
                <w:rFonts w:ascii="Arial" w:cs="Arial" w:eastAsia="Arial" w:hAnsi="Arial"/>
                <w:sz w:val="18"/>
                <w:szCs w:val="18"/>
                <w:b w:val="1"/>
                <w:bCs w:val="1"/>
                <w:color w:val="auto"/>
              </w:rPr>
              <w:t>Nine Months Ended September 30,</w:t>
            </w:r>
          </w:p>
        </w:tc>
        <w:tc>
          <w:tcPr>
            <w:tcW w:w="360" w:type="dxa"/>
            <w:vAlign w:val="bottom"/>
          </w:tcPr>
          <w:p>
            <w:pPr>
              <w:spacing w:after="0"/>
              <w:rPr>
                <w:sz w:val="24"/>
                <w:szCs w:val="24"/>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50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5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3"/>
              </w:rPr>
              <w:t>(dollars in thousands)</w:t>
            </w: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5,699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Percentage of net revenues</w:t>
            </w:r>
          </w:p>
        </w:tc>
        <w:tc>
          <w:tcPr>
            <w:tcW w:w="106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97"/>
              </w:rPr>
              <w:t>— %</w:t>
            </w: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0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Benefit from income taxes decreased by $5.7 million for the nine months ended September 30, 2023 compared to the same period in 2022. For the nine months ended September 30, 2023, we recorded zero income tax provision due to the impact of the full valuation allowance on our net deferred assets. For the nine months ended September 30, 2022, we recorded an income tax benefit of $5.7 million resulting from the tax benefit of our pro rata share of losses and tax credits flowing through from WMH LLC. See Note 2 to our condensed consolidated financial statements included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6"/>
          <w:szCs w:val="16"/>
          <w:color w:val="auto"/>
        </w:rPr>
        <w:t>Historically, our financial results have been driven by our ability to achieve rapid growth throughout the year and/or the impact of broader industry headwinds impacting our clients. The cannabis industry has certain industry holidays that in recent years have resulted in increased sales by cannabis users. Some such “holidays” include, but are not limited to, April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(“420”), July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the Wednesday before Thanksgiving (“Green Wednesday”). Likewise, our clients will typically increase spend heading into these events. We will also invest in marketing spend around these holidays which can create some seasonality in our sales and market expenses from quarter to quarter. Therefore,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show our cash, accounts receivable and working capital as of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September 30, 2023</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223"/>
        </w:trPr>
        <w:tc>
          <w:tcPr>
            <w:tcW w:w="36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60" w:type="dxa"/>
            <w:vAlign w:val="bottom"/>
            <w:gridSpan w:val="3"/>
          </w:tcPr>
          <w:p>
            <w:pPr>
              <w:jc w:val="right"/>
              <w:ind w:right="139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28,583</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12,314</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17,438</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15,841</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r>
      <w:tr>
        <w:trPr>
          <w:trHeight w:val="891"/>
        </w:trPr>
        <w:tc>
          <w:tcPr>
            <w:tcW w:w="3660" w:type="dxa"/>
            <w:vAlign w:val="bottom"/>
          </w:tcPr>
          <w:p>
            <w:pPr>
              <w:spacing w:after="0"/>
              <w:rPr>
                <w:sz w:val="24"/>
                <w:szCs w:val="24"/>
                <w:color w:val="auto"/>
              </w:rPr>
            </w:pPr>
          </w:p>
        </w:tc>
        <w:tc>
          <w:tcPr>
            <w:tcW w:w="3540" w:type="dxa"/>
            <w:vAlign w:val="bottom"/>
          </w:tcPr>
          <w:p>
            <w:pPr>
              <w:jc w:val="right"/>
              <w:ind w:right="139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As of September 30, 2023 and December 31, 2022, we had cash of $27.7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September 30, 2023,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primarily finance our operations and capital expenditures through cash flows generated by operations.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4"/>
        </w:trPr>
        <w:tc>
          <w:tcPr>
            <w:tcW w:w="8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8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2022</w:t>
            </w:r>
          </w:p>
        </w:tc>
      </w:tr>
      <w:tr>
        <w:trPr>
          <w:trHeight w:val="223"/>
        </w:trPr>
        <w:tc>
          <w:tcPr>
            <w:tcW w:w="8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87"/>
              </w:rPr>
              <w:t>(in thousands)</w:t>
            </w:r>
          </w:p>
        </w:tc>
        <w:tc>
          <w:tcPr>
            <w:tcW w:w="940" w:type="dxa"/>
            <w:vAlign w:val="bottom"/>
          </w:tcPr>
          <w:p>
            <w:pPr>
              <w:spacing w:after="0"/>
              <w:rPr>
                <w:sz w:val="19"/>
                <w:szCs w:val="19"/>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12,410</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(10,466)</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780"/>
              <w:spacing w:after="0"/>
              <w:rPr>
                <w:sz w:val="20"/>
                <w:szCs w:val="20"/>
                <w:color w:val="auto"/>
              </w:rPr>
            </w:pPr>
            <w:r>
              <w:rPr>
                <w:rFonts w:ascii="Arial" w:cs="Arial" w:eastAsia="Arial" w:hAnsi="Arial"/>
                <w:sz w:val="18"/>
                <w:szCs w:val="18"/>
                <w:color w:val="auto"/>
              </w:rPr>
              <w:t>(8,870)</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(14,848)</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(4,402)</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from operating activities consists primarily of net loss adjusted for certain non-cash items, including depreciation and amortization, change in fair value of warrant liability, change in TRA liability, stock-based compensation, deferred taxes, impairment loss, provision for doubtful accounts and the effect of changes in working capital.</w:t>
      </w:r>
    </w:p>
    <w:p>
      <w:pPr>
        <w:spacing w:after="0" w:line="7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provided by operating activities for the nine months ended September 30, 2023 was $12.4 million, which resulted from a net loss of $4.5 million, together with net cash outflows of $13.9 million from changes in operating assets and liabilities, and non-cash items of $30.8 million, consisting of depreciation and amortization of $17.8 million, fair value of warrant liability of $0.8 million, stock-based compensation of $10.4 million, provision for doubtful accounts of $4.9 million, gain from the discharge of a holdback obligation related to a prior acquisition of $3.7 million and change in tax receivable agreement of $0.7 million. Net cash outflows from changes in operating assets and liabilities was primarily due to a decrease in accounts payable and accrued expenses of $16.4 million, which includes a payout of $8.5 million during the three months ended June 30, 2023 related to certain employment agreements entered into in connection with a prior acquisition, and a decrease in accounts receivable of $0.3 million, partially offset by a decrease in prepaid expenses and other current assets of $2.4 million, and a decrease in deferred revenue of $0.2 million. The changes in operating assets and liabilities are mostly due to fluctuations in timing of cash receipts and payments.</w:t>
      </w:r>
    </w:p>
    <w:p>
      <w:pPr>
        <w:spacing w:after="0" w:line="7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Net cash used by operating activities for the nine months ended September 30, 2022 was $10.5 million, which resulted from net loss of $21.8 million, together with net cash outflows of $4.7 million from changes in operating assets and liabilities, and non-cash items of $16.0 million, consisting of depreciation and amortization of $8.9 million, fair value of warrant liability of $20.6 million, stock-based compensation of $17.3 million, deferred income taxes of $5.7 million, provision for doubtful accounts of $14.9 million and impairment loss on right-of-use asset $1.3 million. Net cash outflows from changes in operating assets and liabilities were primarily due to an increase in accounts receivables of $13.1 million and a decrease in deferred revenue of $1.5 million, partially offset by a decrease in prepaid expenses and other current assets of $5.2 million and an increase in accounts payables and accrued expenses of $5.0 million. The changes in operating assets and liabilities are mostly due to fluctuations in timing of cash receipts and payments.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2023 was $8.9 million for the purchases of property and equipment, including certain capitalized software development costs.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2022 was $14.8 million, which resulted from $13.1 million cash paid for purchases of property and equipment, including certain capitalized software development cost, $0.7 million net cash paid for an acquisition and $1.0 million cash paid for an acquisition holdback.</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outflows from financing activities for the nine months ended September 30, 2023 was $4.4 million, including the repayment of insurance premium financing of $1.5 million and distributions of $3.2 million to the holders of WMH LLC’s Class A Units and Class P Units other than the Company, partially offset by $0.3 million cash inflow from note repayment proceeds.</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outflows from financing activities for nine months ended September 30, 2022 was $8.3 million, which primarily consists of repayments of insurance premium financing of $5.8 million and distribution of $2.4 million to the holders of WMH LLC’s Class A Units and Class P Units other than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condensed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recognize revenue when the fundamental criteria for revenue recognition are met.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We exclude sales taxes and other similar taxes from the measurement of the transaction price. For clients that pay in advance for listing and other services, we record deferred revenue and recognizes revenue over the applicable subscription term.</w:t>
      </w:r>
    </w:p>
    <w:p>
      <w:pPr>
        <w:spacing w:after="0" w:line="8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revenues are derived primarily from monthly subscriptions to Weedmaps for Business and other SaaS solutions, featured and deal listings and other WM Ad solutions. Our Weedmaps for Business subscriptions and other SaaS solutions generally have one-month terms that automatically renew unless notice of cancellation is provided in advance. Featured and deal listings and other WM Ad solutions are offered as add-on products to the Weedmaps for Business and other SaaS solution subscriptions. Featured and deal listings provide customers with premium placement ad solutions and discount and promotion pricing tools. Other WM Ad solutions includes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The determination of the performance obligations and the timing of satisfaction of such obligations either over time or at a point-in-time requires us to make significant judgment and estimates.</w:t>
      </w:r>
    </w:p>
    <w:p>
      <w:pPr>
        <w:spacing w:after="0" w:line="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Revenue for service contracts that we assess are not probable of collection is not recognized until the contract is completed and payment is received. Collectability is reassessed when there is a significant change in facts or circumstances. The assessment of collectability considers whether we may limit its exposure to credit risk through its right to stop transferring additional service in the event the customer is delinquent. See Note 3 to our condensed consolidated financial statements included herein.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w:t>
      </w:r>
    </w:p>
    <w:p>
      <w:pPr>
        <w:spacing w:after="0" w:line="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September 30, 2023, TRA liability was $1.2 million, of which $0.4 million is expected to be paid in 2023.</w:t>
      </w:r>
    </w:p>
    <w:p>
      <w:pPr>
        <w:spacing w:after="0" w:line="87"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Based on the weight of all available evidence, both positive and negative, we determined during the three months ended December 31, 2022 that a full valuation allowance was required against our net deferred tax assets. See Note 2 to our condensed consolidated financial statements included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three months ended September 30, 2023 and 2022, we recognized stock-based compensation expense of $2.3 million and $1.6 million, respectively, and for the nine months ended September 30, 2023 and 2022, we recognized stock-based compensation expense of $10.4 million and $17.3 million, respectively. See Note 11 to our condensed consolidated financial statements included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had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three months ended September 30, 2023 and 2022, we capitalized software development costs of $4.3 million and $3.6 million, respectively, and for the nine months ended September 30, 2023 and 2022, we capitalized software development costs of $9.4 million and $12.2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We measure credit losses on our trade accounts receivable using the current expected credit loss model under Accounting Standards Codification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is based on the expected losses rather than incurred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losses. Under the credit loss model, lifetime expected credit losses are measured and recognized at each reporting date based on historical, current and forecast information.</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calculate the expected credit losses on a pool basis for trade receivables that have similar risk characteristics. For trade receivables that do not share similar risk characteristics, the allowance for doubtful accounts is calculated on an individual basis. Risk characteristics relevant to our accounts receivable include balance of customer account and aging status. The allowance for doubtful accounts were $9.2 million and $12.2 million as of September 30, 2023 and December 31, 2022, respectively. See Note 2 to our condensed consolidated financial statements included 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and Other Long-Lived Assets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judgment, estimates and assumptions. Significant estimates and assumptions in valuing acquired intangible assets and liabilities include projected cash flows attributable to the assets or liabilities, asset useful lives and discount rates.</w:t>
      </w:r>
    </w:p>
    <w:p>
      <w:pPr>
        <w:spacing w:after="0" w:line="6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2 to our condensed consolidated financial statements included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 xml:space="preserve">In connection with the Business Combination, we assumed 12,499,993 Public Warrants and 7,000,000 Private Placement Warrants. As of September 30, 2023, 12,499,973 of the Public Warrants and all of the Private Placement Warrants remained outstanding. The warrants are measured at fair value under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September 30, 2023 and December 31, 2022, warrant liability was $2.9 million and $2.1 million, respectively. See Note 5 to our condensed consolidated financial statements included herein.</w:t>
      </w:r>
    </w:p>
    <w:p>
      <w:pPr>
        <w:spacing w:after="0" w:line="1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Executive Chair and Interim Chief Financial Officer, as appropriate to allow timely decisions regarding required disclosure. Our Executive Chair and former Chief Financial Officer evaluated the effectiveness of our disclosure controls and procedures as of December 31, 2022, pursuant to Rule 13a-15(b) under the Exchange Act. Based on the evaluation, and in light of the material weakness in internal controls described below, our Executive Chair and Interim Chief Financial Officer have concluded that as of September 30, 2023, our disclosure controls and procedures were not effective due to the material weakness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previously disclosed in our management’s report on internal control over financial reporting within our Annual Report on Form 10-K for the year ended December 31, 2022, we identified a material weakness in internal control related to ineffective information technology general controls (“ITGCs”) in the areas of user access and program change-management over certain information technology systems that support our financial reporting processes. As a result, our business process automated and manual controls that were dependent on the affected ITGCs were ineffective because they could have been adversely impacted. These control deficiencies were a result of: IT controls lacked sufficient segregation of duties as developers were granted administrative rights; certain users including developers had accessed other users’ accounts; and our controls over logging and monitoring of system configuration and data changes made by these users were not effectively designed to detect erroneous or unauthorized changes. The material weakness did not result in any identified misstatements in our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Management has implemented measures designed to ensure that control deficiencies contributing to the material weakness are remediated, such that these controls are designed, implemented and operating effectively. The remediation actions include: (i) removing the access from certain users to make changes directly in production systems; (ii) removing privileged access to other user accounts; and (iii) enhancing logging and monitoring of privileged user activities such as data updates in production systems. We believe that these actions will remediate the material weakness. The weakness will not be considered remediated, however, until the applicable controls operate for a sufficient period of time and management has concluded, through testing, that these controls are operating effectively. We expect that the remediation of this material weakness will be completed during the end of the year ending December 31, 2023.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Other than the significant changes associated with the material weaknesses and corresponding remediation procedures as described above, there were no changes in our internal control over financial reporting (as such term is defined in Rules 13a-15(f) and 15d-15(f) of the Exchange Act) during the nine months ended September 30, 2023 that has materially affected, or is reasonably likely to materially affect, our internal control over financial reporting.</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set forth under “Commitments and Contingencies—Litigation” in Note 3 of the notes to the condensed consolidated financial statements included in Part I, Item 1 of this Quarterly Report on Form 10-Q is incorporated by reference into this Item 1.</w:t>
      </w:r>
    </w:p>
    <w:p>
      <w:pPr>
        <w:spacing w:after="0" w:line="6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As previously disclosed, in the second quarter of 2022, our board of directors received an internal complaint regarding the calculation, definition and reporting of our monthly active users (“MAUs”) metric. In response, the board of directors formed a special committee (the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Since that date, we have received two subpoenas from the SEC’s Division of Enforcement requesting additional information and documents. In addition, the SEC issued subpoenas to several of our current and former employees seeking their testimony, and their testimony occurred in July and August of 2023. We have been fully cooperating with the SEC’s investigation. Such investigations are inherently uncertain and their results cannot be predicted with certainty, but could result in penalties or other sanctions against the Company, as well as negative publicity and reputational harm. Regardless of the outcome, such proceedings can have an adverse impact on us because of legal costs, diversion of management resources and other factors.</w:t>
      </w:r>
    </w:p>
    <w:p>
      <w:pPr>
        <w:spacing w:after="0" w:line="7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5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Investment in our securities involves risk. An investor or potential investor should consider the risks summarized below and under the caption “Risk Factors” in Part I, Item 1A of our Annual Report on Form 10-K for the year ended December 31, 2022 (our “2022 Form 10-K”) and of Quarterly Report on Form 10-Q for the quarter ended June 30, 2023 (our “Prior 10-Q”) when making investment decisions regarding our securities. We do not believe that there have been any material changes to the risk factors disclosed in our 2022 Form 10-K and Prior 10-Q.</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or incorporated by reference into, this Quarterly Report on Form 10-Q.</w:t>
      </w:r>
    </w:p>
    <w:p>
      <w:pPr>
        <w:sectPr>
          <w:pgSz w:w="11900" w:h="16838" w:orient="portrait"/>
          <w:cols w:equalWidth="0" w:num="1">
            <w:col w:w="11240"/>
          </w:cols>
          <w:pgMar w:left="320" w:top="233" w:right="339" w:bottom="1440" w:gutter="0" w:footer="0" w:header="0"/>
        </w:sectPr>
      </w:pP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 No.</w:t>
      </w:r>
    </w:p>
    <w:p>
      <w:pPr>
        <w:spacing w:after="0" w:line="293" w:lineRule="exact"/>
        <w:rPr>
          <w:sz w:val="20"/>
          <w:szCs w:val="20"/>
          <w:color w:val="auto"/>
        </w:rPr>
      </w:pPr>
    </w:p>
    <w:p>
      <w:pPr>
        <w:ind w:left="20"/>
        <w:spacing w:after="0"/>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3.1</w:t>
        </w:r>
      </w:hyperlink>
    </w:p>
    <w:p>
      <w:pPr>
        <w:spacing w:after="0" w:line="252" w:lineRule="exact"/>
        <w:rPr>
          <w:sz w:val="20"/>
          <w:szCs w:val="20"/>
          <w:color w:val="auto"/>
        </w:rPr>
      </w:pPr>
    </w:p>
    <w:p>
      <w:pPr>
        <w:ind w:left="20"/>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3.2</w:t>
        </w:r>
      </w:hyperlink>
    </w:p>
    <w:p>
      <w:pPr>
        <w:spacing w:after="0" w:line="252" w:lineRule="exact"/>
        <w:rPr>
          <w:sz w:val="20"/>
          <w:szCs w:val="20"/>
          <w:color w:val="auto"/>
        </w:rPr>
      </w:pPr>
    </w:p>
    <w:p>
      <w:pPr>
        <w:ind w:left="20"/>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10.1#</w:t>
        </w:r>
      </w:hyperlink>
    </w:p>
    <w:p>
      <w:pPr>
        <w:spacing w:after="0" w:line="252" w:lineRule="exact"/>
        <w:rPr>
          <w:sz w:val="20"/>
          <w:szCs w:val="20"/>
          <w:color w:val="auto"/>
        </w:rPr>
      </w:pPr>
    </w:p>
    <w:p>
      <w:pPr>
        <w:ind w:left="20"/>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10.2#</w:t>
        </w:r>
      </w:hyperlink>
    </w:p>
    <w:p>
      <w:pPr>
        <w:spacing w:after="0" w:line="252" w:lineRule="exact"/>
        <w:rPr>
          <w:sz w:val="20"/>
          <w:szCs w:val="20"/>
          <w:color w:val="auto"/>
        </w:rPr>
      </w:pPr>
    </w:p>
    <w:p>
      <w:pPr>
        <w:ind w:left="20"/>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10.3#</w:t>
        </w:r>
      </w:hyperlink>
    </w:p>
    <w:p>
      <w:pPr>
        <w:spacing w:after="0" w:line="252" w:lineRule="exact"/>
        <w:rPr>
          <w:sz w:val="20"/>
          <w:szCs w:val="20"/>
          <w:color w:val="auto"/>
        </w:rPr>
      </w:pPr>
    </w:p>
    <w:p>
      <w:pPr>
        <w:ind w:left="20"/>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10.4#</w:t>
        </w:r>
      </w:hyperlink>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10.5#</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17145</wp:posOffset>
            </wp:positionV>
            <wp:extent cx="7132320"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p>
    <w:p>
      <w:pPr>
        <w:ind w:right="20"/>
        <w:spacing w:after="0" w:line="261" w:lineRule="auto"/>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Certificate of Incorporation of the Company, dated June 15, 2021 (incorporated by reference to Exhibit 3.1 to the Current Report on Form</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8-K filed on June 21, 2021).</w:t>
        </w:r>
      </w:hyperlink>
    </w:p>
    <w:p>
      <w:pPr>
        <w:spacing w:after="0" w:line="9" w:lineRule="exact"/>
        <w:rPr>
          <w:sz w:val="20"/>
          <w:szCs w:val="20"/>
          <w:color w:val="auto"/>
        </w:rPr>
      </w:pPr>
    </w:p>
    <w:p>
      <w:pPr>
        <w:ind w:right="20"/>
        <w:spacing w:after="0" w:line="261" w:lineRule="auto"/>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Amended and Restated Bylaws of the Company, dated June 16, 2021 (incorporated by reference to Exhibit 3.2 to the Current report on</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Form 8-K filed on June 21, 2021).</w:t>
        </w:r>
      </w:hyperlink>
    </w:p>
    <w:p>
      <w:pPr>
        <w:spacing w:after="0" w:line="9" w:lineRule="exact"/>
        <w:rPr>
          <w:sz w:val="20"/>
          <w:szCs w:val="20"/>
          <w:color w:val="auto"/>
        </w:rPr>
      </w:pPr>
    </w:p>
    <w:p>
      <w:pPr>
        <w:ind w:right="20"/>
        <w:spacing w:after="0" w:line="281" w:lineRule="auto"/>
        <w:rPr>
          <w:rFonts w:ascii="Arial" w:cs="Arial" w:eastAsia="Arial" w:hAnsi="Arial"/>
          <w:sz w:val="17"/>
          <w:szCs w:val="17"/>
          <w:u w:val="single" w:color="auto"/>
          <w:color w:val="0000FF"/>
        </w:rPr>
      </w:pPr>
      <w:hyperlink r:id="rId87">
        <w:r>
          <w:rPr>
            <w:rFonts w:ascii="Arial" w:cs="Arial" w:eastAsia="Arial" w:hAnsi="Arial"/>
            <w:sz w:val="17"/>
            <w:szCs w:val="17"/>
            <w:u w:val="single" w:color="auto"/>
            <w:color w:val="0000FF"/>
          </w:rPr>
          <w:t>Executive Services Agreement, dated July 16, 2023, by and between SeatonHill Partners, L.P. and WM Technology, Inc. (incorporated</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herein by reference to Exhibit 10.1 to the Current Report on Form 8-K filed by WM Technology, Inc. on July 20,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-289560</wp:posOffset>
            </wp:positionV>
            <wp:extent cx="7132320"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20"/>
        <w:spacing w:after="0" w:line="261" w:lineRule="auto"/>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Employment Agreement, dated August 15, 2023, by and between the Company and Douglas Francis (incorporated herein by reference to</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Exhibit 10.1 to the Current Report on Form 8-K filed on August 15, 2023).</w:t>
        </w:r>
      </w:hyperlink>
    </w:p>
    <w:p>
      <w:pPr>
        <w:spacing w:after="0" w:line="9" w:lineRule="exact"/>
        <w:rPr>
          <w:sz w:val="20"/>
          <w:szCs w:val="20"/>
          <w:color w:val="auto"/>
        </w:rPr>
      </w:pPr>
    </w:p>
    <w:p>
      <w:pPr>
        <w:ind w:right="20"/>
        <w:spacing w:after="0" w:line="261" w:lineRule="auto"/>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Retention Agreement, effective October 2, 2023, by and between the Company and Duncan Grazier (incorporated by reference to Exhibit</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10.1 to the Current report on Form 8-K filed on October 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-284480</wp:posOffset>
            </wp:positionV>
            <wp:extent cx="7132320" cy="291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20"/>
        <w:spacing w:after="0" w:line="261" w:lineRule="auto"/>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Amended and Restated Non-Employee Director Compensation Policy (incorporated by reference to Exhibit 10.1 to the Current report on</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Form 8-K filed on October 6, 2023).</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Separation and Release Agreement, by and between Randa McMinn and WM Technology, Inc, dated October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-130175</wp:posOffset>
            </wp:positionV>
            <wp:extent cx="71323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900" w:space="320"/>
            <w:col w:w="1002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0000FF"/>
                <w:w w:val="92"/>
              </w:rPr>
              <w:t>Certification of the Principal Executive Officer pursuant to Rules 13a-14(a) and 15d-14(a) under the Securities Exchange Act of 1934, as</w:t>
            </w:r>
          </w:p>
        </w:tc>
      </w:tr>
      <w:tr>
        <w:trPr>
          <w:trHeight w:val="183"/>
        </w:trPr>
        <w:tc>
          <w:tcPr>
            <w:tcW w:w="440" w:type="dxa"/>
            <w:vAlign w:val="bottom"/>
            <w:gridSpan w:val="3"/>
          </w:tcPr>
          <w:p>
            <w:pPr>
              <w:ind w:left="20"/>
              <w:spacing w:after="0" w:line="182"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78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510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40" w:type="dxa"/>
            <w:vAlign w:val="bottom"/>
            <w:gridSpan w:val="6"/>
            <w:shd w:val="clear" w:color="auto" w:fill="CCEEFF"/>
          </w:tcPr>
          <w:p>
            <w:pPr>
              <w:spacing w:after="0" w:line="193" w:lineRule="exact"/>
              <w:rPr>
                <w:sz w:val="20"/>
                <w:szCs w:val="20"/>
                <w:color w:val="auto"/>
              </w:rPr>
            </w:pPr>
            <w:r>
              <w:rPr>
                <w:rFonts w:ascii="Arial" w:cs="Arial" w:eastAsia="Arial" w:hAnsi="Arial"/>
                <w:sz w:val="18"/>
                <w:szCs w:val="18"/>
                <w:color w:val="0000FF"/>
                <w:w w:val="93"/>
              </w:rPr>
              <w:t>Certification of the Principal Financial Officer pursuant to Rules 13a-14(a) and 15d-14(a) under the Securities Exchange Act of 1934, as</w:t>
            </w:r>
          </w:p>
        </w:tc>
      </w:tr>
      <w:tr>
        <w:trPr>
          <w:trHeight w:val="235"/>
        </w:trPr>
        <w:tc>
          <w:tcPr>
            <w:tcW w:w="440" w:type="dxa"/>
            <w:vAlign w:val="bottom"/>
            <w:tcBorders>
              <w:top w:val="single" w:sz="8" w:color="CCEEFF"/>
              <w:bottom w:val="single" w:sz="8" w:color="CCEEFF"/>
            </w:tcBorders>
            <w:gridSpan w:val="3"/>
            <w:shd w:val="clear" w:color="auto" w:fill="CCEEFF"/>
          </w:tcPr>
          <w:p>
            <w:pPr>
              <w:ind w:left="20"/>
              <w:spacing w:after="0" w:line="182"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4880" w:type="dxa"/>
            <w:vAlign w:val="bottom"/>
            <w:tcBorders>
              <w:top w:val="single" w:sz="8" w:color="0000FF"/>
              <w:bottom w:val="single" w:sz="8" w:color="0000FF"/>
            </w:tcBorders>
            <w:gridSpan w:val="2"/>
            <w:shd w:val="clear" w:color="auto" w:fill="CCEEFF"/>
          </w:tcPr>
          <w:p>
            <w:pPr>
              <w:spacing w:after="0" w:line="169" w:lineRule="exact"/>
              <w:rPr>
                <w:sz w:val="20"/>
                <w:szCs w:val="20"/>
                <w:color w:val="auto"/>
              </w:rPr>
            </w:pPr>
            <w:r>
              <w:rPr>
                <w:rFonts w:ascii="Arial" w:cs="Arial" w:eastAsia="Arial" w:hAnsi="Arial"/>
                <w:sz w:val="18"/>
                <w:szCs w:val="18"/>
                <w:color w:val="0000FF"/>
                <w:w w:val="89"/>
              </w:rPr>
              <w:t>adopted pursuant to Section 302 of the Sarbanes-Oxley Act of 2002</w:t>
            </w:r>
          </w:p>
        </w:tc>
        <w:tc>
          <w:tcPr>
            <w:tcW w:w="510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0040" w:type="dxa"/>
            <w:vAlign w:val="bottom"/>
            <w:tcBorders>
              <w:top w:val="single" w:sz="8" w:color="CCEEFF"/>
            </w:tcBorders>
            <w:gridSpan w:val="6"/>
          </w:tcPr>
          <w:p>
            <w:pPr>
              <w:spacing w:after="0" w:line="189" w:lineRule="exact"/>
              <w:rPr>
                <w:sz w:val="20"/>
                <w:szCs w:val="20"/>
                <w:color w:val="auto"/>
              </w:rPr>
            </w:pPr>
            <w:r>
              <w:rPr>
                <w:rFonts w:ascii="Arial" w:cs="Arial" w:eastAsia="Arial" w:hAnsi="Arial"/>
                <w:sz w:val="18"/>
                <w:szCs w:val="18"/>
                <w:color w:val="0000FF"/>
                <w:w w:val="93"/>
              </w:rPr>
              <w:t>Certifications of the Principal Executive Officer and Principal Financial Officer pursuant to 18 U.S.C. Section 1350, as adopted pursuant</w:t>
            </w:r>
          </w:p>
        </w:tc>
      </w:tr>
      <w:tr>
        <w:trPr>
          <w:trHeight w:val="183"/>
        </w:trPr>
        <w:tc>
          <w:tcPr>
            <w:tcW w:w="1220" w:type="dxa"/>
            <w:vAlign w:val="bottom"/>
            <w:gridSpan w:val="4"/>
          </w:tcPr>
          <w:p>
            <w:pPr>
              <w:ind w:left="20"/>
              <w:spacing w:after="0" w:line="182"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36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0"/>
              </w:rPr>
              <w:t>to Section 906 of the Sarbanes-Oxley Act of 2002</w:t>
            </w:r>
          </w:p>
        </w:tc>
        <w:tc>
          <w:tcPr>
            <w:tcW w:w="6400" w:type="dxa"/>
            <w:vAlign w:val="bottom"/>
            <w:tcBorders>
              <w:top w:val="single" w:sz="8" w:color="0000FF"/>
              <w:bottom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40" w:type="dxa"/>
            <w:vAlign w:val="bottom"/>
            <w:gridSpan w:val="6"/>
            <w:shd w:val="clear" w:color="auto" w:fill="CCEEFF"/>
          </w:tcPr>
          <w:p>
            <w:pPr>
              <w:spacing w:after="0" w:line="179" w:lineRule="exact"/>
              <w:rPr>
                <w:sz w:val="20"/>
                <w:szCs w:val="20"/>
                <w:color w:val="auto"/>
              </w:rPr>
            </w:pPr>
            <w:r>
              <w:rPr>
                <w:rFonts w:ascii="Arial" w:cs="Arial" w:eastAsia="Arial" w:hAnsi="Arial"/>
                <w:sz w:val="18"/>
                <w:szCs w:val="18"/>
                <w:color w:val="auto"/>
                <w:w w:val="90"/>
              </w:rPr>
              <w:t>Inline XBRL Instance Document (the instance document does not appear in the Interactive Data File because its XBRL tags are embedded</w:t>
            </w:r>
          </w:p>
        </w:tc>
      </w:tr>
      <w:tr>
        <w:trPr>
          <w:trHeight w:val="243"/>
        </w:trPr>
        <w:tc>
          <w:tcPr>
            <w:tcW w:w="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2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Indicates management contract or compensatory plan, contract or agreement.</w:t>
      </w:r>
    </w:p>
    <w:p>
      <w:pPr>
        <w:spacing w:after="0" w:line="50" w:lineRule="exact"/>
        <w:rPr>
          <w:sz w:val="20"/>
          <w:szCs w:val="20"/>
          <w:color w:val="auto"/>
        </w:rPr>
      </w:pPr>
    </w:p>
    <w:p>
      <w:pPr>
        <w:jc w:val="both"/>
        <w:ind w:left="1220" w:right="20" w:hanging="226"/>
        <w:spacing w:after="0" w:line="243" w:lineRule="auto"/>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6260" w:type="dxa"/>
            <w:vAlign w:val="bottom"/>
            <w:gridSpan w:val="4"/>
          </w:tcPr>
          <w:p>
            <w:pPr>
              <w:ind w:left="1680"/>
              <w:spacing w:after="0"/>
              <w:rPr>
                <w:sz w:val="20"/>
                <w:szCs w:val="20"/>
                <w:color w:val="auto"/>
              </w:rPr>
            </w:pPr>
            <w:r>
              <w:rPr>
                <w:rFonts w:ascii="Arial" w:cs="Arial" w:eastAsia="Arial" w:hAnsi="Arial"/>
                <w:sz w:val="18"/>
                <w:szCs w:val="18"/>
                <w:b w:val="1"/>
                <w:bCs w:val="1"/>
                <w:color w:val="auto"/>
              </w:rPr>
              <w:t>WM TECHNOLOGY, INC.</w:t>
            </w:r>
          </w:p>
        </w:tc>
      </w:tr>
      <w:tr>
        <w:trPr>
          <w:trHeight w:val="743"/>
        </w:trPr>
        <w:tc>
          <w:tcPr>
            <w:tcW w:w="3520" w:type="dxa"/>
            <w:vAlign w:val="bottom"/>
          </w:tcPr>
          <w:p>
            <w:pPr>
              <w:spacing w:after="0"/>
              <w:rPr>
                <w:sz w:val="20"/>
                <w:szCs w:val="20"/>
                <w:color w:val="auto"/>
              </w:rPr>
            </w:pPr>
            <w:r>
              <w:rPr>
                <w:rFonts w:ascii="Arial" w:cs="Arial" w:eastAsia="Arial" w:hAnsi="Arial"/>
                <w:sz w:val="18"/>
                <w:szCs w:val="18"/>
                <w:color w:val="auto"/>
              </w:rPr>
              <w:t>Date:  November 8, 2023</w:t>
            </w:r>
          </w:p>
        </w:tc>
        <w:tc>
          <w:tcPr>
            <w:tcW w:w="1960" w:type="dxa"/>
            <w:vAlign w:val="bottom"/>
          </w:tcPr>
          <w:p>
            <w:pPr>
              <w:ind w:left="1680"/>
              <w:spacing w:after="0"/>
              <w:rPr>
                <w:sz w:val="20"/>
                <w:szCs w:val="20"/>
                <w:color w:val="auto"/>
              </w:rPr>
            </w:pPr>
            <w:r>
              <w:rPr>
                <w:rFonts w:ascii="Arial" w:cs="Arial" w:eastAsia="Arial" w:hAnsi="Arial"/>
                <w:sz w:val="18"/>
                <w:szCs w:val="18"/>
                <w:color w:val="auto"/>
                <w:w w:val="99"/>
              </w:rPr>
              <w:t>By:</w:t>
            </w:r>
          </w:p>
        </w:tc>
        <w:tc>
          <w:tcPr>
            <w:tcW w:w="80" w:type="dxa"/>
            <w:vAlign w:val="bottom"/>
          </w:tcPr>
          <w:p>
            <w:pPr>
              <w:spacing w:after="0"/>
              <w:rPr>
                <w:sz w:val="24"/>
                <w:szCs w:val="24"/>
                <w:color w:val="auto"/>
              </w:rPr>
            </w:pPr>
          </w:p>
        </w:tc>
        <w:tc>
          <w:tcPr>
            <w:tcW w:w="4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Douglas Francis</w:t>
            </w:r>
          </w:p>
        </w:tc>
      </w:tr>
      <w:tr>
        <w:trPr>
          <w:trHeight w:val="222"/>
        </w:trPr>
        <w:tc>
          <w:tcPr>
            <w:tcW w:w="3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Name:</w:t>
            </w:r>
          </w:p>
        </w:tc>
        <w:tc>
          <w:tcPr>
            <w:tcW w:w="3640" w:type="dxa"/>
            <w:vAlign w:val="bottom"/>
          </w:tcPr>
          <w:p>
            <w:pPr>
              <w:ind w:left="60"/>
              <w:spacing w:after="0"/>
              <w:rPr>
                <w:sz w:val="20"/>
                <w:szCs w:val="20"/>
                <w:color w:val="auto"/>
              </w:rPr>
            </w:pPr>
            <w:r>
              <w:rPr>
                <w:rFonts w:ascii="Arial" w:cs="Arial" w:eastAsia="Arial" w:hAnsi="Arial"/>
                <w:sz w:val="18"/>
                <w:szCs w:val="18"/>
                <w:color w:val="auto"/>
              </w:rPr>
              <w:t>Douglas Francis</w:t>
            </w:r>
          </w:p>
        </w:tc>
      </w:tr>
      <w:tr>
        <w:trPr>
          <w:trHeight w:val="230"/>
        </w:trPr>
        <w:tc>
          <w:tcPr>
            <w:tcW w:w="3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3640" w:type="dxa"/>
            <w:vAlign w:val="bottom"/>
          </w:tcPr>
          <w:p>
            <w:pPr>
              <w:ind w:left="60"/>
              <w:spacing w:after="0"/>
              <w:rPr>
                <w:sz w:val="20"/>
                <w:szCs w:val="20"/>
                <w:color w:val="auto"/>
              </w:rPr>
            </w:pPr>
            <w:r>
              <w:rPr>
                <w:rFonts w:ascii="Arial" w:cs="Arial" w:eastAsia="Arial" w:hAnsi="Arial"/>
                <w:sz w:val="18"/>
                <w:szCs w:val="18"/>
                <w:color w:val="auto"/>
              </w:rPr>
              <w:t>Executive Chair</w:t>
            </w:r>
          </w:p>
        </w:tc>
      </w:tr>
      <w:tr>
        <w:trPr>
          <w:trHeight w:val="230"/>
        </w:trPr>
        <w:tc>
          <w:tcPr>
            <w:tcW w:w="3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r>
      <w:tr>
        <w:trPr>
          <w:trHeight w:val="594"/>
        </w:trPr>
        <w:tc>
          <w:tcPr>
            <w:tcW w:w="3520" w:type="dxa"/>
            <w:vAlign w:val="bottom"/>
          </w:tcPr>
          <w:p>
            <w:pPr>
              <w:spacing w:after="0"/>
              <w:rPr>
                <w:sz w:val="20"/>
                <w:szCs w:val="20"/>
                <w:color w:val="auto"/>
              </w:rPr>
            </w:pPr>
            <w:r>
              <w:rPr>
                <w:rFonts w:ascii="Arial" w:cs="Arial" w:eastAsia="Arial" w:hAnsi="Arial"/>
                <w:sz w:val="18"/>
                <w:szCs w:val="18"/>
                <w:color w:val="auto"/>
              </w:rPr>
              <w:t>Date:  November 8, 2023</w:t>
            </w:r>
          </w:p>
        </w:tc>
        <w:tc>
          <w:tcPr>
            <w:tcW w:w="1960" w:type="dxa"/>
            <w:vAlign w:val="bottom"/>
          </w:tcPr>
          <w:p>
            <w:pPr>
              <w:ind w:left="1680"/>
              <w:spacing w:after="0"/>
              <w:rPr>
                <w:sz w:val="20"/>
                <w:szCs w:val="20"/>
                <w:color w:val="auto"/>
              </w:rPr>
            </w:pPr>
            <w:r>
              <w:rPr>
                <w:rFonts w:ascii="Arial" w:cs="Arial" w:eastAsia="Arial" w:hAnsi="Arial"/>
                <w:sz w:val="18"/>
                <w:szCs w:val="18"/>
                <w:color w:val="auto"/>
                <w:w w:val="99"/>
              </w:rPr>
              <w:t>By:</w:t>
            </w:r>
          </w:p>
        </w:tc>
        <w:tc>
          <w:tcPr>
            <w:tcW w:w="80" w:type="dxa"/>
            <w:vAlign w:val="bottom"/>
          </w:tcPr>
          <w:p>
            <w:pPr>
              <w:spacing w:after="0"/>
              <w:rPr>
                <w:sz w:val="24"/>
                <w:szCs w:val="24"/>
                <w:color w:val="auto"/>
              </w:rPr>
            </w:pPr>
          </w:p>
        </w:tc>
        <w:tc>
          <w:tcPr>
            <w:tcW w:w="4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Mary Hoitt</w:t>
            </w:r>
          </w:p>
        </w:tc>
      </w:tr>
      <w:tr>
        <w:trPr>
          <w:trHeight w:val="222"/>
        </w:trPr>
        <w:tc>
          <w:tcPr>
            <w:tcW w:w="3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Name:</w:t>
            </w:r>
          </w:p>
        </w:tc>
        <w:tc>
          <w:tcPr>
            <w:tcW w:w="3640" w:type="dxa"/>
            <w:vAlign w:val="bottom"/>
          </w:tcPr>
          <w:p>
            <w:pPr>
              <w:ind w:left="60"/>
              <w:spacing w:after="0"/>
              <w:rPr>
                <w:sz w:val="20"/>
                <w:szCs w:val="20"/>
                <w:color w:val="auto"/>
              </w:rPr>
            </w:pPr>
            <w:r>
              <w:rPr>
                <w:rFonts w:ascii="Arial" w:cs="Arial" w:eastAsia="Arial" w:hAnsi="Arial"/>
                <w:sz w:val="18"/>
                <w:szCs w:val="18"/>
                <w:color w:val="auto"/>
              </w:rPr>
              <w:t>Mary Hoitt</w:t>
            </w:r>
          </w:p>
        </w:tc>
      </w:tr>
      <w:tr>
        <w:trPr>
          <w:trHeight w:val="230"/>
        </w:trPr>
        <w:tc>
          <w:tcPr>
            <w:tcW w:w="3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3640" w:type="dxa"/>
            <w:vAlign w:val="bottom"/>
          </w:tcPr>
          <w:p>
            <w:pPr>
              <w:ind w:left="60"/>
              <w:spacing w:after="0"/>
              <w:rPr>
                <w:sz w:val="20"/>
                <w:szCs w:val="20"/>
                <w:color w:val="auto"/>
              </w:rPr>
            </w:pPr>
            <w:r>
              <w:rPr>
                <w:rFonts w:ascii="Arial" w:cs="Arial" w:eastAsia="Arial" w:hAnsi="Arial"/>
                <w:sz w:val="18"/>
                <w:szCs w:val="18"/>
                <w:color w:val="auto"/>
              </w:rPr>
              <w:t>Interim Chief Financial Officer</w:t>
            </w:r>
          </w:p>
        </w:tc>
      </w:tr>
      <w:tr>
        <w:trPr>
          <w:trHeight w:val="176"/>
        </w:trPr>
        <w:tc>
          <w:tcPr>
            <w:tcW w:w="35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40" w:type="dxa"/>
            <w:vAlign w:val="bottom"/>
          </w:tcPr>
          <w:p>
            <w:pPr>
              <w:ind w:left="60"/>
              <w:spacing w:after="0" w:line="176" w:lineRule="exact"/>
              <w:rPr>
                <w:sz w:val="20"/>
                <w:szCs w:val="20"/>
                <w:color w:val="auto"/>
              </w:rPr>
            </w:pPr>
            <w:r>
              <w:rPr>
                <w:rFonts w:ascii="Arial" w:cs="Arial" w:eastAsia="Arial" w:hAnsi="Arial"/>
                <w:sz w:val="18"/>
                <w:szCs w:val="18"/>
                <w:i w:val="1"/>
                <w:iCs w:val="1"/>
                <w:color w:val="auto"/>
              </w:rPr>
              <w:t>(Principal Financial Officer and Principal</w:t>
            </w:r>
          </w:p>
        </w:tc>
      </w:tr>
      <w:tr>
        <w:trPr>
          <w:trHeight w:val="230"/>
        </w:trPr>
        <w:tc>
          <w:tcPr>
            <w:tcW w:w="3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tcPr>
          <w:p>
            <w:pPr>
              <w:ind w:left="60"/>
              <w:spacing w:after="0"/>
              <w:rPr>
                <w:sz w:val="20"/>
                <w:szCs w:val="20"/>
                <w:color w:val="auto"/>
              </w:rPr>
            </w:pPr>
            <w:r>
              <w:rPr>
                <w:rFonts w:ascii="Arial" w:cs="Arial" w:eastAsia="Arial" w:hAnsi="Arial"/>
                <w:sz w:val="18"/>
                <w:szCs w:val="18"/>
                <w:i w:val="1"/>
                <w:iCs w:val="1"/>
                <w:color w:val="auto"/>
              </w:rPr>
              <w:t>Accounting Officer)</w:t>
            </w:r>
          </w:p>
        </w:tc>
      </w:tr>
      <w:tr>
        <w:trPr>
          <w:trHeight w:val="917"/>
        </w:trPr>
        <w:tc>
          <w:tcPr>
            <w:tcW w:w="3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w w:val="99"/>
              </w:rPr>
              <w:t>48</w:t>
            </w:r>
          </w:p>
        </w:tc>
        <w:tc>
          <w:tcPr>
            <w:tcW w:w="3640" w:type="dxa"/>
            <w:vAlign w:val="bottom"/>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SEPARATION AND RELEASE </w:t>
      </w:r>
      <w:r>
        <w:rPr>
          <w:rFonts w:ascii="Arial" w:cs="Arial" w:eastAsia="Arial" w:hAnsi="Arial"/>
          <w:sz w:val="21"/>
          <w:szCs w:val="21"/>
          <w:b w:val="1"/>
          <w:bCs w:val="1"/>
          <w:color w:val="auto"/>
        </w:rPr>
        <w:t>AGREEMENT</w:t>
      </w:r>
    </w:p>
    <w:p>
      <w:pPr>
        <w:spacing w:after="0" w:line="251" w:lineRule="exact"/>
        <w:rPr>
          <w:sz w:val="20"/>
          <w:szCs w:val="20"/>
          <w:color w:val="auto"/>
        </w:rPr>
      </w:pPr>
    </w:p>
    <w:p>
      <w:pPr>
        <w:jc w:val="both"/>
        <w:ind w:firstLine="522"/>
        <w:spacing w:after="0" w:line="244" w:lineRule="auto"/>
        <w:rPr>
          <w:sz w:val="20"/>
          <w:szCs w:val="20"/>
          <w:color w:val="auto"/>
        </w:rPr>
      </w:pPr>
      <w:r>
        <w:rPr>
          <w:rFonts w:ascii="Arial" w:cs="Arial" w:eastAsia="Arial" w:hAnsi="Arial"/>
          <w:sz w:val="20"/>
          <w:szCs w:val="20"/>
          <w:color w:val="auto"/>
        </w:rPr>
        <w:t>THIS SEPARATION AND RELEASE AGREEMENT (“</w:t>
      </w:r>
      <w:r>
        <w:rPr>
          <w:rFonts w:ascii="Arial" w:cs="Arial" w:eastAsia="Arial" w:hAnsi="Arial"/>
          <w:sz w:val="21"/>
          <w:szCs w:val="21"/>
          <w:b w:val="1"/>
          <w:bCs w:val="1"/>
          <w:i w:val="1"/>
          <w:iCs w:val="1"/>
          <w:color w:val="auto"/>
        </w:rPr>
        <w:t>Agreement</w:t>
      </w:r>
      <w:r>
        <w:rPr>
          <w:rFonts w:ascii="Arial" w:cs="Arial" w:eastAsia="Arial" w:hAnsi="Arial"/>
          <w:sz w:val="20"/>
          <w:szCs w:val="20"/>
          <w:color w:val="auto"/>
        </w:rPr>
        <w:t xml:space="preserve">”) is made and entered into effective October </w:t>
      </w:r>
      <w:r>
        <w:rPr>
          <w:rFonts w:ascii="Arial" w:cs="Arial" w:eastAsia="Arial" w:hAnsi="Arial"/>
          <w:sz w:val="17"/>
          <w:szCs w:val="17"/>
          <w:u w:val="single" w:color="auto"/>
          <w:color w:val="auto"/>
        </w:rPr>
        <w:t>18</w:t>
      </w:r>
      <w:r>
        <w:rPr>
          <w:rFonts w:ascii="Arial" w:cs="Arial" w:eastAsia="Arial" w:hAnsi="Arial"/>
          <w:sz w:val="20"/>
          <w:szCs w:val="20"/>
          <w:color w:val="auto"/>
        </w:rPr>
        <w:t xml:space="preserve"> , 2023 (the “</w:t>
      </w:r>
      <w:r>
        <w:rPr>
          <w:rFonts w:ascii="Arial" w:cs="Arial" w:eastAsia="Arial" w:hAnsi="Arial"/>
          <w:sz w:val="21"/>
          <w:szCs w:val="21"/>
          <w:b w:val="1"/>
          <w:bCs w:val="1"/>
          <w:i w:val="1"/>
          <w:iCs w:val="1"/>
          <w:color w:val="auto"/>
        </w:rPr>
        <w:t>Effective Date</w:t>
      </w:r>
      <w:r>
        <w:rPr>
          <w:rFonts w:ascii="Arial" w:cs="Arial" w:eastAsia="Arial" w:hAnsi="Arial"/>
          <w:sz w:val="20"/>
          <w:szCs w:val="20"/>
          <w:color w:val="auto"/>
        </w:rPr>
        <w:t>”), between Ghost Management Group, LLC, a Delaware limited liability company, and its owners, officers, directors, shareholders, employees, agents, assigns, representatives, affiliates, parents, subsidiaries and successors in interest (collectively, the “</w:t>
      </w:r>
      <w:r>
        <w:rPr>
          <w:rFonts w:ascii="Arial" w:cs="Arial" w:eastAsia="Arial" w:hAnsi="Arial"/>
          <w:sz w:val="21"/>
          <w:szCs w:val="21"/>
          <w:b w:val="1"/>
          <w:bCs w:val="1"/>
          <w:i w:val="1"/>
          <w:iCs w:val="1"/>
          <w:color w:val="auto"/>
        </w:rPr>
        <w:t>Company</w:t>
      </w:r>
      <w:r>
        <w:rPr>
          <w:rFonts w:ascii="Arial" w:cs="Arial" w:eastAsia="Arial" w:hAnsi="Arial"/>
          <w:sz w:val="20"/>
          <w:szCs w:val="20"/>
          <w:color w:val="auto"/>
        </w:rPr>
        <w:t>”), on the one hand, and Randa Dawnelle McMinn, an individual (“</w:t>
      </w:r>
      <w:r>
        <w:rPr>
          <w:rFonts w:ascii="Arial" w:cs="Arial" w:eastAsia="Arial" w:hAnsi="Arial"/>
          <w:sz w:val="21"/>
          <w:szCs w:val="21"/>
          <w:b w:val="1"/>
          <w:bCs w:val="1"/>
          <w:i w:val="1"/>
          <w:iCs w:val="1"/>
          <w:color w:val="auto"/>
        </w:rPr>
        <w:t>Employee</w:t>
      </w:r>
      <w:r>
        <w:rPr>
          <w:rFonts w:ascii="Arial" w:cs="Arial" w:eastAsia="Arial" w:hAnsi="Arial"/>
          <w:sz w:val="20"/>
          <w:szCs w:val="20"/>
          <w:color w:val="auto"/>
        </w:rPr>
        <w:t>”), on the other hand. Each of the Company and Employee may be referred to individually as a “</w:t>
      </w:r>
      <w:r>
        <w:rPr>
          <w:rFonts w:ascii="Arial" w:cs="Arial" w:eastAsia="Arial" w:hAnsi="Arial"/>
          <w:sz w:val="21"/>
          <w:szCs w:val="21"/>
          <w:b w:val="1"/>
          <w:bCs w:val="1"/>
          <w:i w:val="1"/>
          <w:iCs w:val="1"/>
          <w:color w:val="auto"/>
        </w:rPr>
        <w:t>Party</w:t>
      </w:r>
      <w:r>
        <w:rPr>
          <w:rFonts w:ascii="Arial" w:cs="Arial" w:eastAsia="Arial" w:hAnsi="Arial"/>
          <w:sz w:val="20"/>
          <w:szCs w:val="20"/>
          <w:color w:val="auto"/>
        </w:rPr>
        <w:t>” and collectively as the “</w:t>
      </w:r>
      <w:r>
        <w:rPr>
          <w:rFonts w:ascii="Arial" w:cs="Arial" w:eastAsia="Arial" w:hAnsi="Arial"/>
          <w:sz w:val="21"/>
          <w:szCs w:val="21"/>
          <w:b w:val="1"/>
          <w:bCs w:val="1"/>
          <w:i w:val="1"/>
          <w:iCs w:val="1"/>
          <w:color w:val="auto"/>
        </w:rPr>
        <w:t>Parties</w:t>
      </w:r>
      <w:r>
        <w:rPr>
          <w:rFonts w:ascii="Arial" w:cs="Arial" w:eastAsia="Arial" w:hAnsi="Arial"/>
          <w:sz w:val="20"/>
          <w:szCs w:val="20"/>
          <w:color w:val="auto"/>
        </w:rPr>
        <w:t>.”</w:t>
      </w:r>
    </w:p>
    <w:p>
      <w:pPr>
        <w:spacing w:after="0" w:line="4" w:lineRule="exact"/>
        <w:rPr>
          <w:sz w:val="20"/>
          <w:szCs w:val="20"/>
          <w:color w:val="auto"/>
        </w:rPr>
      </w:pPr>
    </w:p>
    <w:p>
      <w:pPr>
        <w:ind w:left="6600"/>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522"/>
        <w:spacing w:after="0"/>
        <w:rPr>
          <w:sz w:val="20"/>
          <w:szCs w:val="20"/>
          <w:color w:val="auto"/>
        </w:rPr>
      </w:pPr>
      <w:r>
        <w:rPr>
          <w:rFonts w:ascii="Arial" w:cs="Arial" w:eastAsia="Arial" w:hAnsi="Arial"/>
          <w:sz w:val="20"/>
          <w:szCs w:val="20"/>
          <w:color w:val="auto"/>
        </w:rPr>
        <w:t>WHEREAS, Employee was an at-will employee of the Company, whose employment concluded on September 21, 2023 (the “</w:t>
      </w:r>
      <w:r>
        <w:rPr>
          <w:rFonts w:ascii="Arial" w:cs="Arial" w:eastAsia="Arial" w:hAnsi="Arial"/>
          <w:sz w:val="21"/>
          <w:szCs w:val="21"/>
          <w:b w:val="1"/>
          <w:bCs w:val="1"/>
          <w:i w:val="1"/>
          <w:iCs w:val="1"/>
          <w:color w:val="auto"/>
        </w:rPr>
        <w:t>Separation Date</w:t>
      </w:r>
      <w:r>
        <w:rPr>
          <w:rFonts w:ascii="Arial" w:cs="Arial" w:eastAsia="Arial" w:hAnsi="Arial"/>
          <w:sz w:val="20"/>
          <w:szCs w:val="20"/>
          <w:color w:val="auto"/>
        </w:rPr>
        <w:t>”).</w:t>
      </w:r>
    </w:p>
    <w:p>
      <w:pPr>
        <w:spacing w:after="0" w:line="217" w:lineRule="exact"/>
        <w:rPr>
          <w:sz w:val="20"/>
          <w:szCs w:val="20"/>
          <w:color w:val="auto"/>
        </w:rPr>
      </w:pPr>
    </w:p>
    <w:p>
      <w:pPr>
        <w:jc w:val="both"/>
        <w:ind w:firstLine="522"/>
        <w:spacing w:after="0" w:line="260" w:lineRule="auto"/>
        <w:rPr>
          <w:sz w:val="20"/>
          <w:szCs w:val="20"/>
          <w:color w:val="auto"/>
        </w:rPr>
      </w:pPr>
      <w:r>
        <w:rPr>
          <w:rFonts w:ascii="Arial" w:cs="Arial" w:eastAsia="Arial" w:hAnsi="Arial"/>
          <w:sz w:val="20"/>
          <w:szCs w:val="20"/>
          <w:color w:val="auto"/>
        </w:rPr>
        <w:t>WHEREAS, the Company and Employee wish to effectuate a release of any and all claims that Employee holds against the Company and to resolve all controversies and disputes as hereinafter set forth.</w:t>
      </w:r>
    </w:p>
    <w:p>
      <w:pPr>
        <w:spacing w:after="0" w:line="190" w:lineRule="exact"/>
        <w:rPr>
          <w:sz w:val="20"/>
          <w:szCs w:val="20"/>
          <w:color w:val="auto"/>
        </w:rPr>
      </w:pPr>
    </w:p>
    <w:p>
      <w:pPr>
        <w:jc w:val="both"/>
        <w:ind w:firstLine="522"/>
        <w:spacing w:after="0" w:line="229" w:lineRule="auto"/>
        <w:rPr>
          <w:sz w:val="20"/>
          <w:szCs w:val="20"/>
          <w:color w:val="auto"/>
        </w:rPr>
      </w:pPr>
      <w:r>
        <w:rPr>
          <w:rFonts w:ascii="Arial" w:cs="Arial" w:eastAsia="Arial" w:hAnsi="Arial"/>
          <w:sz w:val="20"/>
          <w:szCs w:val="20"/>
          <w:color w:val="auto"/>
        </w:rPr>
        <w:t>NOW, THEREFORE, in consideration of the Recitals, covenants and representations contained in this Agreement, and for other good and valuable consideration, the receipt and sufficiency of which is acknowledged, the Parties agree as follows:</w:t>
      </w:r>
    </w:p>
    <w:p>
      <w:pPr>
        <w:spacing w:after="0" w:line="199" w:lineRule="exact"/>
        <w:rPr>
          <w:sz w:val="20"/>
          <w:szCs w:val="20"/>
          <w:color w:val="auto"/>
        </w:rPr>
      </w:pPr>
    </w:p>
    <w:p>
      <w:pPr>
        <w:ind w:left="6460"/>
        <w:spacing w:after="0"/>
        <w:rPr>
          <w:sz w:val="20"/>
          <w:szCs w:val="20"/>
          <w:color w:val="auto"/>
        </w:rPr>
      </w:pPr>
      <w:r>
        <w:rPr>
          <w:rFonts w:ascii="Arial" w:cs="Arial" w:eastAsia="Arial" w:hAnsi="Arial"/>
          <w:sz w:val="22"/>
          <w:szCs w:val="22"/>
          <w:b w:val="1"/>
          <w:bCs w:val="1"/>
          <w:color w:val="auto"/>
        </w:rPr>
        <w:t>Agreement</w:t>
      </w:r>
    </w:p>
    <w:p>
      <w:pPr>
        <w:spacing w:after="0" w:line="233" w:lineRule="exact"/>
        <w:rPr>
          <w:sz w:val="20"/>
          <w:szCs w:val="20"/>
          <w:color w:val="auto"/>
        </w:rPr>
      </w:pPr>
    </w:p>
    <w:p>
      <w:pPr>
        <w:jc w:val="both"/>
        <w:ind w:left="660" w:hanging="328"/>
        <w:spacing w:after="0" w:line="254" w:lineRule="auto"/>
        <w:tabs>
          <w:tab w:leader="none" w:pos="649" w:val="left"/>
        </w:tabs>
        <w:numPr>
          <w:ilvl w:val="0"/>
          <w:numId w:val="20"/>
        </w:numPr>
        <w:rPr>
          <w:rFonts w:ascii="Arial" w:cs="Arial" w:eastAsia="Arial" w:hAnsi="Arial"/>
          <w:sz w:val="20"/>
          <w:szCs w:val="20"/>
          <w:color w:val="auto"/>
        </w:rPr>
      </w:pPr>
      <w:r>
        <w:rPr>
          <w:rFonts w:ascii="Arial" w:cs="Arial" w:eastAsia="Arial" w:hAnsi="Arial"/>
          <w:sz w:val="22"/>
          <w:szCs w:val="22"/>
          <w:b w:val="1"/>
          <w:bCs w:val="1"/>
          <w:color w:val="auto"/>
        </w:rPr>
        <w:t>Termination of Employment</w:t>
      </w:r>
      <w:r>
        <w:rPr>
          <w:rFonts w:ascii="Arial" w:cs="Arial" w:eastAsia="Arial" w:hAnsi="Arial"/>
          <w:sz w:val="19"/>
          <w:szCs w:val="19"/>
          <w:color w:val="auto"/>
        </w:rPr>
        <w:t>. Employee’s employment with the Company in any and all capacities concluded as of the</w:t>
      </w:r>
      <w:r>
        <w:rPr>
          <w:rFonts w:ascii="Arial" w:cs="Arial" w:eastAsia="Arial" w:hAnsi="Arial"/>
          <w:sz w:val="22"/>
          <w:szCs w:val="22"/>
          <w:b w:val="1"/>
          <w:bCs w:val="1"/>
          <w:color w:val="auto"/>
        </w:rPr>
        <w:t xml:space="preserve"> </w:t>
      </w:r>
      <w:r>
        <w:rPr>
          <w:rFonts w:ascii="Arial" w:cs="Arial" w:eastAsia="Arial" w:hAnsi="Arial"/>
          <w:sz w:val="19"/>
          <w:szCs w:val="19"/>
          <w:color w:val="auto"/>
        </w:rPr>
        <w:t>Separation Date. Employee acknowledges that Employee has received all wages, benefits and other amounts due up to and including the Separation Date, including without limitation any and all wages, compensation, vacation, sick leave, overtime, commissions, options, bonuses, profit sharing, benefits, insurance, or any other form of payment. Employee acknowledges that payment of Employee’s final wages, including vacation pay, was not conditioned on Employee signing this Agreement.</w:t>
      </w:r>
    </w:p>
    <w:p>
      <w:pPr>
        <w:spacing w:after="0" w:line="202" w:lineRule="exact"/>
        <w:rPr>
          <w:sz w:val="20"/>
          <w:szCs w:val="20"/>
          <w:color w:val="auto"/>
        </w:rPr>
      </w:pPr>
    </w:p>
    <w:p>
      <w:pPr>
        <w:jc w:val="both"/>
        <w:ind w:left="660" w:hanging="328"/>
        <w:spacing w:after="0" w:line="249" w:lineRule="auto"/>
        <w:tabs>
          <w:tab w:leader="none" w:pos="649" w:val="left"/>
        </w:tabs>
        <w:numPr>
          <w:ilvl w:val="0"/>
          <w:numId w:val="21"/>
        </w:numPr>
        <w:rPr>
          <w:rFonts w:ascii="Arial" w:cs="Arial" w:eastAsia="Arial" w:hAnsi="Arial"/>
          <w:sz w:val="20"/>
          <w:szCs w:val="20"/>
          <w:color w:val="auto"/>
        </w:rPr>
      </w:pPr>
      <w:r>
        <w:rPr>
          <w:rFonts w:ascii="Arial" w:cs="Arial" w:eastAsia="Arial" w:hAnsi="Arial"/>
          <w:sz w:val="22"/>
          <w:szCs w:val="22"/>
          <w:b w:val="1"/>
          <w:bCs w:val="1"/>
          <w:color w:val="auto"/>
        </w:rPr>
        <w:t>Severance Payments</w:t>
      </w:r>
      <w:r>
        <w:rPr>
          <w:rFonts w:ascii="Arial" w:cs="Arial" w:eastAsia="Arial" w:hAnsi="Arial"/>
          <w:sz w:val="19"/>
          <w:szCs w:val="19"/>
          <w:color w:val="auto"/>
        </w:rPr>
        <w:t>. The Company hereby agrees to make the Severance Payment (as defined below) to Employee in accordance</w:t>
      </w:r>
      <w:r>
        <w:rPr>
          <w:rFonts w:ascii="Arial" w:cs="Arial" w:eastAsia="Arial" w:hAnsi="Arial"/>
          <w:sz w:val="22"/>
          <w:szCs w:val="22"/>
          <w:b w:val="1"/>
          <w:bCs w:val="1"/>
          <w:color w:val="auto"/>
        </w:rPr>
        <w:t xml:space="preserve"> </w:t>
      </w:r>
      <w:r>
        <w:rPr>
          <w:rFonts w:ascii="Arial" w:cs="Arial" w:eastAsia="Arial" w:hAnsi="Arial"/>
          <w:sz w:val="19"/>
          <w:szCs w:val="19"/>
          <w:color w:val="auto"/>
        </w:rPr>
        <w:t>with the terms of this Agreement. Employee agrees and acknowledges that, except as set forth in this Agreement, and the RSU Award Agreement (as defined below), Employee will not be entitled to any other compensation, severance, bonus, incentive fee, incentive allocation, management fee or any other payment or benefit or any equity grant whatsoever in nature from the Company or any of the affiliated companies (collectively, the “</w:t>
      </w:r>
      <w:r>
        <w:rPr>
          <w:rFonts w:ascii="Arial" w:cs="Arial" w:eastAsia="Arial" w:hAnsi="Arial"/>
          <w:sz w:val="21"/>
          <w:szCs w:val="21"/>
          <w:b w:val="1"/>
          <w:bCs w:val="1"/>
          <w:i w:val="1"/>
          <w:iCs w:val="1"/>
          <w:color w:val="auto"/>
        </w:rPr>
        <w:t>Company Entities</w:t>
      </w:r>
      <w:r>
        <w:rPr>
          <w:rFonts w:ascii="Arial" w:cs="Arial" w:eastAsia="Arial" w:hAnsi="Arial"/>
          <w:sz w:val="19"/>
          <w:szCs w:val="19"/>
          <w:color w:val="auto"/>
        </w:rPr>
        <w:t xml:space="preserve">”), including from (a) the Participation Agreement (as defined below), (b) the Offer of Employment dated November 2, 2022, </w:t>
      </w:r>
      <w:r>
        <w:rPr>
          <w:rFonts w:ascii="Arial" w:cs="Arial" w:eastAsia="Arial" w:hAnsi="Arial"/>
          <w:sz w:val="21"/>
          <w:szCs w:val="21"/>
          <w:color w:val="auto"/>
        </w:rPr>
        <w:t>or</w:t>
      </w:r>
    </w:p>
    <w:p>
      <w:pPr>
        <w:spacing w:after="0" w:line="2" w:lineRule="exact"/>
        <w:rPr>
          <w:rFonts w:ascii="Arial" w:cs="Arial" w:eastAsia="Arial" w:hAnsi="Arial"/>
          <w:sz w:val="20"/>
          <w:szCs w:val="20"/>
          <w:color w:val="auto"/>
        </w:rPr>
      </w:pPr>
    </w:p>
    <w:p>
      <w:pPr>
        <w:jc w:val="both"/>
        <w:ind w:firstLine="530"/>
        <w:spacing w:after="0" w:line="265" w:lineRule="auto"/>
        <w:tabs>
          <w:tab w:leader="none" w:pos="836" w:val="left"/>
        </w:tabs>
        <w:numPr>
          <w:ilvl w:val="1"/>
          <w:numId w:val="21"/>
        </w:numPr>
        <w:rPr>
          <w:rFonts w:ascii="Arial" w:cs="Arial" w:eastAsia="Arial" w:hAnsi="Arial"/>
          <w:sz w:val="19"/>
          <w:szCs w:val="19"/>
          <w:color w:val="auto"/>
        </w:rPr>
      </w:pPr>
      <w:r>
        <w:rPr>
          <w:rFonts w:ascii="Arial" w:cs="Arial" w:eastAsia="Arial" w:hAnsi="Arial"/>
          <w:sz w:val="19"/>
          <w:szCs w:val="19"/>
          <w:color w:val="auto"/>
        </w:rPr>
        <w:t>any established and/or existing company or executive bonus programs. Without limiting the foregoing and notwithstanding anything in any employment offer letter or equity award agreement, in each case, between Employee, on the one hand, and the Company or WM Holding Company, LLC, a Delaware limited liability company (“</w:t>
      </w:r>
      <w:r>
        <w:rPr>
          <w:rFonts w:ascii="Arial" w:cs="Arial" w:eastAsia="Arial" w:hAnsi="Arial"/>
          <w:sz w:val="20"/>
          <w:szCs w:val="20"/>
          <w:b w:val="1"/>
          <w:bCs w:val="1"/>
          <w:i w:val="1"/>
          <w:iCs w:val="1"/>
          <w:color w:val="auto"/>
        </w:rPr>
        <w:t>WM Holding</w:t>
      </w:r>
      <w:r>
        <w:rPr>
          <w:rFonts w:ascii="Arial" w:cs="Arial" w:eastAsia="Arial" w:hAnsi="Arial"/>
          <w:sz w:val="19"/>
          <w:szCs w:val="19"/>
          <w:color w:val="auto"/>
        </w:rPr>
        <w:t>”), WM Technology, Inc., a Delaware corporation (“</w:t>
      </w:r>
      <w:r>
        <w:rPr>
          <w:rFonts w:ascii="Arial" w:cs="Arial" w:eastAsia="Arial" w:hAnsi="Arial"/>
          <w:sz w:val="20"/>
          <w:szCs w:val="20"/>
          <w:b w:val="1"/>
          <w:bCs w:val="1"/>
          <w:i w:val="1"/>
          <w:iCs w:val="1"/>
          <w:color w:val="auto"/>
        </w:rPr>
        <w:t>WM Tech</w:t>
      </w:r>
      <w:r>
        <w:rPr>
          <w:rFonts w:ascii="Arial" w:cs="Arial" w:eastAsia="Arial" w:hAnsi="Arial"/>
          <w:sz w:val="19"/>
          <w:szCs w:val="19"/>
          <w:color w:val="auto"/>
        </w:rPr>
        <w:t>”), or any other Company Entity, on the other hand, Employee acknowledges and agrees that (i) except as set forth in the last paragraph of Section 4 below, Employee has no right to any units, securities, equity, profits interests or other ownership interests with respect to any of the Company Entities (including, without limitation, the Company and WM Holding), and (ii) Employee has no right (contractual or otherwise) to acquire any units, securities, equity, profits interests or other ownership</w:t>
      </w:r>
    </w:p>
    <w:p>
      <w:pPr>
        <w:sectPr>
          <w:pgSz w:w="11900" w:h="16838" w:orient="portrait"/>
          <w:cols w:equalWidth="0" w:num="1">
            <w:col w:w="11240"/>
          </w:cols>
          <w:pgMar w:left="320" w:top="364" w:right="339" w:bottom="1440" w:gutter="0" w:footer="0" w:header="0"/>
        </w:sectPr>
      </w:pPr>
    </w:p>
    <w:bookmarkStart w:id="51" w:name="page52"/>
    <w:bookmarkEnd w:id="51"/>
    <w:p>
      <w:pPr>
        <w:ind w:left="10040"/>
        <w:spacing w:after="0"/>
        <w:rPr>
          <w:sz w:val="20"/>
          <w:szCs w:val="20"/>
          <w:color w:val="auto"/>
        </w:rPr>
      </w:pPr>
      <w:r>
        <w:rPr>
          <w:rFonts w:ascii="Arial" w:cs="Arial" w:eastAsia="Arial" w:hAnsi="Arial"/>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interests with respect to any of the Company Entities (including, without limitation, the Company and WM Holding).</w:t>
      </w:r>
    </w:p>
    <w:p>
      <w:pPr>
        <w:spacing w:after="0" w:line="232" w:lineRule="exact"/>
        <w:rPr>
          <w:sz w:val="20"/>
          <w:szCs w:val="20"/>
          <w:color w:val="auto"/>
        </w:rPr>
      </w:pPr>
    </w:p>
    <w:p>
      <w:pPr>
        <w:jc w:val="both"/>
        <w:ind w:left="1300" w:hanging="320"/>
        <w:spacing w:after="0" w:line="277" w:lineRule="auto"/>
        <w:tabs>
          <w:tab w:leader="none" w:pos="12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Company shall pay to Employee an amount equal to </w:t>
      </w:r>
      <w:r>
        <w:rPr>
          <w:rFonts w:ascii="Arial" w:cs="Arial" w:eastAsia="Arial" w:hAnsi="Arial"/>
          <w:sz w:val="19"/>
          <w:szCs w:val="19"/>
          <w:b w:val="1"/>
          <w:bCs w:val="1"/>
          <w:color w:val="auto"/>
        </w:rPr>
        <w:t>Three Hundred Sixty Thousand Dollars ($360,000)</w:t>
      </w:r>
      <w:r>
        <w:rPr>
          <w:rFonts w:ascii="Arial" w:cs="Arial" w:eastAsia="Arial" w:hAnsi="Arial"/>
          <w:sz w:val="18"/>
          <w:szCs w:val="18"/>
          <w:color w:val="auto"/>
        </w:rPr>
        <w:t>, less any applicable taxes, deductions and withholdings (the “</w:t>
      </w:r>
      <w:r>
        <w:rPr>
          <w:rFonts w:ascii="Arial" w:cs="Arial" w:eastAsia="Arial" w:hAnsi="Arial"/>
          <w:sz w:val="19"/>
          <w:szCs w:val="19"/>
          <w:b w:val="1"/>
          <w:bCs w:val="1"/>
          <w:i w:val="1"/>
          <w:iCs w:val="1"/>
          <w:color w:val="auto"/>
        </w:rPr>
        <w:t>Severance Payment</w:t>
      </w:r>
      <w:r>
        <w:rPr>
          <w:rFonts w:ascii="Arial" w:cs="Arial" w:eastAsia="Arial" w:hAnsi="Arial"/>
          <w:sz w:val="18"/>
          <w:szCs w:val="18"/>
          <w:color w:val="auto"/>
        </w:rPr>
        <w:t xml:space="preserve">”), and, if and for so long as Employee enrolls in COBRA, pay directly Employee’s COBRA premium for health insurance for </w:t>
      </w:r>
      <w:r>
        <w:rPr>
          <w:rFonts w:ascii="Arial" w:cs="Arial" w:eastAsia="Arial" w:hAnsi="Arial"/>
          <w:sz w:val="19"/>
          <w:szCs w:val="19"/>
          <w:b w:val="1"/>
          <w:bCs w:val="1"/>
          <w:color w:val="auto"/>
        </w:rPr>
        <w:t>nine (9)</w:t>
      </w:r>
      <w:r>
        <w:rPr>
          <w:rFonts w:ascii="Arial" w:cs="Arial" w:eastAsia="Arial" w:hAnsi="Arial"/>
          <w:sz w:val="18"/>
          <w:szCs w:val="18"/>
          <w:color w:val="auto"/>
        </w:rPr>
        <w:t xml:space="preserve"> month(s), covering health insurance (the “</w:t>
      </w:r>
      <w:r>
        <w:rPr>
          <w:rFonts w:ascii="Arial" w:cs="Arial" w:eastAsia="Arial" w:hAnsi="Arial"/>
          <w:sz w:val="19"/>
          <w:szCs w:val="19"/>
          <w:b w:val="1"/>
          <w:bCs w:val="1"/>
          <w:i w:val="1"/>
          <w:iCs w:val="1"/>
          <w:color w:val="auto"/>
        </w:rPr>
        <w:t>Severance Insurance Benefit</w:t>
      </w:r>
      <w:r>
        <w:rPr>
          <w:rFonts w:ascii="Arial" w:cs="Arial" w:eastAsia="Arial" w:hAnsi="Arial"/>
          <w:sz w:val="18"/>
          <w:szCs w:val="18"/>
          <w:color w:val="auto"/>
        </w:rPr>
        <w:t>”) for the Retention Period of October 1, 2023 through June 30, 2024 (the “</w:t>
      </w:r>
      <w:r>
        <w:rPr>
          <w:rFonts w:ascii="Arial" w:cs="Arial" w:eastAsia="Arial" w:hAnsi="Arial"/>
          <w:sz w:val="19"/>
          <w:szCs w:val="19"/>
          <w:b w:val="1"/>
          <w:bCs w:val="1"/>
          <w:i w:val="1"/>
          <w:iCs w:val="1"/>
          <w:color w:val="auto"/>
        </w:rPr>
        <w:t>Retention Period</w:t>
      </w:r>
      <w:r>
        <w:rPr>
          <w:rFonts w:ascii="Arial" w:cs="Arial" w:eastAsia="Arial" w:hAnsi="Arial"/>
          <w:sz w:val="18"/>
          <w:szCs w:val="18"/>
          <w:color w:val="auto"/>
        </w:rPr>
        <w:t xml:space="preserve">”). The Severance Payment shall be made in equal installments over </w:t>
      </w:r>
      <w:r>
        <w:rPr>
          <w:rFonts w:ascii="Arial" w:cs="Arial" w:eastAsia="Arial" w:hAnsi="Arial"/>
          <w:sz w:val="19"/>
          <w:szCs w:val="19"/>
          <w:b w:val="1"/>
          <w:bCs w:val="1"/>
          <w:color w:val="auto"/>
        </w:rPr>
        <w:t>nineteen (19)</w:t>
      </w:r>
      <w:r>
        <w:rPr>
          <w:rFonts w:ascii="Arial" w:cs="Arial" w:eastAsia="Arial" w:hAnsi="Arial"/>
          <w:sz w:val="18"/>
          <w:szCs w:val="18"/>
          <w:color w:val="auto"/>
        </w:rPr>
        <w:t xml:space="preserve"> pay periods on the Company’s normal payroll dates, starting on the payroll date for the pay period encompassing the end of the Revocation Period (as defined below) (the “</w:t>
      </w:r>
      <w:r>
        <w:rPr>
          <w:rFonts w:ascii="Arial" w:cs="Arial" w:eastAsia="Arial" w:hAnsi="Arial"/>
          <w:sz w:val="19"/>
          <w:szCs w:val="19"/>
          <w:b w:val="1"/>
          <w:bCs w:val="1"/>
          <w:i w:val="1"/>
          <w:iCs w:val="1"/>
          <w:color w:val="auto"/>
        </w:rPr>
        <w:t>Severance Payment Period</w:t>
      </w:r>
      <w:r>
        <w:rPr>
          <w:rFonts w:ascii="Arial" w:cs="Arial" w:eastAsia="Arial" w:hAnsi="Arial"/>
          <w:sz w:val="18"/>
          <w:szCs w:val="18"/>
          <w:color w:val="auto"/>
        </w:rPr>
        <w:t>”). Notwithstanding anything to the contrary herein, the Company shall have the right to prepay all or any portion of the Severance Payment at any time to Employee prior to the end of the Severance Payment Period. The Company will not enroll Employee in COBRA and Employee will be fully responsible for completing any and all paperwork necessary for COBRA enrollment. Employee acknowledges and agrees that Employee will promptly notify the Company if Employee acquires alternative health insurance coverage at any point during the Retention Period, in which case, the Company will cease providing health insurance benefits to Employee.</w:t>
      </w:r>
    </w:p>
    <w:p>
      <w:pPr>
        <w:spacing w:after="0" w:line="183" w:lineRule="exact"/>
        <w:rPr>
          <w:sz w:val="20"/>
          <w:szCs w:val="20"/>
          <w:color w:val="auto"/>
        </w:rPr>
      </w:pPr>
    </w:p>
    <w:p>
      <w:pPr>
        <w:jc w:val="both"/>
        <w:ind w:left="1300" w:hanging="320"/>
        <w:spacing w:after="0" w:line="283" w:lineRule="auto"/>
        <w:tabs>
          <w:tab w:leader="none" w:pos="1289"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The Company has allowed Employee to remain covered by the Company’s employer-provided health insurance policies until the end of the calendar month during which the </w:t>
      </w:r>
      <w:r>
        <w:rPr>
          <w:rFonts w:ascii="Arial" w:cs="Arial" w:eastAsia="Arial" w:hAnsi="Arial"/>
          <w:sz w:val="19"/>
          <w:szCs w:val="19"/>
          <w:color w:val="auto"/>
        </w:rPr>
        <w:t>Separation Date occurs (e.g., for a May 5 Separation Date, Employee</w:t>
      </w:r>
      <w:r>
        <w:rPr>
          <w:rFonts w:ascii="Arial" w:cs="Arial" w:eastAsia="Arial" w:hAnsi="Arial"/>
          <w:sz w:val="18"/>
          <w:szCs w:val="18"/>
          <w:color w:val="auto"/>
        </w:rPr>
        <w:t xml:space="preserve"> </w:t>
      </w:r>
      <w:r>
        <w:rPr>
          <w:rFonts w:ascii="Arial" w:cs="Arial" w:eastAsia="Arial" w:hAnsi="Arial"/>
          <w:sz w:val="19"/>
          <w:szCs w:val="19"/>
          <w:color w:val="auto"/>
        </w:rPr>
        <w:t xml:space="preserve">will remain covered by the Company’s </w:t>
      </w:r>
      <w:r>
        <w:rPr>
          <w:rFonts w:ascii="Arial" w:cs="Arial" w:eastAsia="Arial" w:hAnsi="Arial"/>
          <w:sz w:val="17"/>
          <w:szCs w:val="17"/>
          <w:color w:val="auto"/>
        </w:rPr>
        <w:t>health insurance through May 31). Thereafter, subject to the Severance Insurance</w:t>
      </w:r>
      <w:r>
        <w:rPr>
          <w:rFonts w:ascii="Arial" w:cs="Arial" w:eastAsia="Arial" w:hAnsi="Arial"/>
          <w:sz w:val="19"/>
          <w:szCs w:val="19"/>
          <w:color w:val="auto"/>
        </w:rPr>
        <w:t xml:space="preserve"> </w:t>
      </w:r>
      <w:r>
        <w:rPr>
          <w:rFonts w:ascii="Arial" w:cs="Arial" w:eastAsia="Arial" w:hAnsi="Arial"/>
          <w:sz w:val="17"/>
          <w:szCs w:val="17"/>
          <w:color w:val="auto"/>
        </w:rPr>
        <w:t>Benefit described above, Employee will no longer be entitled to participate in any Company benefit plan, and the Company shall provide Employee notice regarding Employee’s right to continue Employee’s healthcare coverage pursuant to COBRA.</w:t>
      </w:r>
    </w:p>
    <w:p>
      <w:pPr>
        <w:spacing w:after="0" w:line="172" w:lineRule="exact"/>
        <w:rPr>
          <w:rFonts w:ascii="Arial" w:cs="Arial" w:eastAsia="Arial" w:hAnsi="Arial"/>
          <w:sz w:val="18"/>
          <w:szCs w:val="18"/>
          <w:color w:val="auto"/>
        </w:rPr>
      </w:pPr>
    </w:p>
    <w:p>
      <w:pPr>
        <w:jc w:val="both"/>
        <w:ind w:left="660" w:hanging="328"/>
        <w:spacing w:after="0" w:line="261" w:lineRule="auto"/>
        <w:tabs>
          <w:tab w:leader="none" w:pos="649" w:val="left"/>
        </w:tabs>
        <w:numPr>
          <w:ilvl w:val="0"/>
          <w:numId w:val="24"/>
        </w:numPr>
        <w:rPr>
          <w:rFonts w:ascii="Arial" w:cs="Arial" w:eastAsia="Arial" w:hAnsi="Arial"/>
          <w:sz w:val="20"/>
          <w:szCs w:val="20"/>
          <w:color w:val="auto"/>
        </w:rPr>
      </w:pPr>
      <w:r>
        <w:rPr>
          <w:rFonts w:ascii="Arial" w:cs="Arial" w:eastAsia="Arial" w:hAnsi="Arial"/>
          <w:sz w:val="22"/>
          <w:szCs w:val="22"/>
          <w:b w:val="1"/>
          <w:bCs w:val="1"/>
          <w:color w:val="auto"/>
        </w:rPr>
        <w:t>Return of All Company Materials</w:t>
      </w:r>
      <w:r>
        <w:rPr>
          <w:rFonts w:ascii="Arial" w:cs="Arial" w:eastAsia="Arial" w:hAnsi="Arial"/>
          <w:sz w:val="19"/>
          <w:szCs w:val="19"/>
          <w:color w:val="auto"/>
        </w:rPr>
        <w:t>. Employee hereby certifies that Employee has returned to the Company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all</w:t>
      </w:r>
      <w:r>
        <w:rPr>
          <w:rFonts w:ascii="Arial" w:cs="Arial" w:eastAsia="Arial" w:hAnsi="Arial"/>
          <w:sz w:val="22"/>
          <w:szCs w:val="22"/>
          <w:b w:val="1"/>
          <w:bCs w:val="1"/>
          <w:color w:val="auto"/>
        </w:rPr>
        <w:t xml:space="preserve"> </w:t>
      </w:r>
      <w:r>
        <w:rPr>
          <w:rFonts w:ascii="Arial" w:cs="Arial" w:eastAsia="Arial" w:hAnsi="Arial"/>
          <w:sz w:val="19"/>
          <w:szCs w:val="19"/>
          <w:color w:val="auto"/>
        </w:rPr>
        <w:t>Company</w:t>
      </w:r>
      <w:r>
        <w:rPr>
          <w:rFonts w:ascii="Arial" w:cs="Arial" w:eastAsia="Arial" w:hAnsi="Arial"/>
          <w:sz w:val="22"/>
          <w:szCs w:val="22"/>
          <w:b w:val="1"/>
          <w:bCs w:val="1"/>
          <w:color w:val="auto"/>
        </w:rPr>
        <w:t xml:space="preserve"> </w:t>
      </w:r>
      <w:r>
        <w:rPr>
          <w:rFonts w:ascii="Arial" w:cs="Arial" w:eastAsia="Arial" w:hAnsi="Arial"/>
          <w:sz w:val="19"/>
          <w:szCs w:val="19"/>
          <w:color w:val="auto"/>
        </w:rPr>
        <w:t>records, documents, electronically stored information, and tangible embodiments of such, prepared by Employee or coming into Employee’s possession by virtue of Employee’s employment with the Company. To the extent Employee is unable to return such materials that are in a digital form, Employee shall remove all copies of such digital material and certify the destruction or deletion of such digital copies. Employee further certifies that Employee has returned to the Company all property of the Company, including but not limited to pagers, keys, key cards, cellular phones, credit cards, personal and laptop computers, and other electronic equipment. Employee agrees that should Employee at any future time discover additional items of property belonging to the Company, Employee will promptly return such property to the Company.</w:t>
      </w:r>
    </w:p>
    <w:p>
      <w:pPr>
        <w:spacing w:after="0" w:line="184" w:lineRule="exact"/>
        <w:rPr>
          <w:sz w:val="20"/>
          <w:szCs w:val="20"/>
          <w:color w:val="auto"/>
        </w:rPr>
      </w:pPr>
    </w:p>
    <w:p>
      <w:pPr>
        <w:jc w:val="both"/>
        <w:ind w:left="660" w:hanging="328"/>
        <w:spacing w:after="0" w:line="283" w:lineRule="auto"/>
        <w:tabs>
          <w:tab w:leader="none" w:pos="649" w:val="left"/>
        </w:tabs>
        <w:numPr>
          <w:ilvl w:val="0"/>
          <w:numId w:val="25"/>
        </w:numPr>
        <w:rPr>
          <w:rFonts w:ascii="Arial" w:cs="Arial" w:eastAsia="Arial" w:hAnsi="Arial"/>
          <w:sz w:val="18"/>
          <w:szCs w:val="18"/>
          <w:color w:val="auto"/>
        </w:rPr>
      </w:pPr>
      <w:r>
        <w:rPr>
          <w:rFonts w:ascii="Arial" w:cs="Arial" w:eastAsia="Arial" w:hAnsi="Arial"/>
          <w:sz w:val="19"/>
          <w:szCs w:val="19"/>
          <w:b w:val="1"/>
          <w:bCs w:val="1"/>
          <w:color w:val="auto"/>
        </w:rPr>
        <w:t>General Release</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212121"/>
        </w:rPr>
        <w:t>Except as to such rights or claims as may be created by this Agreement, and except as otherwise</w:t>
      </w:r>
      <w:r>
        <w:rPr>
          <w:rFonts w:ascii="Arial" w:cs="Arial" w:eastAsia="Arial" w:hAnsi="Arial"/>
          <w:sz w:val="19"/>
          <w:szCs w:val="19"/>
          <w:b w:val="1"/>
          <w:bCs w:val="1"/>
          <w:color w:val="auto"/>
        </w:rPr>
        <w:t xml:space="preserve"> </w:t>
      </w:r>
      <w:r>
        <w:rPr>
          <w:rFonts w:ascii="Arial" w:cs="Arial" w:eastAsia="Arial" w:hAnsi="Arial"/>
          <w:sz w:val="19"/>
          <w:szCs w:val="19"/>
          <w:color w:val="212121"/>
        </w:rPr>
        <w:t>provided herein, Employee and Employee’s respective heirs, administrators, successors in interest, assigns and agents, hereby release and forever discharge the Company and its current and former officers, directors, shareholders, employees, representatives, attorneys, agents, members, trustees, administrators, owners, partners, insurers, fiduciaries, subsidiaries, parent companies, affiliates, related entities, assigns, predecessors and successors in interest, jointly and</w:t>
      </w:r>
    </w:p>
    <w:p>
      <w:pPr>
        <w:sectPr>
          <w:pgSz w:w="11900" w:h="16838" w:orient="portrait"/>
          <w:cols w:equalWidth="0" w:num="1">
            <w:col w:w="11240"/>
          </w:cols>
          <w:pgMar w:left="320" w:top="364" w:right="339" w:bottom="1440" w:gutter="0" w:footer="0" w:header="0"/>
        </w:sectPr>
      </w:pPr>
    </w:p>
    <w:bookmarkStart w:id="52" w:name="page53"/>
    <w:bookmarkEnd w:id="52"/>
    <w:p>
      <w:pPr>
        <w:ind w:left="10040"/>
        <w:spacing w:after="0"/>
        <w:rPr>
          <w:sz w:val="20"/>
          <w:szCs w:val="20"/>
          <w:color w:val="auto"/>
        </w:rPr>
      </w:pPr>
      <w:r>
        <w:rPr>
          <w:rFonts w:ascii="Arial" w:cs="Arial" w:eastAsia="Arial" w:hAnsi="Arial"/>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60"/>
        <w:spacing w:after="0" w:line="232" w:lineRule="auto"/>
        <w:rPr>
          <w:sz w:val="20"/>
          <w:szCs w:val="20"/>
          <w:color w:val="auto"/>
        </w:rPr>
      </w:pPr>
      <w:r>
        <w:rPr>
          <w:rFonts w:ascii="Arial" w:cs="Arial" w:eastAsia="Arial" w:hAnsi="Arial"/>
          <w:sz w:val="22"/>
          <w:szCs w:val="22"/>
          <w:color w:val="212121"/>
        </w:rPr>
        <w:t>severally (referred to collectively hereafter as the “</w:t>
      </w:r>
      <w:r>
        <w:rPr>
          <w:rFonts w:ascii="Arial" w:cs="Arial" w:eastAsia="Arial" w:hAnsi="Arial"/>
          <w:sz w:val="22"/>
          <w:szCs w:val="22"/>
          <w:b w:val="1"/>
          <w:bCs w:val="1"/>
          <w:i w:val="1"/>
          <w:iCs w:val="1"/>
          <w:color w:val="212121"/>
        </w:rPr>
        <w:t>Releasees</w:t>
      </w:r>
      <w:r>
        <w:rPr>
          <w:rFonts w:ascii="Arial" w:cs="Arial" w:eastAsia="Arial" w:hAnsi="Arial"/>
          <w:sz w:val="22"/>
          <w:szCs w:val="22"/>
          <w:color w:val="212121"/>
        </w:rPr>
        <w:t>”), from any and all claims, demands, liabilities, suits, causes of action, charges, complaints, obligations, costs, losses, damages, injuries, penalties, interest, attorneys’ fees, and other legal responsibilities, of any form whatsoever, whether known or unknown, unforeseen, unanticipated, unsuspected or latent (referred to collectively hereafter as “</w:t>
      </w:r>
      <w:r>
        <w:rPr>
          <w:rFonts w:ascii="Arial" w:cs="Arial" w:eastAsia="Arial" w:hAnsi="Arial"/>
          <w:sz w:val="22"/>
          <w:szCs w:val="22"/>
          <w:b w:val="1"/>
          <w:bCs w:val="1"/>
          <w:i w:val="1"/>
          <w:iCs w:val="1"/>
          <w:color w:val="212121"/>
        </w:rPr>
        <w:t>Claim</w:t>
      </w:r>
      <w:r>
        <w:rPr>
          <w:rFonts w:ascii="Arial" w:cs="Arial" w:eastAsia="Arial" w:hAnsi="Arial"/>
          <w:sz w:val="22"/>
          <w:szCs w:val="22"/>
          <w:color w:val="212121"/>
        </w:rPr>
        <w:t>” or “</w:t>
      </w:r>
      <w:r>
        <w:rPr>
          <w:rFonts w:ascii="Arial" w:cs="Arial" w:eastAsia="Arial" w:hAnsi="Arial"/>
          <w:sz w:val="22"/>
          <w:szCs w:val="22"/>
          <w:b w:val="1"/>
          <w:bCs w:val="1"/>
          <w:i w:val="1"/>
          <w:iCs w:val="1"/>
          <w:color w:val="212121"/>
        </w:rPr>
        <w:t>Claims</w:t>
      </w:r>
      <w:r>
        <w:rPr>
          <w:rFonts w:ascii="Arial" w:cs="Arial" w:eastAsia="Arial" w:hAnsi="Arial"/>
          <w:sz w:val="22"/>
          <w:szCs w:val="22"/>
          <w:color w:val="212121"/>
        </w:rPr>
        <w:t>”), which Employee has at any time owned or held up to and including the date Employee signs this Agreement, including during the Revocation Period (as defined below), including, and without limiting the generality of the foregoing, any and all Claims arising out of, connected with, or relating to: (1) Employee’s employment with the Company or the conclusion of that employment; (2) any act or omission by or on the</w:t>
      </w:r>
    </w:p>
    <w:p>
      <w:pPr>
        <w:spacing w:after="0" w:line="217" w:lineRule="exact"/>
        <w:rPr>
          <w:sz w:val="20"/>
          <w:szCs w:val="20"/>
          <w:color w:val="auto"/>
        </w:rPr>
      </w:pPr>
    </w:p>
    <w:p>
      <w:pPr>
        <w:jc w:val="both"/>
        <w:ind w:firstLine="522"/>
        <w:spacing w:after="0" w:line="236" w:lineRule="auto"/>
        <w:rPr>
          <w:sz w:val="20"/>
          <w:szCs w:val="20"/>
          <w:color w:val="auto"/>
        </w:rPr>
      </w:pPr>
      <w:r>
        <w:rPr>
          <w:rFonts w:ascii="Arial" w:cs="Arial" w:eastAsia="Arial" w:hAnsi="Arial"/>
          <w:sz w:val="22"/>
          <w:szCs w:val="22"/>
          <w:color w:val="212121"/>
        </w:rPr>
        <w:t>part of any of the Releasees; (3) any alleged violation of California Labor Code, applicable California Wage Order, Fair Labor Standards Act, or the Consolidated Omnibus Budget Reconciliation Act (COBRA), as amended; (4) any Claim arising under the Labor Code Private Attorneys General Act (PAGA), Labor Code</w:t>
      </w:r>
    </w:p>
    <w:p>
      <w:pPr>
        <w:spacing w:after="0" w:line="1" w:lineRule="exact"/>
        <w:rPr>
          <w:sz w:val="20"/>
          <w:szCs w:val="20"/>
          <w:color w:val="auto"/>
        </w:rPr>
      </w:pPr>
    </w:p>
    <w:p>
      <w:pPr>
        <w:jc w:val="both"/>
        <w:ind w:firstLine="530"/>
        <w:spacing w:after="0" w:line="264" w:lineRule="auto"/>
        <w:tabs>
          <w:tab w:leader="none" w:pos="814" w:val="left"/>
        </w:tabs>
        <w:numPr>
          <w:ilvl w:val="1"/>
          <w:numId w:val="26"/>
        </w:numPr>
        <w:rPr>
          <w:rFonts w:ascii="Arial" w:cs="Arial" w:eastAsia="Arial" w:hAnsi="Arial"/>
          <w:sz w:val="19"/>
          <w:szCs w:val="19"/>
          <w:color w:val="212121"/>
        </w:rPr>
      </w:pPr>
      <w:r>
        <w:rPr>
          <w:rFonts w:ascii="Arial" w:cs="Arial" w:eastAsia="Arial" w:hAnsi="Arial"/>
          <w:sz w:val="19"/>
          <w:szCs w:val="19"/>
          <w:color w:val="212121"/>
        </w:rPr>
        <w:t>2699, et seq.; (5) any federal, state or local law regulating compensation, salaries, wages, meal periods, rest periods, itemized wage statements, pay stubs or payroll records, hours, bonuses, commissions, overtime, benefits, monies, pay, allowances, benefits, sick pay, severance pay, retention pay or benefits, paid leave benefits, vacation pay, penalties, interest or damages; (6) any Claim for violation of any federal, state or local law or regulation prohibiting discrimination, harassment or retaliation of any kind; (7) breach of any express or implied employment contract or agreement, wrongful discharge, breach of the implied covenant of good faith and fair dealing, intentional or negligent infliction of emotional distress, fraud, misrepresentation, defamation, trespass, conversion, interference with prospective economic advantage, and invasion of privacy;</w:t>
      </w:r>
    </w:p>
    <w:p>
      <w:pPr>
        <w:spacing w:after="0" w:line="5" w:lineRule="exact"/>
        <w:rPr>
          <w:rFonts w:ascii="Arial" w:cs="Arial" w:eastAsia="Arial" w:hAnsi="Arial"/>
          <w:sz w:val="19"/>
          <w:szCs w:val="19"/>
          <w:color w:val="212121"/>
        </w:rPr>
      </w:pPr>
    </w:p>
    <w:p>
      <w:pPr>
        <w:jc w:val="both"/>
        <w:ind w:firstLine="8"/>
        <w:spacing w:after="0" w:line="238" w:lineRule="auto"/>
        <w:tabs>
          <w:tab w:leader="none" w:pos="325" w:val="left"/>
        </w:tabs>
        <w:numPr>
          <w:ilvl w:val="0"/>
          <w:numId w:val="26"/>
        </w:numPr>
        <w:rPr>
          <w:rFonts w:ascii="Arial" w:cs="Arial" w:eastAsia="Arial" w:hAnsi="Arial"/>
          <w:sz w:val="22"/>
          <w:szCs w:val="22"/>
          <w:color w:val="212121"/>
        </w:rPr>
      </w:pPr>
      <w:r>
        <w:rPr>
          <w:rFonts w:ascii="Arial" w:cs="Arial" w:eastAsia="Arial" w:hAnsi="Arial"/>
          <w:sz w:val="22"/>
          <w:szCs w:val="22"/>
          <w:color w:val="212121"/>
        </w:rPr>
        <w:t>that certain Participation Agreement, executed May 24, 2023 by and between WM Tech and Employee (the “</w:t>
      </w:r>
      <w:r>
        <w:rPr>
          <w:rFonts w:ascii="Arial" w:cs="Arial" w:eastAsia="Arial" w:hAnsi="Arial"/>
          <w:sz w:val="22"/>
          <w:szCs w:val="22"/>
          <w:b w:val="1"/>
          <w:bCs w:val="1"/>
          <w:i w:val="1"/>
          <w:iCs w:val="1"/>
          <w:color w:val="212121"/>
        </w:rPr>
        <w:t>Participation</w:t>
      </w:r>
      <w:r>
        <w:rPr>
          <w:rFonts w:ascii="Arial" w:cs="Arial" w:eastAsia="Arial" w:hAnsi="Arial"/>
          <w:sz w:val="22"/>
          <w:szCs w:val="22"/>
          <w:color w:val="212121"/>
        </w:rPr>
        <w:t xml:space="preserve"> </w:t>
      </w:r>
      <w:r>
        <w:rPr>
          <w:rFonts w:ascii="Arial" w:cs="Arial" w:eastAsia="Arial" w:hAnsi="Arial"/>
          <w:sz w:val="22"/>
          <w:szCs w:val="22"/>
          <w:b w:val="1"/>
          <w:bCs w:val="1"/>
          <w:i w:val="1"/>
          <w:iCs w:val="1"/>
          <w:color w:val="212121"/>
        </w:rPr>
        <w:t>Agreement</w:t>
      </w:r>
      <w:r>
        <w:rPr>
          <w:rFonts w:ascii="Arial" w:cs="Arial" w:eastAsia="Arial" w:hAnsi="Arial"/>
          <w:sz w:val="22"/>
          <w:szCs w:val="22"/>
          <w:color w:val="212121"/>
        </w:rPr>
        <w:t>”);</w:t>
      </w:r>
      <w:r>
        <w:rPr>
          <w:rFonts w:ascii="Arial" w:cs="Arial" w:eastAsia="Arial" w:hAnsi="Arial"/>
          <w:sz w:val="22"/>
          <w:szCs w:val="22"/>
          <w:b w:val="1"/>
          <w:bCs w:val="1"/>
          <w:i w:val="1"/>
          <w:iCs w:val="1"/>
          <w:color w:val="212121"/>
        </w:rPr>
        <w:t xml:space="preserve"> </w:t>
      </w:r>
      <w:r>
        <w:rPr>
          <w:rFonts w:ascii="Arial" w:cs="Arial" w:eastAsia="Arial" w:hAnsi="Arial"/>
          <w:sz w:val="19"/>
          <w:szCs w:val="19"/>
          <w:color w:val="000000"/>
        </w:rPr>
        <w:t>(9) the Offer of Employment dated November 2, 2022 or any established and/or existing company or executive bonus</w:t>
      </w:r>
      <w:r>
        <w:rPr>
          <w:rFonts w:ascii="Arial" w:cs="Arial" w:eastAsia="Arial" w:hAnsi="Arial"/>
          <w:sz w:val="22"/>
          <w:szCs w:val="22"/>
          <w:b w:val="1"/>
          <w:bCs w:val="1"/>
          <w:i w:val="1"/>
          <w:iCs w:val="1"/>
          <w:color w:val="212121"/>
        </w:rPr>
        <w:t xml:space="preserve"> </w:t>
      </w:r>
      <w:r>
        <w:rPr>
          <w:rFonts w:ascii="Arial" w:cs="Arial" w:eastAsia="Arial" w:hAnsi="Arial"/>
          <w:sz w:val="19"/>
          <w:szCs w:val="19"/>
          <w:color w:val="000000"/>
        </w:rPr>
        <w:t xml:space="preserve">programs </w:t>
      </w:r>
      <w:r>
        <w:rPr>
          <w:rFonts w:ascii="Arial" w:cs="Arial" w:eastAsia="Arial" w:hAnsi="Arial"/>
          <w:sz w:val="21"/>
          <w:szCs w:val="21"/>
          <w:color w:val="212121"/>
        </w:rPr>
        <w:t>and (10) any Claim for attorneys’ fees, costs or expenses. The foregoing general release does not apply to any Claim</w:t>
      </w:r>
      <w:r>
        <w:rPr>
          <w:rFonts w:ascii="Arial" w:cs="Arial" w:eastAsia="Arial" w:hAnsi="Arial"/>
          <w:sz w:val="19"/>
          <w:szCs w:val="19"/>
          <w:color w:val="000000"/>
        </w:rPr>
        <w:t xml:space="preserve"> </w:t>
      </w:r>
      <w:r>
        <w:rPr>
          <w:rFonts w:ascii="Arial" w:cs="Arial" w:eastAsia="Arial" w:hAnsi="Arial"/>
          <w:sz w:val="21"/>
          <w:szCs w:val="21"/>
          <w:color w:val="212121"/>
        </w:rPr>
        <w:t>that cannot be released as a matter of law as well as those obligations set forth in that certain Indemnification Agreement, dated April 26, 2023, by and between WM Tech and Employee. Nothing in this Agreement prohibits or prevents Employee from filing a charge with or participating, testifying, or assisting in any investigation, hearing, or other proceeding before any federal, state, or local government agency.</w:t>
      </w:r>
    </w:p>
    <w:p>
      <w:pPr>
        <w:spacing w:after="0" w:line="234" w:lineRule="exact"/>
        <w:rPr>
          <w:sz w:val="20"/>
          <w:szCs w:val="20"/>
          <w:color w:val="auto"/>
        </w:rPr>
      </w:pPr>
    </w:p>
    <w:p>
      <w:pPr>
        <w:jc w:val="both"/>
        <w:ind w:firstLine="1169"/>
        <w:spacing w:after="0" w:line="264" w:lineRule="auto"/>
        <w:rPr>
          <w:sz w:val="20"/>
          <w:szCs w:val="20"/>
          <w:color w:val="auto"/>
        </w:rPr>
      </w:pPr>
      <w:r>
        <w:rPr>
          <w:rFonts w:ascii="Arial" w:cs="Arial" w:eastAsia="Arial" w:hAnsi="Arial"/>
          <w:sz w:val="19"/>
          <w:szCs w:val="19"/>
          <w:color w:val="auto"/>
        </w:rPr>
        <w:t>Employee agrees that the release provided by this Agreement applies to any Claims brought by any person or agency on behalf of Employee or any class action, representative action or collective action pursuant to which Employee may have any right or benefit. Employee agrees not to participate in any class action, representative action or collective action that may include or encompass any of the Claims released by this Agreement. With respect to any Claims released by this Agreement, Employee further agrees not to accept any recovery or benefit that may be obtained on Employee’s behalf by any other person or agency or in any class action, representative action or collective action, and does hereby assign any such recovery or benefit to the Company. In addition, Employee agrees that in the event Employee receives any notice from any claims administrator, attorney, law firm or other person purporting to represent Employee or any class or group which includes Employee, and such notice references any lawsuit or threatened lawsuit against the Company or any of the Releasees that encompasses any of the Claims released by this Agreement, Employee will promptly notify such claims administrator, attorney, law firm, or other person that Employee does not wish to participate in and specifically “opts out” of any class action, representative action or collective action against the Company</w:t>
      </w:r>
    </w:p>
    <w:p>
      <w:pPr>
        <w:sectPr>
          <w:pgSz w:w="11900" w:h="16838" w:orient="portrait"/>
          <w:cols w:equalWidth="0" w:num="1">
            <w:col w:w="11240"/>
          </w:cols>
          <w:pgMar w:left="320" w:top="364" w:right="339" w:bottom="1440" w:gutter="0" w:footer="0" w:header="0"/>
        </w:sectPr>
      </w:pPr>
    </w:p>
    <w:bookmarkStart w:id="53" w:name="page54"/>
    <w:bookmarkEnd w:id="53"/>
    <w:p>
      <w:pPr>
        <w:ind w:left="10040"/>
        <w:spacing w:after="0"/>
        <w:rPr>
          <w:sz w:val="20"/>
          <w:szCs w:val="20"/>
          <w:color w:val="auto"/>
        </w:rPr>
      </w:pPr>
      <w:r>
        <w:rPr>
          <w:rFonts w:ascii="Arial" w:cs="Arial" w:eastAsia="Arial" w:hAnsi="Arial"/>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or any of the Releasees. Finally, by signing this Agreement, Employee acknowledges and agrees that with respect to any Claims released by this Agreement, Employee is not an “aggrieved employee,” as that term is defined by PAGA.</w:t>
      </w:r>
    </w:p>
    <w:p>
      <w:pPr>
        <w:spacing w:after="0" w:line="204" w:lineRule="exact"/>
        <w:rPr>
          <w:sz w:val="20"/>
          <w:szCs w:val="20"/>
          <w:color w:val="auto"/>
        </w:rPr>
      </w:pPr>
    </w:p>
    <w:p>
      <w:pPr>
        <w:jc w:val="both"/>
        <w:ind w:firstLine="1169"/>
        <w:spacing w:after="0" w:line="255" w:lineRule="auto"/>
        <w:rPr>
          <w:sz w:val="20"/>
          <w:szCs w:val="20"/>
          <w:color w:val="auto"/>
        </w:rPr>
      </w:pPr>
      <w:r>
        <w:rPr>
          <w:rFonts w:ascii="Arial" w:cs="Arial" w:eastAsia="Arial" w:hAnsi="Arial"/>
          <w:sz w:val="19"/>
          <w:szCs w:val="19"/>
          <w:color w:val="auto"/>
        </w:rPr>
        <w:t>Notwithstanding anything to the contrary herein, the foregoing release shall not cover, and Employee does not release, any rights of Employee under this Agreement or the RSU Award Grant Notice, dated as of December 1, 2022 (the “</w:t>
      </w:r>
      <w:r>
        <w:rPr>
          <w:rFonts w:ascii="Arial" w:cs="Arial" w:eastAsia="Arial" w:hAnsi="Arial"/>
          <w:sz w:val="20"/>
          <w:szCs w:val="20"/>
          <w:b w:val="1"/>
          <w:bCs w:val="1"/>
          <w:i w:val="1"/>
          <w:iCs w:val="1"/>
          <w:color w:val="auto"/>
        </w:rPr>
        <w:t>RSU Award Agreement</w:t>
      </w:r>
      <w:r>
        <w:rPr>
          <w:rFonts w:ascii="Arial" w:cs="Arial" w:eastAsia="Arial" w:hAnsi="Arial"/>
          <w:sz w:val="19"/>
          <w:szCs w:val="19"/>
          <w:color w:val="auto"/>
        </w:rPr>
        <w:t>”), between Employee and WM Tech, or any rights of Employee as an RSU holder of WM Tech under the 2021 Equity Incentive Plan as may be amended, restated, supplemented, or otherwise modified from time to time of WM Holding, dated as of June 16, 2021 (the “</w:t>
      </w:r>
      <w:r>
        <w:rPr>
          <w:rFonts w:ascii="Arial" w:cs="Arial" w:eastAsia="Arial" w:hAnsi="Arial"/>
          <w:sz w:val="20"/>
          <w:szCs w:val="20"/>
          <w:b w:val="1"/>
          <w:bCs w:val="1"/>
          <w:i w:val="1"/>
          <w:iCs w:val="1"/>
          <w:color w:val="auto"/>
        </w:rPr>
        <w:t>Plan</w:t>
      </w:r>
      <w:r>
        <w:rPr>
          <w:rFonts w:ascii="Arial" w:cs="Arial" w:eastAsia="Arial" w:hAnsi="Arial"/>
          <w:sz w:val="19"/>
          <w:szCs w:val="19"/>
          <w:color w:val="auto"/>
        </w:rPr>
        <w:t xml:space="preserve">”). Employee acknowledges and agrees that </w:t>
      </w:r>
      <w:r>
        <w:rPr>
          <w:rFonts w:ascii="Arial" w:cs="Arial" w:eastAsia="Arial" w:hAnsi="Arial"/>
          <w:sz w:val="20"/>
          <w:szCs w:val="20"/>
          <w:b w:val="1"/>
          <w:bCs w:val="1"/>
          <w:color w:val="auto"/>
        </w:rPr>
        <w:t>one hundred seven thousand five hundred twenty-six (107,526)</w:t>
      </w:r>
      <w:r>
        <w:rPr>
          <w:rFonts w:ascii="Arial" w:cs="Arial" w:eastAsia="Arial" w:hAnsi="Arial"/>
          <w:sz w:val="19"/>
          <w:szCs w:val="19"/>
          <w:color w:val="auto"/>
        </w:rPr>
        <w:t xml:space="preserve"> of the RSUs granted under the RSU Award Agreement have vested as of the Separation Date and Employee owns the shares of WM Tech Class A Common Stock issued upon settlement of those vested RSUs (subject to sell-to-cover transactions and any other transactions initiated by the Employee), all of which are retained by Employee following the Separation Date pursuant and subject to the RSU Award Agreement and the Plan, and that Employee forfeits all RSUs granted to</w:t>
      </w:r>
    </w:p>
    <w:p>
      <w:pPr>
        <w:spacing w:after="0" w:line="224" w:lineRule="exact"/>
        <w:rPr>
          <w:sz w:val="20"/>
          <w:szCs w:val="20"/>
          <w:color w:val="auto"/>
        </w:rPr>
      </w:pPr>
    </w:p>
    <w:p>
      <w:pPr>
        <w:jc w:val="both"/>
        <w:ind w:firstLine="522"/>
        <w:spacing w:after="0" w:line="246" w:lineRule="auto"/>
        <w:rPr>
          <w:sz w:val="20"/>
          <w:szCs w:val="20"/>
          <w:color w:val="auto"/>
        </w:rPr>
      </w:pPr>
      <w:r>
        <w:rPr>
          <w:rFonts w:ascii="Arial" w:cs="Arial" w:eastAsia="Arial" w:hAnsi="Arial"/>
          <w:sz w:val="20"/>
          <w:szCs w:val="20"/>
          <w:color w:val="auto"/>
        </w:rPr>
        <w:t>Employee under the RSU Award Agreement and which are unvested as of the Separation Date pursuant to the terms of the RSU Award Agreement and the Plan.</w:t>
      </w:r>
    </w:p>
    <w:p>
      <w:pPr>
        <w:spacing w:after="0" w:line="206" w:lineRule="exact"/>
        <w:rPr>
          <w:sz w:val="20"/>
          <w:szCs w:val="20"/>
          <w:color w:val="auto"/>
        </w:rPr>
      </w:pPr>
    </w:p>
    <w:p>
      <w:pPr>
        <w:jc w:val="both"/>
        <w:ind w:left="660" w:hanging="328"/>
        <w:spacing w:after="0" w:line="267" w:lineRule="auto"/>
        <w:tabs>
          <w:tab w:leader="none" w:pos="649" w:val="left"/>
        </w:tabs>
        <w:numPr>
          <w:ilvl w:val="0"/>
          <w:numId w:val="27"/>
        </w:numPr>
        <w:rPr>
          <w:rFonts w:ascii="Arial" w:cs="Arial" w:eastAsia="Arial" w:hAnsi="Arial"/>
          <w:sz w:val="19"/>
          <w:szCs w:val="19"/>
          <w:color w:val="auto"/>
        </w:rPr>
      </w:pPr>
      <w:r>
        <w:rPr>
          <w:rFonts w:ascii="Arial" w:cs="Arial" w:eastAsia="Arial" w:hAnsi="Arial"/>
          <w:sz w:val="21"/>
          <w:szCs w:val="21"/>
          <w:b w:val="1"/>
          <w:bCs w:val="1"/>
          <w:color w:val="auto"/>
        </w:rPr>
        <w:t xml:space="preserve">Release of All Unknown Claims. </w:t>
      </w:r>
      <w:r>
        <w:rPr>
          <w:rFonts w:ascii="Arial" w:cs="Arial" w:eastAsia="Arial" w:hAnsi="Arial"/>
          <w:sz w:val="18"/>
          <w:szCs w:val="18"/>
          <w:color w:val="auto"/>
        </w:rPr>
        <w:t>The general release above is intended to be a full and final release covering all unsuspected,</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unknown, undisclosed and unanticipated Claims which may have arisen, or may arise, from any act or omission up to and including the date Employee signs this Agreement, </w:t>
      </w:r>
      <w:r>
        <w:rPr>
          <w:rFonts w:ascii="Arial" w:cs="Arial" w:eastAsia="Arial" w:hAnsi="Arial"/>
          <w:sz w:val="20"/>
          <w:szCs w:val="20"/>
          <w:color w:val="212121"/>
        </w:rPr>
        <w:t>including during the Revocation Period (as defined below),</w:t>
      </w:r>
      <w:r>
        <w:rPr>
          <w:rFonts w:ascii="Arial" w:cs="Arial" w:eastAsia="Arial" w:hAnsi="Arial"/>
          <w:sz w:val="18"/>
          <w:szCs w:val="18"/>
          <w:color w:val="auto"/>
        </w:rPr>
        <w:t xml:space="preserve"> and which arise out of or are related, directly or indirectly, to the dealings between the Parties or any matters described in this Agreement. Employee, and on behalf of anyone or any entity claiming through Employee, each waive any and all rights or benefits which they may now have, or in the future may have, under the terms of Section 1542 of the California Civil Code, which provides as follows:</w:t>
      </w:r>
    </w:p>
    <w:p>
      <w:pPr>
        <w:spacing w:after="0" w:line="201" w:lineRule="exact"/>
        <w:rPr>
          <w:sz w:val="20"/>
          <w:szCs w:val="20"/>
          <w:color w:val="auto"/>
        </w:rPr>
      </w:pPr>
    </w:p>
    <w:p>
      <w:pPr>
        <w:ind w:right="200" w:firstLine="1818"/>
        <w:spacing w:after="0" w:line="251"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9" w:lineRule="exact"/>
        <w:rPr>
          <w:sz w:val="20"/>
          <w:szCs w:val="20"/>
          <w:color w:val="auto"/>
        </w:rPr>
      </w:pPr>
    </w:p>
    <w:p>
      <w:pPr>
        <w:jc w:val="both"/>
        <w:ind w:firstLine="522"/>
        <w:spacing w:after="0" w:line="277" w:lineRule="auto"/>
        <w:rPr>
          <w:sz w:val="20"/>
          <w:szCs w:val="20"/>
          <w:color w:val="auto"/>
        </w:rPr>
      </w:pPr>
      <w:r>
        <w:rPr>
          <w:rFonts w:ascii="Arial" w:cs="Arial" w:eastAsia="Arial" w:hAnsi="Arial"/>
          <w:sz w:val="18"/>
          <w:szCs w:val="18"/>
          <w:color w:val="auto"/>
        </w:rPr>
        <w:t>Notwithstanding the provision of Section 1542, and for the purpose of implementing a full and complete release and discharge, Employee expressly acknowledges that the general release above is intended to include and does include in its effect, without limitation, all Claims which Employee does not know or suspect to exist in Employee’s favor against any of the Releasees up to and including the date Employee signs this Agreement and that the release in this Agreement expressly contemplates the extinguishment of all such Claims.</w:t>
      </w:r>
    </w:p>
    <w:p>
      <w:pPr>
        <w:spacing w:after="0" w:line="154" w:lineRule="exact"/>
        <w:rPr>
          <w:sz w:val="20"/>
          <w:szCs w:val="20"/>
          <w:color w:val="auto"/>
        </w:rPr>
      </w:pPr>
    </w:p>
    <w:p>
      <w:pPr>
        <w:jc w:val="both"/>
        <w:ind w:left="660" w:hanging="328"/>
        <w:spacing w:after="0" w:line="224" w:lineRule="auto"/>
        <w:tabs>
          <w:tab w:leader="none" w:pos="649" w:val="left"/>
        </w:tabs>
        <w:numPr>
          <w:ilvl w:val="0"/>
          <w:numId w:val="28"/>
        </w:numPr>
        <w:rPr>
          <w:rFonts w:ascii="Arial" w:cs="Arial" w:eastAsia="Arial" w:hAnsi="Arial"/>
          <w:sz w:val="20"/>
          <w:szCs w:val="20"/>
          <w:color w:val="auto"/>
        </w:rPr>
      </w:pPr>
      <w:r>
        <w:rPr>
          <w:rFonts w:ascii="Arial" w:cs="Arial" w:eastAsia="Arial" w:hAnsi="Arial"/>
          <w:sz w:val="22"/>
          <w:szCs w:val="22"/>
          <w:b w:val="1"/>
          <w:bCs w:val="1"/>
          <w:color w:val="auto"/>
        </w:rPr>
        <w:t>No Admissions</w:t>
      </w:r>
      <w:r>
        <w:rPr>
          <w:rFonts w:ascii="Arial" w:cs="Arial" w:eastAsia="Arial" w:hAnsi="Arial"/>
          <w:sz w:val="19"/>
          <w:szCs w:val="19"/>
          <w:color w:val="auto"/>
        </w:rPr>
        <w:t>. Neither this Agreement nor the furnishing of the consideration for this Agreement shall be deemed or construed as</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an admission of liability or wrongdoing on the part of either Party, nor shall they be admissible as evidence in any proceeding other than for the enforcement of this </w:t>
      </w:r>
      <w:r>
        <w:rPr>
          <w:rFonts w:ascii="Arial" w:cs="Arial" w:eastAsia="Arial" w:hAnsi="Arial"/>
          <w:sz w:val="21"/>
          <w:szCs w:val="21"/>
          <w:color w:val="auto"/>
        </w:rPr>
        <w:t>Agreement.</w:t>
      </w:r>
    </w:p>
    <w:p>
      <w:pPr>
        <w:spacing w:after="0" w:line="193" w:lineRule="exact"/>
        <w:rPr>
          <w:sz w:val="20"/>
          <w:szCs w:val="20"/>
          <w:color w:val="auto"/>
        </w:rPr>
      </w:pPr>
    </w:p>
    <w:p>
      <w:pPr>
        <w:ind w:left="660" w:right="20" w:hanging="328"/>
        <w:spacing w:after="0" w:line="239" w:lineRule="auto"/>
        <w:tabs>
          <w:tab w:leader="none" w:pos="649" w:val="left"/>
        </w:tabs>
        <w:numPr>
          <w:ilvl w:val="0"/>
          <w:numId w:val="29"/>
        </w:numPr>
        <w:rPr>
          <w:rFonts w:ascii="Arial" w:cs="Arial" w:eastAsia="Arial" w:hAnsi="Arial"/>
          <w:sz w:val="20"/>
          <w:szCs w:val="20"/>
          <w:color w:val="auto"/>
        </w:rPr>
      </w:pPr>
      <w:r>
        <w:rPr>
          <w:rFonts w:ascii="Arial" w:cs="Arial" w:eastAsia="Arial" w:hAnsi="Arial"/>
          <w:sz w:val="22"/>
          <w:szCs w:val="22"/>
          <w:b w:val="1"/>
          <w:bCs w:val="1"/>
          <w:color w:val="auto"/>
        </w:rPr>
        <w:t>Covenant Not to Sue</w:t>
      </w:r>
      <w:r>
        <w:rPr>
          <w:rFonts w:ascii="Arial" w:cs="Arial" w:eastAsia="Arial" w:hAnsi="Arial"/>
          <w:sz w:val="19"/>
          <w:szCs w:val="19"/>
          <w:color w:val="auto"/>
        </w:rPr>
        <w:t>. Employee has not and will not directly or indirectly institute any legal action against the Releasees based</w:t>
      </w:r>
      <w:r>
        <w:rPr>
          <w:rFonts w:ascii="Arial" w:cs="Arial" w:eastAsia="Arial" w:hAnsi="Arial"/>
          <w:sz w:val="22"/>
          <w:szCs w:val="22"/>
          <w:b w:val="1"/>
          <w:bCs w:val="1"/>
          <w:color w:val="auto"/>
        </w:rPr>
        <w:t xml:space="preserve"> </w:t>
      </w:r>
      <w:r>
        <w:rPr>
          <w:rFonts w:ascii="Arial" w:cs="Arial" w:eastAsia="Arial" w:hAnsi="Arial"/>
          <w:sz w:val="19"/>
          <w:szCs w:val="19"/>
          <w:color w:val="auto"/>
        </w:rPr>
        <w:t>upon, arising out of, or relating to any Claims released herein.</w:t>
      </w:r>
    </w:p>
    <w:p>
      <w:pPr>
        <w:sectPr>
          <w:pgSz w:w="11900" w:h="16838" w:orient="portrait"/>
          <w:cols w:equalWidth="0" w:num="1">
            <w:col w:w="11240"/>
          </w:cols>
          <w:pgMar w:left="320" w:top="36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328"/>
        <w:spacing w:after="0" w:line="260" w:lineRule="auto"/>
        <w:rPr>
          <w:sz w:val="20"/>
          <w:szCs w:val="20"/>
          <w:color w:val="auto"/>
        </w:rPr>
      </w:pPr>
      <w:r>
        <w:rPr>
          <w:rFonts w:ascii="Arial" w:cs="Arial" w:eastAsia="Arial" w:hAnsi="Arial"/>
          <w:sz w:val="20"/>
          <w:szCs w:val="20"/>
          <w:color w:val="auto"/>
        </w:rPr>
        <w:t>Employee has not and will not directly or indirectly encourage and/or solicit any third party to institute any legal action against the Releasees.</w:t>
      </w:r>
    </w:p>
    <w:p>
      <w:pPr>
        <w:spacing w:after="0" w:line="180" w:lineRule="exact"/>
        <w:rPr>
          <w:sz w:val="20"/>
          <w:szCs w:val="20"/>
          <w:color w:val="auto"/>
        </w:rPr>
      </w:pPr>
    </w:p>
    <w:p>
      <w:pPr>
        <w:jc w:val="both"/>
        <w:ind w:left="328" w:hanging="328"/>
        <w:spacing w:after="0" w:line="242" w:lineRule="auto"/>
        <w:tabs>
          <w:tab w:leader="none" w:pos="317" w:val="left"/>
        </w:tabs>
        <w:numPr>
          <w:ilvl w:val="0"/>
          <w:numId w:val="30"/>
        </w:numPr>
        <w:rPr>
          <w:rFonts w:ascii="Arial" w:cs="Arial" w:eastAsia="Arial" w:hAnsi="Arial"/>
          <w:sz w:val="20"/>
          <w:szCs w:val="20"/>
          <w:color w:val="auto"/>
        </w:rPr>
      </w:pPr>
      <w:r>
        <w:rPr>
          <w:rFonts w:ascii="Arial" w:cs="Arial" w:eastAsia="Arial" w:hAnsi="Arial"/>
          <w:sz w:val="22"/>
          <w:szCs w:val="22"/>
          <w:b w:val="1"/>
          <w:bCs w:val="1"/>
          <w:color w:val="auto"/>
        </w:rPr>
        <w:t>Intellectual Property of the Company</w:t>
      </w:r>
      <w:r>
        <w:rPr>
          <w:rFonts w:ascii="Arial" w:cs="Arial" w:eastAsia="Arial" w:hAnsi="Arial"/>
          <w:sz w:val="19"/>
          <w:szCs w:val="19"/>
          <w:color w:val="auto"/>
        </w:rPr>
        <w:t>. As additional consideration for the execution and delivery of this Agreement to the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extent not already obligated to do so with respect to the Company and without limitation to any other agreement Employee has with the Company with respect to the following </w:t>
      </w:r>
      <w:r>
        <w:rPr>
          <w:rFonts w:ascii="Arial" w:cs="Arial" w:eastAsia="Arial" w:hAnsi="Arial"/>
          <w:sz w:val="21"/>
          <w:szCs w:val="21"/>
          <w:color w:val="auto"/>
        </w:rPr>
        <w:t>matters:</w:t>
      </w:r>
    </w:p>
    <w:p>
      <w:pPr>
        <w:spacing w:after="0" w:line="228" w:lineRule="exact"/>
        <w:rPr>
          <w:rFonts w:ascii="Arial" w:cs="Arial" w:eastAsia="Arial" w:hAnsi="Arial"/>
          <w:sz w:val="20"/>
          <w:szCs w:val="20"/>
          <w:color w:val="auto"/>
        </w:rPr>
      </w:pPr>
    </w:p>
    <w:p>
      <w:pPr>
        <w:jc w:val="both"/>
        <w:ind w:left="968" w:hanging="320"/>
        <w:spacing w:after="0" w:line="246" w:lineRule="auto"/>
        <w:tabs>
          <w:tab w:leader="none" w:pos="957" w:val="left"/>
        </w:tabs>
        <w:numPr>
          <w:ilvl w:val="1"/>
          <w:numId w:val="30"/>
        </w:numPr>
        <w:rPr>
          <w:rFonts w:ascii="Arial" w:cs="Arial" w:eastAsia="Arial" w:hAnsi="Arial"/>
          <w:sz w:val="20"/>
          <w:szCs w:val="20"/>
          <w:color w:val="auto"/>
        </w:rPr>
      </w:pPr>
      <w:r>
        <w:rPr>
          <w:rFonts w:ascii="Arial" w:cs="Arial" w:eastAsia="Arial" w:hAnsi="Arial"/>
          <w:sz w:val="20"/>
          <w:szCs w:val="20"/>
          <w:color w:val="auto"/>
        </w:rPr>
        <w:t>Employee agrees to disclose in writing to the Company all source code, passwords, inventions, products, designs, drawings, notes, information, documentation, improvements, works of authorship, processes, techniques, know-how, technical specifications, hardware, computer programs, databases, user interfaces, encoding techniques, and other materials or innovations of any kind that Employee has made, conceived, developed or reduced to practice, alone or jointly with others, in connection with Employee’s term of service to the Company prior to the Separation Date or that resulted from or that related thereto, whether or not they are eligible for patent, copyright, mask work, trade secret, trademark or other legal protection (“</w:t>
      </w:r>
      <w:r>
        <w:rPr>
          <w:rFonts w:ascii="Arial" w:cs="Arial" w:eastAsia="Arial" w:hAnsi="Arial"/>
          <w:sz w:val="21"/>
          <w:szCs w:val="21"/>
          <w:b w:val="1"/>
          <w:bCs w:val="1"/>
          <w:i w:val="1"/>
          <w:iCs w:val="1"/>
          <w:color w:val="auto"/>
        </w:rPr>
        <w:t>Innovations</w:t>
      </w:r>
      <w:r>
        <w:rPr>
          <w:rFonts w:ascii="Arial" w:cs="Arial" w:eastAsia="Arial" w:hAnsi="Arial"/>
          <w:sz w:val="20"/>
          <w:szCs w:val="20"/>
          <w:color w:val="auto"/>
        </w:rPr>
        <w:t>”).</w:t>
      </w:r>
    </w:p>
    <w:p>
      <w:pPr>
        <w:spacing w:after="0" w:line="215" w:lineRule="exact"/>
        <w:rPr>
          <w:sz w:val="20"/>
          <w:szCs w:val="20"/>
          <w:color w:val="auto"/>
        </w:rPr>
      </w:pPr>
    </w:p>
    <w:p>
      <w:pPr>
        <w:jc w:val="both"/>
        <w:ind w:left="968" w:hanging="320"/>
        <w:spacing w:after="0" w:line="274" w:lineRule="auto"/>
        <w:tabs>
          <w:tab w:leader="none" w:pos="9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 and the Company agree that, to the fullest extent legally possible, all Innovations (as defined in Section 8(a)) will be “works for hire” as that term is defined in Section 101 of the 1976 Copyright Act, and shall be owned exclusively by the Company. Employee agrees that, regardless of whether the Innovations are legally works for hire, all Innovations will be the sole and exclusive property of the Company. Employee hereby irrevocably transfers and assigns to the Company, and agrees to irrevocably transfer and assign to the Company, all of Employee’s right, title and interest in and to the Innovations, including all worldwide patent rights (including patent applications and disclosures), copyright rights, mask work rights, trade secret rights, know-how, and any and all other intellectual property or proprietary rights therein (collectively, “</w:t>
      </w:r>
      <w:r>
        <w:rPr>
          <w:rFonts w:ascii="Arial" w:cs="Arial" w:eastAsia="Arial" w:hAnsi="Arial"/>
          <w:sz w:val="19"/>
          <w:szCs w:val="19"/>
          <w:b w:val="1"/>
          <w:bCs w:val="1"/>
          <w:i w:val="1"/>
          <w:iCs w:val="1"/>
          <w:color w:val="auto"/>
        </w:rPr>
        <w:t>Intellectual Property Rights</w:t>
      </w:r>
      <w:r>
        <w:rPr>
          <w:rFonts w:ascii="Arial" w:cs="Arial" w:eastAsia="Arial" w:hAnsi="Arial"/>
          <w:sz w:val="18"/>
          <w:szCs w:val="18"/>
          <w:color w:val="auto"/>
        </w:rPr>
        <w:t>”). At the Company’s request and expense, during and after the term of this Agreement, Employee will assist and cooperate with the Company in all respects and will execute documents (including, without limitation, assignments as to any Intellectual Property Rights which become the property of the Company pursuant to this Section 8) and, subject to the reasonable availability of Employee, will give testimony and take such further acts reasonably requested by the Company to enable the Company to acquire, transfer, maintain, perfect and enforce its Intellectual Property Rights and other legal protections for the Innovations. Employee hereby appoints the Company as attorney-in-fact to execute documents on behalf of Employee for this limited purpose.</w:t>
      </w:r>
    </w:p>
    <w:p>
      <w:pPr>
        <w:spacing w:after="0" w:line="202" w:lineRule="exact"/>
        <w:rPr>
          <w:sz w:val="20"/>
          <w:szCs w:val="20"/>
          <w:color w:val="auto"/>
        </w:rPr>
      </w:pPr>
    </w:p>
    <w:p>
      <w:pPr>
        <w:jc w:val="both"/>
        <w:ind w:left="968" w:hanging="320"/>
        <w:spacing w:after="0" w:line="255" w:lineRule="auto"/>
        <w:tabs>
          <w:tab w:leader="none" w:pos="957" w:val="left"/>
        </w:tabs>
        <w:numPr>
          <w:ilvl w:val="0"/>
          <w:numId w:val="32"/>
        </w:numPr>
        <w:rPr>
          <w:rFonts w:ascii="Arial" w:cs="Arial" w:eastAsia="Arial" w:hAnsi="Arial"/>
          <w:sz w:val="19"/>
          <w:szCs w:val="19"/>
          <w:color w:val="auto"/>
        </w:rPr>
      </w:pPr>
      <w:r>
        <w:rPr>
          <w:rFonts w:ascii="Arial" w:cs="Arial" w:eastAsia="Arial" w:hAnsi="Arial"/>
          <w:sz w:val="19"/>
          <w:szCs w:val="19"/>
          <w:color w:val="auto"/>
        </w:rPr>
        <w:t>Employee hereby irrevocably transfers and assigns to the Company, and agrees to irrevocably transfer and assign to the Company, and waives and agrees never to assert, any and all Moral Rights (as defined below) that Employee may have in or with respect to any Innovation, during and after the term of this Agreement. “</w:t>
      </w:r>
      <w:r>
        <w:rPr>
          <w:rFonts w:ascii="Arial" w:cs="Arial" w:eastAsia="Arial" w:hAnsi="Arial"/>
          <w:sz w:val="20"/>
          <w:szCs w:val="20"/>
          <w:b w:val="1"/>
          <w:bCs w:val="1"/>
          <w:i w:val="1"/>
          <w:iCs w:val="1"/>
          <w:color w:val="auto"/>
        </w:rPr>
        <w:t>Moral Rights</w:t>
      </w:r>
      <w:r>
        <w:rPr>
          <w:rFonts w:ascii="Arial" w:cs="Arial" w:eastAsia="Arial" w:hAnsi="Arial"/>
          <w:sz w:val="19"/>
          <w:szCs w:val="19"/>
          <w:color w:val="auto"/>
        </w:rPr>
        <w:t>” mean any rights to claim authorship of an Innovation (as defined in Section 8(a)), to object to or prevent the modification or destruction of any Innovation, to withdraw from circulation or control the publication or distribution of any Innovation, and any similar right, existing under judicial or statutory law of any country in the world, or under any treaty, regardless of whether or not such right is called or generally referred to as a “moral right.”</w:t>
      </w:r>
    </w:p>
    <w:p>
      <w:pPr>
        <w:sectPr>
          <w:pgSz w:w="11900" w:h="16838" w:orient="portrait"/>
          <w:cols w:equalWidth="0" w:num="1">
            <w:col w:w="10908"/>
          </w:cols>
          <w:pgMar w:left="652" w:top="36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968" w:hanging="320"/>
        <w:spacing w:after="0" w:line="255" w:lineRule="auto"/>
        <w:tabs>
          <w:tab w:leader="none" w:pos="957" w:val="left"/>
        </w:tabs>
        <w:numPr>
          <w:ilvl w:val="1"/>
          <w:numId w:val="33"/>
        </w:numPr>
        <w:rPr>
          <w:rFonts w:ascii="Arial" w:cs="Arial" w:eastAsia="Arial" w:hAnsi="Arial"/>
          <w:sz w:val="19"/>
          <w:szCs w:val="19"/>
          <w:color w:val="auto"/>
        </w:rPr>
      </w:pPr>
      <w:r>
        <w:rPr>
          <w:rFonts w:ascii="Arial" w:cs="Arial" w:eastAsia="Arial" w:hAnsi="Arial"/>
          <w:sz w:val="19"/>
          <w:szCs w:val="19"/>
          <w:color w:val="auto"/>
        </w:rPr>
        <w:t>To the extent that Employee owns or controls any patent rights, copyright rights, mask work rights, trade secret rights, or any other intellectual property or proprietary rights that block or interfere with the rights assigned to the Company under this Agreement (collectively, “</w:t>
      </w:r>
      <w:r>
        <w:rPr>
          <w:rFonts w:ascii="Arial" w:cs="Arial" w:eastAsia="Arial" w:hAnsi="Arial"/>
          <w:sz w:val="20"/>
          <w:szCs w:val="20"/>
          <w:b w:val="1"/>
          <w:bCs w:val="1"/>
          <w:i w:val="1"/>
          <w:iCs w:val="1"/>
          <w:color w:val="auto"/>
        </w:rPr>
        <w:t>Related Rights</w:t>
      </w:r>
      <w:r>
        <w:rPr>
          <w:rFonts w:ascii="Arial" w:cs="Arial" w:eastAsia="Arial" w:hAnsi="Arial"/>
          <w:sz w:val="19"/>
          <w:szCs w:val="19"/>
          <w:color w:val="auto"/>
        </w:rPr>
        <w:t>”), Employee hereby grants or will cause to be granted to the Company a non-exclusive, royalty-free, irrevocable, worldwide license to make, have made, use, offer to sell, sell, import, copy, modify, create derivative works based upon, distribute, sublicense, display, perform and transmit any products, software, hardware, methods or materials of any kind that are covered by such Related Rights, to the extent necessary to enable the Company to exercise all of the rights assigned to the Company under this Agreement.</w:t>
      </w:r>
    </w:p>
    <w:p>
      <w:pPr>
        <w:spacing w:after="0" w:line="188" w:lineRule="exact"/>
        <w:rPr>
          <w:rFonts w:ascii="Arial" w:cs="Arial" w:eastAsia="Arial" w:hAnsi="Arial"/>
          <w:sz w:val="19"/>
          <w:szCs w:val="19"/>
          <w:color w:val="auto"/>
        </w:rPr>
      </w:pPr>
    </w:p>
    <w:p>
      <w:pPr>
        <w:jc w:val="both"/>
        <w:ind w:left="328" w:hanging="328"/>
        <w:spacing w:after="0" w:line="274" w:lineRule="auto"/>
        <w:tabs>
          <w:tab w:leader="none" w:pos="317" w:val="left"/>
        </w:tabs>
        <w:numPr>
          <w:ilvl w:val="0"/>
          <w:numId w:val="34"/>
        </w:numPr>
        <w:rPr>
          <w:rFonts w:ascii="Arial" w:cs="Arial" w:eastAsia="Arial" w:hAnsi="Arial"/>
          <w:sz w:val="19"/>
          <w:szCs w:val="19"/>
          <w:color w:val="auto"/>
        </w:rPr>
      </w:pPr>
      <w:r>
        <w:rPr>
          <w:rFonts w:ascii="Arial" w:cs="Arial" w:eastAsia="Arial" w:hAnsi="Arial"/>
          <w:sz w:val="21"/>
          <w:szCs w:val="21"/>
          <w:b w:val="1"/>
          <w:bCs w:val="1"/>
          <w:color w:val="auto"/>
        </w:rPr>
        <w:t>Cooperation</w:t>
      </w:r>
      <w:r>
        <w:rPr>
          <w:rFonts w:ascii="Arial" w:cs="Arial" w:eastAsia="Arial" w:hAnsi="Arial"/>
          <w:sz w:val="18"/>
          <w:szCs w:val="18"/>
          <w:color w:val="auto"/>
        </w:rPr>
        <w:t>. Employee agrees, in connection with this Agreement, that she will execute and deliver such additional documents</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and instruments reasonably required by Company to record and evidence Employee’s resignation from the Company Entities. Further, Employee agrees to cooperate with the Company and make herself generally available to the Company in connection with disputes between the Company and third parties. This cooperation may include, but is not limited to, conferring with and assisting the Company in preparatory work in litigation matters, providing factual information to the Company, and giving depositions and testimony in judicial and administrative proceedings. Employee agrees that Employee will not be paid by the Company for Employee’s cooperation, unless the assistance required exceeds ten (10) hours of time, after which the Company agrees to compensate Employee at a rate of Three Hundred Dollars ($300) per hour. Employee further agrees to make herself available on a reasonable basis with respect to any outstanding legal, business or strategic matters as necessary following the Effective Date, again with no compensation being required until the time spent exceeds ten (10) </w:t>
      </w:r>
      <w:r>
        <w:rPr>
          <w:rFonts w:ascii="Arial" w:cs="Arial" w:eastAsia="Arial" w:hAnsi="Arial"/>
          <w:sz w:val="20"/>
          <w:szCs w:val="20"/>
          <w:color w:val="auto"/>
        </w:rPr>
        <w:t>hours.</w:t>
      </w:r>
    </w:p>
    <w:p>
      <w:pPr>
        <w:spacing w:after="0" w:line="178" w:lineRule="exact"/>
        <w:rPr>
          <w:sz w:val="20"/>
          <w:szCs w:val="20"/>
          <w:color w:val="auto"/>
        </w:rPr>
      </w:pPr>
    </w:p>
    <w:p>
      <w:pPr>
        <w:jc w:val="both"/>
        <w:ind w:left="328" w:hanging="328"/>
        <w:spacing w:after="0" w:line="268" w:lineRule="auto"/>
        <w:tabs>
          <w:tab w:leader="none" w:pos="317" w:val="left"/>
        </w:tabs>
        <w:numPr>
          <w:ilvl w:val="0"/>
          <w:numId w:val="35"/>
        </w:numPr>
        <w:rPr>
          <w:rFonts w:ascii="Arial" w:cs="Arial" w:eastAsia="Arial" w:hAnsi="Arial"/>
          <w:sz w:val="19"/>
          <w:szCs w:val="19"/>
          <w:color w:val="auto"/>
        </w:rPr>
      </w:pPr>
      <w:r>
        <w:rPr>
          <w:rFonts w:ascii="Arial" w:cs="Arial" w:eastAsia="Arial" w:hAnsi="Arial"/>
          <w:sz w:val="21"/>
          <w:szCs w:val="21"/>
          <w:b w:val="1"/>
          <w:bCs w:val="1"/>
          <w:color w:val="auto"/>
        </w:rPr>
        <w:t>Confidentiality</w:t>
      </w:r>
      <w:r>
        <w:rPr>
          <w:rFonts w:ascii="Arial" w:cs="Arial" w:eastAsia="Arial" w:hAnsi="Arial"/>
          <w:sz w:val="18"/>
          <w:szCs w:val="18"/>
          <w:color w:val="auto"/>
        </w:rPr>
        <w:t>. Except as otherwise prohibited by law, Employee agrees that neither Employee nor any of Employee’s agents or</w:t>
      </w:r>
      <w:r>
        <w:rPr>
          <w:rFonts w:ascii="Arial" w:cs="Arial" w:eastAsia="Arial" w:hAnsi="Arial"/>
          <w:sz w:val="21"/>
          <w:szCs w:val="21"/>
          <w:b w:val="1"/>
          <w:bCs w:val="1"/>
          <w:color w:val="auto"/>
        </w:rPr>
        <w:t xml:space="preserve"> </w:t>
      </w:r>
      <w:r>
        <w:rPr>
          <w:rFonts w:ascii="Arial" w:cs="Arial" w:eastAsia="Arial" w:hAnsi="Arial"/>
          <w:sz w:val="18"/>
          <w:szCs w:val="18"/>
          <w:color w:val="auto"/>
        </w:rPr>
        <w:t>representatives will disclose, disseminate and/or publicize, or cause or permit to be disclosed, disseminated or publicized, any attorney client privileged information, attorney work product, confidential information or trade secrets of the Company, the existence of this Agreement or the RSU Award Agreement, any of the terms of this Agreement or the RSU Award Agreement, or any claims or allegations which Employee could have made or asserted against the Company, to any person, corporation, association or governmental agency or other entity except: (a) to the extent necessary to report income to appropriate taxing authorities; (b) to members of Employee’s immediate family; (c) to the extent permitted by federal, state, and/or local laws (such as the National Labor Relations Act, the Securities Exchange Act of 1934, and any other applicable law(s)), without notice to, or approval from, the Company; (d) in response to an order of a court of competent jurisdiction or subpoena issued under the authority thereof; or (e) in response to any inquiry or subpoena issued by a state or federal governmental agency; provided, however, that notice of receipt of such judicial order or subpoena shall be immediately communicated by Employee to the Company telephonically, and confirmed immediately thereafter in writing, so that the Company will have the opportunity to assert what rights it has to non- disclosure prior to Employee’s response to the order, inquiry or subpoena. Should Employee disclose to Employee’s immediate family members any of the terms this Agreement, Employee will advise them that they are under the same obligation of confidentiality as described in this Section. Employee also agrees not to disclose any confidential or proprietary information pertaining to the business of the Company and/or its customers. For the avoidance of doubt, the confidentiality obligations of this Section shall extend to any information Employee has with respect to the businesses or activities of the Company Entities and any prospective opportunities which such equity holders have discussed or considered pursuing as well as any information received from any actual or potential customers of the Company.</w:t>
      </w:r>
    </w:p>
    <w:p>
      <w:pPr>
        <w:sectPr>
          <w:pgSz w:w="11900" w:h="16838" w:orient="portrait"/>
          <w:cols w:equalWidth="0" w:num="1">
            <w:col w:w="10908"/>
          </w:cols>
          <w:pgMar w:left="652" w:top="36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firstLine="1169"/>
        <w:spacing w:after="0" w:line="246" w:lineRule="auto"/>
        <w:rPr>
          <w:sz w:val="20"/>
          <w:szCs w:val="20"/>
          <w:color w:val="auto"/>
        </w:rPr>
      </w:pPr>
      <w:r>
        <w:rPr>
          <w:rFonts w:ascii="Arial" w:cs="Arial" w:eastAsia="Arial" w:hAnsi="Arial"/>
          <w:sz w:val="20"/>
          <w:szCs w:val="20"/>
          <w:color w:val="auto"/>
        </w:rPr>
        <w:t>Any violation of the confidentiality provision contained in this Agreement by Employee shall be considered a material breach of this Agreement.</w:t>
      </w:r>
    </w:p>
    <w:p>
      <w:pPr>
        <w:spacing w:after="0" w:line="206" w:lineRule="exact"/>
        <w:rPr>
          <w:sz w:val="20"/>
          <w:szCs w:val="20"/>
          <w:color w:val="auto"/>
        </w:rPr>
      </w:pPr>
    </w:p>
    <w:p>
      <w:pPr>
        <w:jc w:val="both"/>
        <w:ind w:left="660" w:hanging="328"/>
        <w:spacing w:after="0" w:line="273" w:lineRule="auto"/>
        <w:tabs>
          <w:tab w:leader="none" w:pos="649" w:val="left"/>
        </w:tabs>
        <w:numPr>
          <w:ilvl w:val="0"/>
          <w:numId w:val="36"/>
        </w:numPr>
        <w:rPr>
          <w:rFonts w:ascii="Arial" w:cs="Arial" w:eastAsia="Arial" w:hAnsi="Arial"/>
          <w:sz w:val="19"/>
          <w:szCs w:val="19"/>
          <w:color w:val="auto"/>
        </w:rPr>
      </w:pPr>
      <w:r>
        <w:rPr>
          <w:rFonts w:ascii="Arial" w:cs="Arial" w:eastAsia="Arial" w:hAnsi="Arial"/>
          <w:sz w:val="21"/>
          <w:szCs w:val="21"/>
          <w:b w:val="1"/>
          <w:bCs w:val="1"/>
          <w:color w:val="auto"/>
        </w:rPr>
        <w:t>Non-Disparagement</w:t>
      </w:r>
      <w:r>
        <w:rPr>
          <w:rFonts w:ascii="Arial" w:cs="Arial" w:eastAsia="Arial" w:hAnsi="Arial"/>
          <w:sz w:val="18"/>
          <w:szCs w:val="18"/>
          <w:color w:val="auto"/>
        </w:rPr>
        <w:t>. Employee agrees that for a term of one (1) year from the end of the Revocation Period (the “</w:t>
      </w:r>
      <w:r>
        <w:rPr>
          <w:rFonts w:ascii="Arial" w:cs="Arial" w:eastAsia="Arial" w:hAnsi="Arial"/>
          <w:sz w:val="21"/>
          <w:szCs w:val="21"/>
          <w:b w:val="1"/>
          <w:bCs w:val="1"/>
          <w:i w:val="1"/>
          <w:iCs w:val="1"/>
          <w:color w:val="auto"/>
        </w:rPr>
        <w:t>Non-Disparagement Term</w:t>
      </w:r>
      <w:r>
        <w:rPr>
          <w:rFonts w:ascii="Arial" w:cs="Arial" w:eastAsia="Arial" w:hAnsi="Arial"/>
          <w:sz w:val="18"/>
          <w:szCs w:val="18"/>
          <w:color w:val="auto"/>
        </w:rPr>
        <w:t>”), Employee will not make any untrue comments (whether verbally or in writing) to any third party</w:t>
      </w:r>
      <w:r>
        <w:rPr>
          <w:rFonts w:ascii="Arial" w:cs="Arial" w:eastAsia="Arial" w:hAnsi="Arial"/>
          <w:sz w:val="21"/>
          <w:szCs w:val="21"/>
          <w:b w:val="1"/>
          <w:bCs w:val="1"/>
          <w:i w:val="1"/>
          <w:iCs w:val="1"/>
          <w:color w:val="auto"/>
        </w:rPr>
        <w:t xml:space="preserve"> </w:t>
      </w:r>
      <w:r>
        <w:rPr>
          <w:rFonts w:ascii="Arial" w:cs="Arial" w:eastAsia="Arial" w:hAnsi="Arial"/>
          <w:sz w:val="18"/>
          <w:szCs w:val="18"/>
          <w:color w:val="auto"/>
        </w:rPr>
        <w:t>concerning the Company Entities, or any of their current and former officers, directors, shareholders, employees, representatives, attorneys and agents, as well as their predecessors, parents, subsidiaries, affiliates, divisions, and successors-in-interest. The foregoing shall not apply to any communication or disclosure to the extent required to institute any proceedings to enforce the terms of this Agreement. WM Tech shall direct its officers and directors to refrain from making any untrue comments (whether verbally or in writing) to any third-party concerning Employee during the Non- Disparagement Term and will advise them not to suggest to any third-party that Employee was terminated for Cause or engaged in any unlawful conduct. The Company will respond to any third-party inquiries about Employee by providing only Employee’s dates of employment, job title, and, if authorized by Employee in writing, Employee’s last rate of pay. Employee will direct all such inquiries only to the Company’s People Operations Department.</w:t>
      </w:r>
    </w:p>
    <w:p>
      <w:pPr>
        <w:spacing w:after="0" w:line="187" w:lineRule="exact"/>
        <w:rPr>
          <w:sz w:val="20"/>
          <w:szCs w:val="20"/>
          <w:color w:val="auto"/>
        </w:rPr>
      </w:pPr>
    </w:p>
    <w:p>
      <w:pPr>
        <w:jc w:val="both"/>
        <w:ind w:left="660" w:hanging="328"/>
        <w:spacing w:after="0" w:line="257" w:lineRule="auto"/>
        <w:tabs>
          <w:tab w:leader="none" w:pos="649" w:val="left"/>
        </w:tabs>
        <w:numPr>
          <w:ilvl w:val="0"/>
          <w:numId w:val="37"/>
        </w:numPr>
        <w:rPr>
          <w:rFonts w:ascii="Arial" w:cs="Arial" w:eastAsia="Arial" w:hAnsi="Arial"/>
          <w:sz w:val="20"/>
          <w:szCs w:val="20"/>
          <w:color w:val="auto"/>
        </w:rPr>
      </w:pPr>
      <w:r>
        <w:rPr>
          <w:rFonts w:ascii="Arial" w:cs="Arial" w:eastAsia="Arial" w:hAnsi="Arial"/>
          <w:sz w:val="22"/>
          <w:szCs w:val="22"/>
          <w:b w:val="1"/>
          <w:bCs w:val="1"/>
          <w:color w:val="auto"/>
        </w:rPr>
        <w:t>Unimpeded Actions and Activities</w:t>
      </w:r>
      <w:r>
        <w:rPr>
          <w:rFonts w:ascii="Arial" w:cs="Arial" w:eastAsia="Arial" w:hAnsi="Arial"/>
          <w:sz w:val="19"/>
          <w:szCs w:val="19"/>
          <w:color w:val="auto"/>
        </w:rPr>
        <w:t>. Nothing in this Agreement shall be construed to prevent or limit Employee from: (a)</w:t>
      </w:r>
      <w:r>
        <w:rPr>
          <w:rFonts w:ascii="Arial" w:cs="Arial" w:eastAsia="Arial" w:hAnsi="Arial"/>
          <w:sz w:val="22"/>
          <w:szCs w:val="22"/>
          <w:b w:val="1"/>
          <w:bCs w:val="1"/>
          <w:color w:val="auto"/>
        </w:rPr>
        <w:t xml:space="preserve"> </w:t>
      </w:r>
      <w:r>
        <w:rPr>
          <w:rFonts w:ascii="Arial" w:cs="Arial" w:eastAsia="Arial" w:hAnsi="Arial"/>
          <w:sz w:val="19"/>
          <w:szCs w:val="19"/>
          <w:color w:val="auto"/>
        </w:rPr>
        <w:t>discussing or disclosing information about unlawful acts in the workplace, including, but not limited to, harassment or discrimination or any other conduct that Employee has reason to believe is unlawful; (b) engaging in any activity protected by the National Labor Relations Act; (c) making a report to the Securities and Exchange Commission pursuant to Section 21F of the Securities Exchange Act of 1934; (d) communicating with any other federal, state or local government agency; (e) filing a charge with any federal, state or local agency; or (f) participating, testifying and/or</w:t>
      </w:r>
    </w:p>
    <w:p>
      <w:pPr>
        <w:spacing w:after="0" w:line="220" w:lineRule="exact"/>
        <w:rPr>
          <w:sz w:val="20"/>
          <w:szCs w:val="20"/>
          <w:color w:val="auto"/>
        </w:rPr>
      </w:pPr>
    </w:p>
    <w:p>
      <w:pPr>
        <w:ind w:right="120" w:firstLine="522"/>
        <w:spacing w:after="0" w:line="260" w:lineRule="auto"/>
        <w:rPr>
          <w:sz w:val="20"/>
          <w:szCs w:val="20"/>
          <w:color w:val="auto"/>
        </w:rPr>
      </w:pPr>
      <w:r>
        <w:rPr>
          <w:rFonts w:ascii="Arial" w:cs="Arial" w:eastAsia="Arial" w:hAnsi="Arial"/>
          <w:sz w:val="20"/>
          <w:szCs w:val="20"/>
          <w:color w:val="auto"/>
        </w:rPr>
        <w:t>assisting in any investigation, hearing or other proceeding before any federal, state or local agency or brought by any federal, state or local agency.</w:t>
      </w:r>
    </w:p>
    <w:p>
      <w:pPr>
        <w:spacing w:after="0" w:line="180" w:lineRule="exact"/>
        <w:rPr>
          <w:sz w:val="20"/>
          <w:szCs w:val="20"/>
          <w:color w:val="auto"/>
        </w:rPr>
      </w:pPr>
    </w:p>
    <w:p>
      <w:pPr>
        <w:jc w:val="both"/>
        <w:ind w:left="660" w:hanging="328"/>
        <w:spacing w:after="0" w:line="269" w:lineRule="auto"/>
        <w:tabs>
          <w:tab w:leader="none" w:pos="649" w:val="left"/>
        </w:tabs>
        <w:numPr>
          <w:ilvl w:val="0"/>
          <w:numId w:val="38"/>
        </w:numPr>
        <w:rPr>
          <w:rFonts w:ascii="Arial" w:cs="Arial" w:eastAsia="Arial" w:hAnsi="Arial"/>
          <w:sz w:val="19"/>
          <w:szCs w:val="19"/>
          <w:color w:val="auto"/>
        </w:rPr>
      </w:pPr>
      <w:r>
        <w:rPr>
          <w:rFonts w:ascii="Arial" w:cs="Arial" w:eastAsia="Arial" w:hAnsi="Arial"/>
          <w:sz w:val="21"/>
          <w:szCs w:val="21"/>
          <w:b w:val="1"/>
          <w:bCs w:val="1"/>
          <w:color w:val="auto"/>
        </w:rPr>
        <w:t>Right to an Attorney; Time to Consider</w:t>
      </w:r>
      <w:r>
        <w:rPr>
          <w:rFonts w:ascii="Arial" w:cs="Arial" w:eastAsia="Arial" w:hAnsi="Arial"/>
          <w:sz w:val="18"/>
          <w:szCs w:val="18"/>
          <w:color w:val="auto"/>
        </w:rPr>
        <w:t>. This Agreement constitutes a knowing and voluntary waiver of any and all rights or</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claims that Employee has or may have under the federal Age Discrimination in Employment Act (ADEA), as amended by the Older Workers’ Benefit Protection Act of 1990, 29 U.S.C. §§ 621 </w:t>
      </w:r>
      <w:r>
        <w:rPr>
          <w:rFonts w:ascii="Arial" w:cs="Arial" w:eastAsia="Arial" w:hAnsi="Arial"/>
          <w:sz w:val="20"/>
          <w:szCs w:val="20"/>
          <w:i w:val="1"/>
          <w:iCs w:val="1"/>
          <w:color w:val="auto"/>
        </w:rPr>
        <w:t>et seq.</w:t>
      </w:r>
      <w:r>
        <w:rPr>
          <w:rFonts w:ascii="Arial" w:cs="Arial" w:eastAsia="Arial" w:hAnsi="Arial"/>
          <w:sz w:val="18"/>
          <w:szCs w:val="18"/>
          <w:color w:val="auto"/>
        </w:rPr>
        <w:t xml:space="preserve"> This Section and this Agreement are written in a manner calculated to be understood by Employee. Employee acknowledges and agrees that Employee has had twenty-one (21) days to consider this Agreement and to consult with counsel, and the Company has advised Employee of Employee’s right to do so. To the extent that Employee has taken less than twenty-one (21) days to consider this Agreement, Employee acknowledges that Employee has had sufficient time to consider the Agreement and to consult with counsel and that Employee did not desire additional time. The terms of this Agreement will not become enforceable for seven (7) calendar days following the date of execution of this Agreement (the “</w:t>
      </w:r>
      <w:r>
        <w:rPr>
          <w:rFonts w:ascii="Arial" w:cs="Arial" w:eastAsia="Arial" w:hAnsi="Arial"/>
          <w:sz w:val="20"/>
          <w:szCs w:val="20"/>
          <w:b w:val="1"/>
          <w:bCs w:val="1"/>
          <w:i w:val="1"/>
          <w:iCs w:val="1"/>
          <w:color w:val="auto"/>
        </w:rPr>
        <w:t>Revocation Period</w:t>
      </w:r>
      <w:r>
        <w:rPr>
          <w:rFonts w:ascii="Arial" w:cs="Arial" w:eastAsia="Arial" w:hAnsi="Arial"/>
          <w:sz w:val="18"/>
          <w:szCs w:val="18"/>
          <w:color w:val="auto"/>
        </w:rPr>
        <w:t>”), during which time Employee may revoke this Agreement by notifying the undersigned representative of the Company in writing by registered letter. In the event of any such revocation, the Employee acknowledges and agrees that the RSU Award Agreement shall be deemed revoked as well by the Employee.</w:t>
      </w:r>
    </w:p>
    <w:p>
      <w:pPr>
        <w:spacing w:after="0" w:line="181" w:lineRule="exact"/>
        <w:rPr>
          <w:sz w:val="20"/>
          <w:szCs w:val="20"/>
          <w:color w:val="auto"/>
        </w:rPr>
      </w:pPr>
    </w:p>
    <w:p>
      <w:pPr>
        <w:ind w:left="660" w:hanging="328"/>
        <w:spacing w:after="0" w:line="239" w:lineRule="auto"/>
        <w:tabs>
          <w:tab w:leader="none" w:pos="649" w:val="left"/>
        </w:tabs>
        <w:numPr>
          <w:ilvl w:val="0"/>
          <w:numId w:val="39"/>
        </w:numPr>
        <w:rPr>
          <w:rFonts w:ascii="Arial" w:cs="Arial" w:eastAsia="Arial" w:hAnsi="Arial"/>
          <w:sz w:val="20"/>
          <w:szCs w:val="20"/>
          <w:color w:val="auto"/>
        </w:rPr>
      </w:pPr>
      <w:r>
        <w:rPr>
          <w:rFonts w:ascii="Arial" w:cs="Arial" w:eastAsia="Arial" w:hAnsi="Arial"/>
          <w:sz w:val="22"/>
          <w:szCs w:val="22"/>
          <w:b w:val="1"/>
          <w:bCs w:val="1"/>
          <w:color w:val="auto"/>
        </w:rPr>
        <w:t>Cancellation and Repayment of Severance Payment</w:t>
      </w:r>
      <w:r>
        <w:rPr>
          <w:rFonts w:ascii="Arial" w:cs="Arial" w:eastAsia="Arial" w:hAnsi="Arial"/>
          <w:sz w:val="19"/>
          <w:szCs w:val="19"/>
          <w:color w:val="auto"/>
        </w:rPr>
        <w:t>. In the event of a material breach of this Agreement by Employee</w:t>
      </w:r>
      <w:r>
        <w:rPr>
          <w:rFonts w:ascii="Arial" w:cs="Arial" w:eastAsia="Arial" w:hAnsi="Arial"/>
          <w:sz w:val="22"/>
          <w:szCs w:val="22"/>
          <w:b w:val="1"/>
          <w:bCs w:val="1"/>
          <w:color w:val="auto"/>
        </w:rPr>
        <w:t xml:space="preserve"> </w:t>
      </w:r>
      <w:r>
        <w:rPr>
          <w:rFonts w:ascii="Arial" w:cs="Arial" w:eastAsia="Arial" w:hAnsi="Arial"/>
          <w:sz w:val="19"/>
          <w:szCs w:val="19"/>
          <w:color w:val="auto"/>
        </w:rPr>
        <w:t>including, but not limited to, the confidentiality and non-</w:t>
      </w:r>
    </w:p>
    <w:p>
      <w:pPr>
        <w:sectPr>
          <w:pgSz w:w="11900" w:h="16838" w:orient="portrait"/>
          <w:cols w:equalWidth="0" w:num="1">
            <w:col w:w="11240"/>
          </w:cols>
          <w:pgMar w:left="320" w:top="364" w:right="339" w:bottom="1440" w:gutter="0" w:footer="0" w:header="0"/>
        </w:sectPr>
      </w:pPr>
    </w:p>
    <w:bookmarkStart w:id="57" w:name="page58"/>
    <w:bookmarkEnd w:id="57"/>
    <w:p>
      <w:pPr>
        <w:ind w:left="9708"/>
        <w:spacing w:after="0"/>
        <w:rPr>
          <w:sz w:val="20"/>
          <w:szCs w:val="20"/>
          <w:color w:val="auto"/>
        </w:rPr>
      </w:pPr>
      <w:r>
        <w:rPr>
          <w:rFonts w:ascii="Arial" w:cs="Arial" w:eastAsia="Arial" w:hAnsi="Arial"/>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328"/>
        <w:spacing w:after="0" w:line="252" w:lineRule="auto"/>
        <w:rPr>
          <w:sz w:val="20"/>
          <w:szCs w:val="20"/>
          <w:color w:val="auto"/>
        </w:rPr>
      </w:pPr>
      <w:r>
        <w:rPr>
          <w:rFonts w:ascii="Arial" w:cs="Arial" w:eastAsia="Arial" w:hAnsi="Arial"/>
          <w:sz w:val="20"/>
          <w:szCs w:val="20"/>
          <w:color w:val="auto"/>
        </w:rPr>
        <w:t>disparagement provisions during the period that begins on the Effective Date, , then in addition to any remedies available to the Company at law or equity, Company shall have the right to seek recoupment of any benefits previously paid or provided to Employee under the terms of this Agreement (namely the Severance Payment and the Severance Insurance Benefit). If it is ultimately adjudicated by a non-appealable decision that Employee was obligated to return the previously paid portion of the Severance Payment and Severance Insurance Benefit to Company, it will not abrogate or affect in any way Employee’s full release of any and all Claims against the Releasees.</w:t>
      </w:r>
    </w:p>
    <w:p>
      <w:pPr>
        <w:spacing w:after="0" w:line="188" w:lineRule="exact"/>
        <w:rPr>
          <w:sz w:val="20"/>
          <w:szCs w:val="20"/>
          <w:color w:val="auto"/>
        </w:rPr>
      </w:pPr>
    </w:p>
    <w:p>
      <w:pPr>
        <w:jc w:val="both"/>
        <w:ind w:left="328" w:hanging="328"/>
        <w:spacing w:after="0" w:line="231" w:lineRule="auto"/>
        <w:tabs>
          <w:tab w:leader="none" w:pos="317" w:val="left"/>
        </w:tabs>
        <w:numPr>
          <w:ilvl w:val="0"/>
          <w:numId w:val="40"/>
        </w:numPr>
        <w:rPr>
          <w:rFonts w:ascii="Arial" w:cs="Arial" w:eastAsia="Arial" w:hAnsi="Arial"/>
          <w:sz w:val="20"/>
          <w:szCs w:val="20"/>
          <w:color w:val="auto"/>
        </w:rPr>
      </w:pPr>
      <w:r>
        <w:rPr>
          <w:rFonts w:ascii="Arial" w:cs="Arial" w:eastAsia="Arial" w:hAnsi="Arial"/>
          <w:sz w:val="22"/>
          <w:szCs w:val="22"/>
          <w:b w:val="1"/>
          <w:bCs w:val="1"/>
          <w:color w:val="auto"/>
        </w:rPr>
        <w:t>Section 409A of the Code</w:t>
      </w:r>
      <w:r>
        <w:rPr>
          <w:rFonts w:ascii="Arial" w:cs="Arial" w:eastAsia="Arial" w:hAnsi="Arial"/>
          <w:sz w:val="19"/>
          <w:szCs w:val="19"/>
          <w:color w:val="auto"/>
        </w:rPr>
        <w:t>. While the tax treatment of the payments provided under this Agreement is not warranted or</w:t>
      </w:r>
      <w:r>
        <w:rPr>
          <w:rFonts w:ascii="Arial" w:cs="Arial" w:eastAsia="Arial" w:hAnsi="Arial"/>
          <w:sz w:val="22"/>
          <w:szCs w:val="22"/>
          <w:b w:val="1"/>
          <w:bCs w:val="1"/>
          <w:color w:val="auto"/>
        </w:rPr>
        <w:t xml:space="preserve"> </w:t>
      </w:r>
      <w:r>
        <w:rPr>
          <w:rFonts w:ascii="Arial" w:cs="Arial" w:eastAsia="Arial" w:hAnsi="Arial"/>
          <w:sz w:val="19"/>
          <w:szCs w:val="19"/>
          <w:color w:val="auto"/>
        </w:rPr>
        <w:t>guaranteed, it is intended that such payments shall either be exempt from, or comply with, the requirements of Section 409A of the Internal Revenue Code of 1986, as amended. This Agreement shall be construed, administered and governed in a manner that effects such intent.</w:t>
      </w:r>
    </w:p>
    <w:p>
      <w:pPr>
        <w:spacing w:after="0" w:line="199" w:lineRule="exact"/>
        <w:rPr>
          <w:sz w:val="20"/>
          <w:szCs w:val="20"/>
          <w:color w:val="auto"/>
        </w:rPr>
      </w:pPr>
    </w:p>
    <w:p>
      <w:pPr>
        <w:jc w:val="both"/>
        <w:ind w:left="328" w:hanging="328"/>
        <w:spacing w:after="0" w:line="244" w:lineRule="auto"/>
        <w:tabs>
          <w:tab w:leader="none" w:pos="317" w:val="left"/>
        </w:tabs>
        <w:numPr>
          <w:ilvl w:val="0"/>
          <w:numId w:val="41"/>
        </w:numPr>
        <w:rPr>
          <w:rFonts w:ascii="Arial" w:cs="Arial" w:eastAsia="Arial" w:hAnsi="Arial"/>
          <w:sz w:val="20"/>
          <w:szCs w:val="20"/>
          <w:color w:val="auto"/>
        </w:rPr>
      </w:pPr>
      <w:r>
        <w:rPr>
          <w:rFonts w:ascii="Arial" w:cs="Arial" w:eastAsia="Arial" w:hAnsi="Arial"/>
          <w:sz w:val="22"/>
          <w:szCs w:val="22"/>
          <w:b w:val="1"/>
          <w:bCs w:val="1"/>
          <w:color w:val="auto"/>
        </w:rPr>
        <w:t>Waiver and Modification</w:t>
      </w:r>
      <w:r>
        <w:rPr>
          <w:rFonts w:ascii="Arial" w:cs="Arial" w:eastAsia="Arial" w:hAnsi="Arial"/>
          <w:sz w:val="19"/>
          <w:szCs w:val="19"/>
          <w:color w:val="auto"/>
        </w:rPr>
        <w:t>. The failure to enforce any provision of this Agreement shall not be construed to be a waiver of such</w:t>
      </w:r>
      <w:r>
        <w:rPr>
          <w:rFonts w:ascii="Arial" w:cs="Arial" w:eastAsia="Arial" w:hAnsi="Arial"/>
          <w:sz w:val="22"/>
          <w:szCs w:val="22"/>
          <w:b w:val="1"/>
          <w:bCs w:val="1"/>
          <w:color w:val="auto"/>
        </w:rPr>
        <w:t xml:space="preserve"> </w:t>
      </w:r>
      <w:r>
        <w:rPr>
          <w:rFonts w:ascii="Arial" w:cs="Arial" w:eastAsia="Arial" w:hAnsi="Arial"/>
          <w:sz w:val="19"/>
          <w:szCs w:val="19"/>
          <w:color w:val="auto"/>
        </w:rPr>
        <w:t>provision or to affect either the validity of this Agreement or the right of any Party to enforce the Agreement. This Agreement may be modified or amended only by a written agreement executed by Employee and the Company.</w:t>
      </w:r>
    </w:p>
    <w:p>
      <w:pPr>
        <w:spacing w:after="0" w:line="209" w:lineRule="exact"/>
        <w:rPr>
          <w:sz w:val="20"/>
          <w:szCs w:val="20"/>
          <w:color w:val="auto"/>
        </w:rPr>
      </w:pPr>
    </w:p>
    <w:p>
      <w:pPr>
        <w:jc w:val="both"/>
        <w:ind w:left="328" w:hanging="328"/>
        <w:spacing w:after="0" w:line="270" w:lineRule="auto"/>
        <w:tabs>
          <w:tab w:leader="none" w:pos="317" w:val="left"/>
        </w:tabs>
        <w:numPr>
          <w:ilvl w:val="0"/>
          <w:numId w:val="42"/>
        </w:numPr>
        <w:rPr>
          <w:rFonts w:ascii="Arial" w:cs="Arial" w:eastAsia="Arial" w:hAnsi="Arial"/>
          <w:sz w:val="19"/>
          <w:szCs w:val="19"/>
          <w:color w:val="auto"/>
        </w:rPr>
      </w:pPr>
      <w:r>
        <w:rPr>
          <w:rFonts w:ascii="Arial" w:cs="Arial" w:eastAsia="Arial" w:hAnsi="Arial"/>
          <w:sz w:val="21"/>
          <w:szCs w:val="21"/>
          <w:b w:val="1"/>
          <w:bCs w:val="1"/>
          <w:color w:val="auto"/>
        </w:rPr>
        <w:t>Severability and Savings Provision</w:t>
      </w:r>
      <w:r>
        <w:rPr>
          <w:rFonts w:ascii="Arial" w:cs="Arial" w:eastAsia="Arial" w:hAnsi="Arial"/>
          <w:sz w:val="18"/>
          <w:szCs w:val="18"/>
          <w:color w:val="auto"/>
        </w:rPr>
        <w:t>. In the event that any provision of this Agreement should be held to be void, voidable, or</w:t>
      </w:r>
      <w:r>
        <w:rPr>
          <w:rFonts w:ascii="Arial" w:cs="Arial" w:eastAsia="Arial" w:hAnsi="Arial"/>
          <w:sz w:val="21"/>
          <w:szCs w:val="21"/>
          <w:b w:val="1"/>
          <w:bCs w:val="1"/>
          <w:color w:val="auto"/>
        </w:rPr>
        <w:t xml:space="preserve"> </w:t>
      </w:r>
      <w:r>
        <w:rPr>
          <w:rFonts w:ascii="Arial" w:cs="Arial" w:eastAsia="Arial" w:hAnsi="Arial"/>
          <w:sz w:val="18"/>
          <w:szCs w:val="18"/>
          <w:color w:val="auto"/>
        </w:rPr>
        <w:t>unenforceable, the remaining portions hereof shall remain in full force and effect. Additionally, in the event that any portion of this Agreement is deemed void or unenforceable, the Parties will be excused from performing that portion of the Agreement.</w:t>
      </w:r>
    </w:p>
    <w:p>
      <w:pPr>
        <w:spacing w:after="0" w:line="169" w:lineRule="exact"/>
        <w:rPr>
          <w:sz w:val="20"/>
          <w:szCs w:val="20"/>
          <w:color w:val="auto"/>
        </w:rPr>
      </w:pPr>
    </w:p>
    <w:p>
      <w:pPr>
        <w:jc w:val="both"/>
        <w:ind w:left="328" w:hanging="328"/>
        <w:spacing w:after="0" w:line="255" w:lineRule="auto"/>
        <w:tabs>
          <w:tab w:leader="none" w:pos="317" w:val="left"/>
        </w:tabs>
        <w:numPr>
          <w:ilvl w:val="0"/>
          <w:numId w:val="43"/>
        </w:numPr>
        <w:rPr>
          <w:rFonts w:ascii="Arial" w:cs="Arial" w:eastAsia="Arial" w:hAnsi="Arial"/>
          <w:sz w:val="20"/>
          <w:szCs w:val="20"/>
          <w:color w:val="auto"/>
        </w:rPr>
      </w:pPr>
      <w:r>
        <w:rPr>
          <w:rFonts w:ascii="Arial" w:cs="Arial" w:eastAsia="Arial" w:hAnsi="Arial"/>
          <w:sz w:val="22"/>
          <w:szCs w:val="22"/>
          <w:b w:val="1"/>
          <w:bCs w:val="1"/>
          <w:color w:val="auto"/>
        </w:rPr>
        <w:t>Entire Agreement</w:t>
      </w:r>
      <w:r>
        <w:rPr>
          <w:rFonts w:ascii="Arial" w:cs="Arial" w:eastAsia="Arial" w:hAnsi="Arial"/>
          <w:sz w:val="19"/>
          <w:szCs w:val="19"/>
          <w:color w:val="auto"/>
        </w:rPr>
        <w:t>. This Agreement constitutes the entire agreement between Employee and the Company and supersedes and</w:t>
      </w:r>
      <w:r>
        <w:rPr>
          <w:rFonts w:ascii="Arial" w:cs="Arial" w:eastAsia="Arial" w:hAnsi="Arial"/>
          <w:sz w:val="22"/>
          <w:szCs w:val="22"/>
          <w:b w:val="1"/>
          <w:bCs w:val="1"/>
          <w:color w:val="auto"/>
        </w:rPr>
        <w:t xml:space="preserve"> </w:t>
      </w:r>
      <w:r>
        <w:rPr>
          <w:rFonts w:ascii="Arial" w:cs="Arial" w:eastAsia="Arial" w:hAnsi="Arial"/>
          <w:sz w:val="19"/>
          <w:szCs w:val="19"/>
          <w:color w:val="auto"/>
        </w:rPr>
        <w:t>cancels all prior agreements, oral or written, if any, between Employee and the Company, except that this Agreement does not alter, modify, or impact any pre-existing confidentiality provisions and restrictive covenants between the Parties, nor does it affect Employee’s obligation to comply with those provisions and covenants.</w:t>
      </w:r>
    </w:p>
    <w:p>
      <w:pPr>
        <w:spacing w:after="0" w:line="186" w:lineRule="exact"/>
        <w:rPr>
          <w:sz w:val="20"/>
          <w:szCs w:val="20"/>
          <w:color w:val="auto"/>
        </w:rPr>
      </w:pPr>
    </w:p>
    <w:p>
      <w:pPr>
        <w:jc w:val="both"/>
        <w:ind w:left="328" w:hanging="328"/>
        <w:spacing w:after="0" w:line="272" w:lineRule="auto"/>
        <w:tabs>
          <w:tab w:leader="none" w:pos="317" w:val="left"/>
        </w:tabs>
        <w:numPr>
          <w:ilvl w:val="0"/>
          <w:numId w:val="44"/>
        </w:numPr>
        <w:rPr>
          <w:rFonts w:ascii="Arial" w:cs="Arial" w:eastAsia="Arial" w:hAnsi="Arial"/>
          <w:sz w:val="19"/>
          <w:szCs w:val="19"/>
          <w:color w:val="auto"/>
        </w:rPr>
      </w:pPr>
      <w:r>
        <w:rPr>
          <w:rFonts w:ascii="Arial" w:cs="Arial" w:eastAsia="Arial" w:hAnsi="Arial"/>
          <w:sz w:val="21"/>
          <w:szCs w:val="21"/>
          <w:b w:val="1"/>
          <w:bCs w:val="1"/>
          <w:color w:val="auto"/>
        </w:rPr>
        <w:t>Arbitration</w:t>
      </w:r>
      <w:r>
        <w:rPr>
          <w:rFonts w:ascii="Arial" w:cs="Arial" w:eastAsia="Arial" w:hAnsi="Arial"/>
          <w:sz w:val="18"/>
          <w:szCs w:val="18"/>
          <w:color w:val="auto"/>
        </w:rPr>
        <w:t>. The Parties hereby agree to submit any claim or dispute arising out of the terms of this Agreement to private and</w:t>
      </w:r>
      <w:r>
        <w:rPr>
          <w:rFonts w:ascii="Arial" w:cs="Arial" w:eastAsia="Arial" w:hAnsi="Arial"/>
          <w:sz w:val="21"/>
          <w:szCs w:val="21"/>
          <w:b w:val="1"/>
          <w:bCs w:val="1"/>
          <w:color w:val="auto"/>
        </w:rPr>
        <w:t xml:space="preserve"> </w:t>
      </w:r>
      <w:r>
        <w:rPr>
          <w:rFonts w:ascii="Arial" w:cs="Arial" w:eastAsia="Arial" w:hAnsi="Arial"/>
          <w:sz w:val="18"/>
          <w:szCs w:val="18"/>
          <w:color w:val="auto"/>
        </w:rPr>
        <w:t>confidential arbitration by a single neutral arbitrator through Judicial Arbitration and Mediation Services, Inc. (“</w:t>
      </w:r>
      <w:r>
        <w:rPr>
          <w:rFonts w:ascii="Arial" w:cs="Arial" w:eastAsia="Arial" w:hAnsi="Arial"/>
          <w:sz w:val="20"/>
          <w:szCs w:val="20"/>
          <w:b w:val="1"/>
          <w:bCs w:val="1"/>
          <w:i w:val="1"/>
          <w:iCs w:val="1"/>
          <w:color w:val="auto"/>
        </w:rPr>
        <w:t>JAMS</w:t>
      </w:r>
      <w:r>
        <w:rPr>
          <w:rFonts w:ascii="Arial" w:cs="Arial" w:eastAsia="Arial" w:hAnsi="Arial"/>
          <w:sz w:val="18"/>
          <w:szCs w:val="18"/>
          <w:color w:val="auto"/>
        </w:rPr>
        <w:t>”). This arbitration provision covers all claims that Employee may have against Company, or that Company may have against Employee. The JAMS Employment Arbitration Rules &amp; Procedures in effect at the time the claim or dispute is arbitrated will govern the procedure for the arbitration proceedings between the Parties. The arbitration shall take place in Orange County, California. The arbitrator in this matter shall not have the power to modify any of the provisions of this Agreement. The decision of the arbitrator shall be final and binding on all Parties to this Agreement, and judgment thereon may be entered in any court having jurisdiction. Company shall initially advance the arbitrator’s fee and all costs of services provided by the arbitrator and arbitration organization. However, the arbitrator’s fee and all costs of services provided by the arbitration organization, as well as reasonable attorneys’ fees and recoverable costs, shall be paid as the arbitrator or court awards in accordance with applicable law. The Parties hereby waive any right to a jury trial on any dispute or claim covered by this Agreement.</w:t>
      </w:r>
    </w:p>
    <w:p>
      <w:pPr>
        <w:spacing w:after="0" w:line="190" w:lineRule="exact"/>
        <w:rPr>
          <w:sz w:val="20"/>
          <w:szCs w:val="20"/>
          <w:color w:val="auto"/>
        </w:rPr>
      </w:pPr>
    </w:p>
    <w:p>
      <w:pPr>
        <w:ind w:left="328" w:hanging="328"/>
        <w:spacing w:after="0" w:line="239" w:lineRule="auto"/>
        <w:tabs>
          <w:tab w:leader="none" w:pos="317" w:val="left"/>
        </w:tabs>
        <w:numPr>
          <w:ilvl w:val="0"/>
          <w:numId w:val="45"/>
        </w:numPr>
        <w:rPr>
          <w:rFonts w:ascii="Arial" w:cs="Arial" w:eastAsia="Arial" w:hAnsi="Arial"/>
          <w:sz w:val="20"/>
          <w:szCs w:val="20"/>
          <w:color w:val="auto"/>
        </w:rPr>
      </w:pPr>
      <w:r>
        <w:rPr>
          <w:rFonts w:ascii="Arial" w:cs="Arial" w:eastAsia="Arial" w:hAnsi="Arial"/>
          <w:sz w:val="22"/>
          <w:szCs w:val="22"/>
          <w:b w:val="1"/>
          <w:bCs w:val="1"/>
          <w:color w:val="auto"/>
        </w:rPr>
        <w:t>Governing Law</w:t>
      </w:r>
      <w:r>
        <w:rPr>
          <w:rFonts w:ascii="Arial" w:cs="Arial" w:eastAsia="Arial" w:hAnsi="Arial"/>
          <w:sz w:val="19"/>
          <w:szCs w:val="19"/>
          <w:color w:val="auto"/>
        </w:rPr>
        <w:t>. This Agreement shall be construed in accordance with, and be governed by the laws of the State of California,</w:t>
      </w:r>
      <w:r>
        <w:rPr>
          <w:rFonts w:ascii="Arial" w:cs="Arial" w:eastAsia="Arial" w:hAnsi="Arial"/>
          <w:sz w:val="22"/>
          <w:szCs w:val="22"/>
          <w:b w:val="1"/>
          <w:bCs w:val="1"/>
          <w:color w:val="auto"/>
        </w:rPr>
        <w:t xml:space="preserve"> </w:t>
      </w:r>
      <w:r>
        <w:rPr>
          <w:rFonts w:ascii="Arial" w:cs="Arial" w:eastAsia="Arial" w:hAnsi="Arial"/>
          <w:sz w:val="19"/>
          <w:szCs w:val="19"/>
          <w:color w:val="auto"/>
        </w:rPr>
        <w:t>both procedural and substantive.</w:t>
      </w:r>
    </w:p>
    <w:p>
      <w:pPr>
        <w:sectPr>
          <w:pgSz w:w="11900" w:h="16838" w:orient="portrait"/>
          <w:cols w:equalWidth="0" w:num="1">
            <w:col w:w="10908"/>
          </w:cols>
          <w:pgMar w:left="652" w:top="36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1169"/>
        <w:spacing w:after="0" w:line="260" w:lineRule="auto"/>
        <w:rPr>
          <w:sz w:val="20"/>
          <w:szCs w:val="20"/>
          <w:color w:val="auto"/>
        </w:rPr>
      </w:pPr>
      <w:r>
        <w:rPr>
          <w:rFonts w:ascii="Arial" w:cs="Arial" w:eastAsia="Arial" w:hAnsi="Arial"/>
          <w:sz w:val="20"/>
          <w:szCs w:val="20"/>
          <w:b w:val="1"/>
          <w:bCs w:val="1"/>
          <w:color w:val="auto"/>
        </w:rPr>
        <w:t>PLEASE READ CAREFULLY. THIS AGREEMENT CONTAINS A RELEASE OF ALL KNOWN AND UNKNOWN CLAIMS. THE UNDERSIGNED AGREE TO THE TERMS OF THIS AGREEMENT AND VOLUNTARILY ENTER INTO IT WITH THE INTENT TO BE BOUND THEREBY.</w:t>
      </w:r>
    </w:p>
    <w:p>
      <w:pPr>
        <w:spacing w:after="0" w:line="204" w:lineRule="exact"/>
        <w:rPr>
          <w:sz w:val="20"/>
          <w:szCs w:val="20"/>
          <w:color w:val="auto"/>
        </w:rPr>
      </w:pPr>
    </w:p>
    <w:p>
      <w:pPr>
        <w:jc w:val="both"/>
        <w:ind w:firstLine="1169"/>
        <w:spacing w:after="0" w:line="277" w:lineRule="auto"/>
        <w:rPr>
          <w:sz w:val="20"/>
          <w:szCs w:val="20"/>
          <w:color w:val="auto"/>
        </w:rPr>
      </w:pPr>
      <w:r>
        <w:rPr>
          <w:rFonts w:ascii="Arial" w:cs="Arial" w:eastAsia="Arial" w:hAnsi="Arial"/>
          <w:sz w:val="19"/>
          <w:szCs w:val="19"/>
          <w:color w:val="auto"/>
        </w:rPr>
        <w:t>The undersigned have carefully read this Agreement and understand that it contains a release of known and unknown claims. The undersigned acknowledge and agree to all of the terms and conditions of this Agreement. The undersigned further acknowledge that they are entering into this Agreement voluntarily as of the Effective Date with a full understanding of its terms.</w:t>
      </w:r>
    </w:p>
    <w:p>
      <w:pPr>
        <w:spacing w:after="0" w:line="195" w:lineRule="exact"/>
        <w:rPr>
          <w:sz w:val="20"/>
          <w:szCs w:val="20"/>
          <w:color w:val="auto"/>
        </w:rPr>
      </w:pPr>
    </w:p>
    <w:p>
      <w:pPr>
        <w:ind w:left="6120"/>
        <w:spacing w:after="0"/>
        <w:rPr>
          <w:sz w:val="20"/>
          <w:szCs w:val="20"/>
          <w:color w:val="auto"/>
        </w:rPr>
      </w:pPr>
      <w:r>
        <w:rPr>
          <w:rFonts w:ascii="Arial" w:cs="Arial" w:eastAsia="Arial" w:hAnsi="Arial"/>
          <w:sz w:val="29"/>
          <w:szCs w:val="29"/>
          <w:color w:val="auto"/>
        </w:rPr>
        <w:t>Randa McMinn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17780</wp:posOffset>
            </wp:positionV>
            <wp:extent cx="3514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Randa Dawnelle McMinn</w:t>
      </w:r>
    </w:p>
    <w:p>
      <w:pPr>
        <w:spacing w:after="0" w:line="200" w:lineRule="exact"/>
        <w:rPr>
          <w:sz w:val="20"/>
          <w:szCs w:val="20"/>
          <w:color w:val="auto"/>
        </w:rPr>
      </w:pPr>
    </w:p>
    <w:p>
      <w:pPr>
        <w:spacing w:after="0" w:line="381"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 xml:space="preserve">Ghost Management Group, </w:t>
      </w:r>
      <w:r>
        <w:rPr>
          <w:rFonts w:ascii="Arial" w:cs="Arial" w:eastAsia="Arial" w:hAnsi="Arial"/>
          <w:sz w:val="21"/>
          <w:szCs w:val="21"/>
          <w:color w:val="auto"/>
        </w:rPr>
        <w:t>LLC</w:t>
      </w: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-17780</wp:posOffset>
            </wp:positionV>
            <wp:extent cx="34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4740"/>
        <w:spacing w:after="0" w:line="233" w:lineRule="auto"/>
        <w:rPr>
          <w:sz w:val="20"/>
          <w:szCs w:val="20"/>
          <w:color w:val="auto"/>
        </w:rPr>
      </w:pPr>
      <w:r>
        <w:rPr>
          <w:rFonts w:ascii="Arial" w:cs="Arial" w:eastAsia="Arial" w:hAnsi="Arial"/>
          <w:sz w:val="20"/>
          <w:szCs w:val="20"/>
          <w:color w:val="auto"/>
        </w:rPr>
        <w:t>Doug Francis</w:t>
      </w:r>
    </w:p>
    <w:p>
      <w:pPr>
        <w:spacing w:after="0" w:line="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 xml:space="preserve">Its Authorized </w:t>
      </w:r>
      <w:r>
        <w:rPr>
          <w:rFonts w:ascii="Arial" w:cs="Arial" w:eastAsia="Arial" w:hAnsi="Arial"/>
          <w:sz w:val="21"/>
          <w:szCs w:val="21"/>
          <w:color w:val="auto"/>
        </w:rPr>
        <w:t>Signatory</w:t>
      </w:r>
    </w:p>
    <w:p>
      <w:pPr>
        <w:sectPr>
          <w:pgSz w:w="11900" w:h="16838" w:orient="portrait"/>
          <w:cols w:equalWidth="0" w:num="1">
            <w:col w:w="11240"/>
          </w:cols>
          <w:pgMar w:left="320" w:top="36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Douglas Francis, certify that: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Quarterly Report on Form 10-Q of WM Technology Inc.;</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sz w:val="20"/>
          <w:szCs w:val="20"/>
          <w:color w:val="auto"/>
        </w:rPr>
      </w:pPr>
    </w:p>
    <w:p>
      <w:pPr>
        <w:jc w:val="both"/>
        <w:ind w:left="340" w:hanging="332"/>
        <w:spacing w:after="0" w:line="263" w:lineRule="auto"/>
        <w:tabs>
          <w:tab w:leader="none" w:pos="3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340" w:hanging="332"/>
        <w:spacing w:after="0" w:line="277" w:lineRule="auto"/>
        <w:tabs>
          <w:tab w:leader="none" w:pos="4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hanging="332"/>
        <w:spacing w:after="0" w:line="277" w:lineRule="auto"/>
        <w:tabs>
          <w:tab w:leader="none" w:pos="4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1111885</wp:posOffset>
            </wp:positionV>
            <wp:extent cx="23317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Douglas Francis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Executive Chair</w:t>
      </w:r>
    </w:p>
    <w:p>
      <w:pPr>
        <w:sectPr>
          <w:pgSz w:w="11900" w:h="16838" w:orient="portrait"/>
          <w:cols w:equalWidth="0" w:num="1">
            <w:col w:w="11240"/>
          </w:cols>
          <w:pgMar w:left="320" w:top="1417" w:right="339" w:bottom="158" w:gutter="0" w:footer="0" w:header="0"/>
        </w:sectPr>
      </w:pPr>
    </w:p>
    <w:p>
      <w:pPr>
        <w:spacing w:after="0" w:line="200" w:lineRule="exact"/>
        <w:rPr>
          <w:sz w:val="20"/>
          <w:szCs w:val="20"/>
          <w:color w:val="auto"/>
        </w:rPr>
      </w:pPr>
    </w:p>
    <w:p>
      <w:pPr>
        <w:spacing w:after="0" w:line="363" w:lineRule="exact"/>
        <w:rPr>
          <w:sz w:val="20"/>
          <w:szCs w:val="20"/>
          <w:color w:val="auto"/>
        </w:rPr>
      </w:pPr>
    </w:p>
    <w:p>
      <w:pPr>
        <w:ind w:left="758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1417" w:right="339" w:bottom="158" w:gutter="0" w:footer="0" w:header="0"/>
          <w:type w:val="continuous"/>
        </w:sectPr>
      </w:pPr>
    </w:p>
    <w:bookmarkStart w:id="60" w:name="page61"/>
    <w:bookmarkEnd w:id="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Mary Hoitt, certify that: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Quarterly Report on Form 10-Q of WM Technology Inc.;</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sz w:val="20"/>
          <w:szCs w:val="20"/>
          <w:color w:val="auto"/>
        </w:rPr>
      </w:pPr>
    </w:p>
    <w:p>
      <w:pPr>
        <w:jc w:val="both"/>
        <w:ind w:left="340" w:hanging="332"/>
        <w:spacing w:after="0" w:line="263" w:lineRule="auto"/>
        <w:tabs>
          <w:tab w:leader="none" w:pos="3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340" w:hanging="332"/>
        <w:spacing w:after="0" w:line="277" w:lineRule="auto"/>
        <w:tabs>
          <w:tab w:leader="none" w:pos="4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hanging="332"/>
        <w:spacing w:after="0" w:line="277" w:lineRule="auto"/>
        <w:tabs>
          <w:tab w:leader="none" w:pos="4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Mary Hoitt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1111885</wp:posOffset>
            </wp:positionV>
            <wp:extent cx="23317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Mary Hoitt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240"/>
          </w:cols>
          <w:pgMar w:left="320" w:top="1417" w:right="339" w:bottom="982" w:gutter="0" w:footer="0" w:header="0"/>
        </w:sectPr>
      </w:pPr>
    </w:p>
    <w:p>
      <w:pPr>
        <w:spacing w:after="0" w:line="200" w:lineRule="exact"/>
        <w:rPr>
          <w:sz w:val="20"/>
          <w:szCs w:val="20"/>
          <w:color w:val="auto"/>
        </w:rPr>
      </w:pPr>
    </w:p>
    <w:p>
      <w:pPr>
        <w:spacing w:after="0" w:line="363" w:lineRule="exact"/>
        <w:rPr>
          <w:sz w:val="20"/>
          <w:szCs w:val="20"/>
          <w:color w:val="auto"/>
        </w:rPr>
      </w:pPr>
    </w:p>
    <w:p>
      <w:pPr>
        <w:ind w:left="7620"/>
        <w:spacing w:after="0"/>
        <w:rPr>
          <w:sz w:val="20"/>
          <w:szCs w:val="20"/>
          <w:color w:val="auto"/>
        </w:rPr>
      </w:pPr>
      <w:r>
        <w:rPr>
          <w:rFonts w:ascii="Arial" w:cs="Arial" w:eastAsia="Arial" w:hAnsi="Arial"/>
          <w:sz w:val="17"/>
          <w:szCs w:val="17"/>
          <w:i w:val="1"/>
          <w:iCs w:val="1"/>
          <w:color w:val="auto"/>
        </w:rPr>
        <w:t>(Principal Financial Officer and Principal</w:t>
      </w:r>
    </w:p>
    <w:p>
      <w:pPr>
        <w:spacing w:after="0" w:line="35" w:lineRule="exact"/>
        <w:rPr>
          <w:sz w:val="20"/>
          <w:szCs w:val="20"/>
          <w:color w:val="auto"/>
        </w:rPr>
      </w:pPr>
    </w:p>
    <w:p>
      <w:pPr>
        <w:ind w:left="7620"/>
        <w:spacing w:after="0"/>
        <w:rPr>
          <w:sz w:val="20"/>
          <w:szCs w:val="20"/>
          <w:color w:val="auto"/>
        </w:rPr>
      </w:pPr>
      <w:r>
        <w:rPr>
          <w:rFonts w:ascii="Arial" w:cs="Arial" w:eastAsia="Arial" w:hAnsi="Arial"/>
          <w:sz w:val="18"/>
          <w:szCs w:val="18"/>
          <w:i w:val="1"/>
          <w:iCs w:val="1"/>
          <w:color w:val="auto"/>
        </w:rPr>
        <w:t>Accounting Officer)</w:t>
      </w:r>
    </w:p>
    <w:p>
      <w:pPr>
        <w:sectPr>
          <w:pgSz w:w="11900" w:h="16838" w:orient="portrait"/>
          <w:cols w:equalWidth="0" w:num="1">
            <w:col w:w="11240"/>
          </w:cols>
          <w:pgMar w:left="320" w:top="1417" w:right="339" w:bottom="982" w:gutter="0" w:footer="0" w:header="0"/>
          <w:type w:val="continuous"/>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EXECUTIVE CHAIR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Douglas Francis, the Executive Chair of WM Technology, Inc., certify, pursuant to 18 U.S.C. Section 1350, as adopted pursuant to Section 906 of the Sarbanes-Oxley Act of 2002, that the Quarterly Report on Form 10-Q of WM Technology, Inc. for the quarterly period ended September 30, 2023,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tabs>
          <w:tab w:leader="none" w:pos="820" w:val="left"/>
          <w:tab w:leader="none" w:pos="6860" w:val="left"/>
          <w:tab w:leader="none" w:pos="7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66040</wp:posOffset>
            </wp:positionV>
            <wp:extent cx="23317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Douglas Francis</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Executive Chair</w:t>
      </w:r>
    </w:p>
    <w:p>
      <w:pPr>
        <w:spacing w:after="0" w:line="35" w:lineRule="exact"/>
        <w:rPr>
          <w:sz w:val="20"/>
          <w:szCs w:val="20"/>
          <w:color w:val="auto"/>
        </w:rPr>
      </w:pPr>
    </w:p>
    <w:p>
      <w:pPr>
        <w:ind w:left="76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Mary Hoitt, the Interim Chief Financial Officer of WM Technology, Inc., certify, pursuant to 18 U.S.C. Section 1350, as adopted pursuant to Section 906 of the Sarbanes-Oxley Act of 2002, that the Quarterly Report on Form 10-Q of WM Technology, Inc. for the quarterly period ended September 30, 2023,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252" w:lineRule="exact"/>
        <w:rPr>
          <w:sz w:val="20"/>
          <w:szCs w:val="20"/>
          <w:color w:val="auto"/>
        </w:rPr>
      </w:pPr>
    </w:p>
    <w:p>
      <w:pPr>
        <w:ind w:left="60"/>
        <w:spacing w:after="0"/>
        <w:tabs>
          <w:tab w:leader="none" w:pos="820" w:val="left"/>
          <w:tab w:leader="none" w:pos="6860" w:val="left"/>
          <w:tab w:leader="none" w:pos="7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Mary Hoitt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66040</wp:posOffset>
            </wp:positionV>
            <wp:extent cx="23488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1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Mary Hoitt</w:t>
      </w:r>
    </w:p>
    <w:p>
      <w:pPr>
        <w:spacing w:after="0" w:line="104"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Interim Chief Financial Officer</w:t>
      </w:r>
    </w:p>
    <w:p>
      <w:pPr>
        <w:spacing w:after="0" w:line="104"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(Principal Financial Officer and Principal</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Accounting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6"/>
    </w:lvl>
  </w:abstractNum>
  <w:abstractNum w:abstractNumId="3">
    <w:nsid w:val="189A769B"/>
    <w:multiLevelType w:val="hybridMultilevel"/>
    <w:lvl w:ilvl="0">
      <w:lvlJc w:val="left"/>
      <w:lvlText w:val="%1."/>
      <w:numFmt w:val="decimal"/>
      <w:start w:val="7"/>
    </w:lvl>
  </w:abstractNum>
  <w:abstractNum w:abstractNumId="4">
    <w:nsid w:val="54E49EB4"/>
    <w:multiLevelType w:val="hybridMultilevel"/>
    <w:lvl w:ilvl="0">
      <w:lvlJc w:val="left"/>
      <w:lvlText w:val="%1."/>
      <w:numFmt w:val="decimal"/>
      <w:start w:val="8"/>
    </w:lvl>
  </w:abstractNum>
  <w:abstractNum w:abstractNumId="5">
    <w:nsid w:val="71F32454"/>
    <w:multiLevelType w:val="hybridMultilevel"/>
    <w:lvl w:ilvl="0">
      <w:lvlJc w:val="left"/>
      <w:lvlText w:val="%1."/>
      <w:numFmt w:val="decimal"/>
      <w:start w:val="9"/>
    </w:lvl>
  </w:abstractNum>
  <w:abstractNum w:abstractNumId="6">
    <w:nsid w:val="2CA88611"/>
    <w:multiLevelType w:val="hybridMultilevel"/>
    <w:lvl w:ilvl="0">
      <w:lvlJc w:val="left"/>
      <w:lvlText w:val="%1."/>
      <w:numFmt w:val="decimal"/>
      <w:start w:val="10"/>
    </w:lvl>
  </w:abstractNum>
  <w:abstractNum w:abstractNumId="7">
    <w:nsid w:val="836C40E"/>
    <w:multiLevelType w:val="hybridMultilevel"/>
    <w:lvl w:ilvl="0">
      <w:lvlJc w:val="left"/>
      <w:lvlText w:val="%1."/>
      <w:numFmt w:val="decimal"/>
      <w:start w:val="11"/>
    </w:lvl>
  </w:abstractNum>
  <w:abstractNum w:abstractNumId="8">
    <w:nsid w:val="2901D82"/>
    <w:multiLevelType w:val="hybridMultilevel"/>
    <w:lvl w:ilvl="0">
      <w:lvlJc w:val="left"/>
      <w:lvlText w:val="%1."/>
      <w:numFmt w:val="decimal"/>
      <w:start w:val="12"/>
    </w:lvl>
  </w:abstractNum>
  <w:abstractNum w:abstractNumId="9">
    <w:nsid w:val="3A95F874"/>
    <w:multiLevelType w:val="hybridMultilevel"/>
    <w:lvl w:ilvl="0">
      <w:lvlJc w:val="left"/>
      <w:lvlText w:val="%1."/>
      <w:numFmt w:val="decimal"/>
      <w:start w:val="13"/>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lvl w:ilvl="1">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2"/>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lvl w:ilvl="1">
      <w:lvlJc w:val="left"/>
      <w:lvlText w:val="(%2)"/>
      <w:numFmt w:val="lowerLetter"/>
      <w:start w:val="3"/>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decimal"/>
      <w:start w:val="1"/>
    </w:lvl>
    <w:lvl w:ilvl="1">
      <w:lvlJc w:val="left"/>
      <w:lvlText w:val="%2."/>
      <w:numFmt w:val="lowerLetter"/>
      <w:start w:val="1"/>
    </w:lvl>
  </w:abstractNum>
  <w:abstractNum w:abstractNumId="23">
    <w:nsid w:val="3804823E"/>
    <w:multiLevelType w:val="hybridMultilevel"/>
    <w:lvl w:ilvl="0">
      <w:lvlJc w:val="left"/>
      <w:lvlText w:val="%1."/>
      <w:numFmt w:val="decimal"/>
      <w:start w:val="1"/>
    </w:lvl>
    <w:lvl w:ilvl="1">
      <w:lvlJc w:val="left"/>
      <w:lvlText w:val="%2"/>
      <w:numFmt w:val="lowerLetter"/>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7"/>
    </w:lvl>
    <w:lvl w:ilvl="1">
      <w:lvlJc w:val="left"/>
      <w:lvlText w:val="§§"/>
      <w:numFmt w:val="bullet"/>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lvl w:ilvl="1">
      <w:lvlJc w:val="left"/>
      <w:lvlText w:val="%2."/>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decimal"/>
      <w:start w:val="1"/>
    </w:lvl>
    <w:lvl w:ilvl="1">
      <w:lvlJc w:val="left"/>
      <w:lvlText w:val="%2."/>
      <w:numFmt w:val="lowerLetter"/>
      <w:start w:val="1"/>
    </w:lvl>
  </w:abstractNum>
  <w:abstractNum w:abstractNumId="33">
    <w:nsid w:val="3855585C"/>
    <w:multiLevelType w:val="hybridMultilevel"/>
    <w:lvl w:ilvl="0">
      <w:lvlJc w:val="left"/>
      <w:lvlText w:val="%1."/>
      <w:numFmt w:val="decimal"/>
      <w:start w:val="1"/>
    </w:lvl>
    <w:lvl w:ilvl="1">
      <w:lvlJc w:val="left"/>
      <w:lvlText w:val="%2"/>
      <w:numFmt w:val="lowerLetter"/>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lowerLetter"/>
      <w:start w:val="1"/>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85" Type="http://schemas.openxmlformats.org/officeDocument/2006/relationships/hyperlink" Target="https://www.sec.gov/Archives/edgar/data/0001779474/000114036121021785/brhc10025756_ex3-1.htm" TargetMode="External"/><Relationship Id="rId86" Type="http://schemas.openxmlformats.org/officeDocument/2006/relationships/hyperlink" Target="https://www.sec.gov/Archives/edgar/data/0001779474/000114036121021785/brhc10025756_ex3-2.htm" TargetMode="External"/><Relationship Id="rId87" Type="http://schemas.openxmlformats.org/officeDocument/2006/relationships/hyperlink" Target="https://www.sec.gov/Archives/edgar/data/1779474/000177947423000062/exhibit101q223.htm" TargetMode="External"/><Relationship Id="rId88" Type="http://schemas.openxmlformats.org/officeDocument/2006/relationships/hyperlink" Target="https://www.sec.gov/Archives/edgar/data/1779474/000177947423000066/exhibit101dougsemploymenta.htm" TargetMode="External"/><Relationship Id="rId89" Type="http://schemas.openxmlformats.org/officeDocument/2006/relationships/hyperlink" Target="https://www.sec.gov/Archives/edgar/data/1779474/000177947423000072/exhibit101retentionagreeme.htm" TargetMode="External"/><Relationship Id="rId90" Type="http://schemas.openxmlformats.org/officeDocument/2006/relationships/hyperlink" Target="https://www.sec.gov/Archives/edgar/data/1779474/000177947423000072/exhibit102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2023-11-08T15:44:23Z</dcterms:created>
  <dcterms:modified xsi:type="dcterms:W3CDTF">2023-11-08T15:44:23Z</dcterms:modified>
</cp:coreProperties>
</file>