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Silver Spike Acquisition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Class A Ordinary Shares,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G8136L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Rule 13d-1(b)</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Rule 13d-1(c)</w:t>
      </w:r>
    </w:p>
    <w:p>
      <w:pPr>
        <w:spacing w:after="0" w:line="225"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46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CUSIP No. G8136L 106</w:t>
            </w:r>
          </w:p>
        </w:tc>
        <w:tc>
          <w:tcPr>
            <w:tcW w:w="422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tcBorders>
          </w:tcPr>
          <w:p>
            <w:pPr>
              <w:spacing w:after="0"/>
              <w:rPr>
                <w:sz w:val="19"/>
                <w:szCs w:val="19"/>
                <w:color w:val="auto"/>
              </w:rPr>
            </w:pPr>
          </w:p>
        </w:tc>
      </w:tr>
    </w:tbl>
    <w:p>
      <w:pPr>
        <w:ind w:left="660" w:right="8180" w:hanging="584"/>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511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511040"/>
                    </a:xfrm>
                    <a:prstGeom prst="rect">
                      <a:avLst/>
                    </a:prstGeom>
                    <a:noFill/>
                  </pic:spPr>
                </pic:pic>
              </a:graphicData>
            </a:graphic>
          </wp:anchor>
        </w:drawing>
        <w:t>NAME OF REPORTING PERSON Silver Spike Sponsor, LLC</w:t>
      </w:r>
    </w:p>
    <w:p>
      <w:pPr>
        <w:spacing w:after="0" w:line="1" w:lineRule="exact"/>
        <w:rPr>
          <w:sz w:val="20"/>
          <w:szCs w:val="20"/>
          <w:color w:val="auto"/>
        </w:rPr>
      </w:pPr>
    </w:p>
    <w:p>
      <w:pPr>
        <w:ind w:left="660" w:hanging="58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sz w:val="20"/>
          <w:szCs w:val="20"/>
          <w:color w:val="auto"/>
        </w:rPr>
      </w:pPr>
    </w:p>
    <w:p>
      <w:pPr>
        <w:ind w:left="660" w:hanging="58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ind w:left="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08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Delaware</w:t>
            </w:r>
          </w:p>
        </w:tc>
        <w:tc>
          <w:tcPr>
            <w:tcW w:w="5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85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5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6,250,000 (1)</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right w:val="single" w:sz="8" w:color="auto"/>
            </w:tcBorders>
          </w:tcPr>
          <w:p>
            <w:pPr>
              <w:jc w:val="center"/>
              <w:ind w:right="450"/>
              <w:spacing w:after="0" w:line="182" w:lineRule="exact"/>
              <w:rPr>
                <w:sz w:val="20"/>
                <w:szCs w:val="20"/>
                <w:color w:val="auto"/>
              </w:rPr>
            </w:pPr>
            <w:r>
              <w:rPr>
                <w:rFonts w:ascii="Arial" w:cs="Arial" w:eastAsia="Arial" w:hAnsi="Arial"/>
                <w:sz w:val="18"/>
                <w:szCs w:val="18"/>
                <w:color w:val="auto"/>
                <w:w w:val="94"/>
              </w:rPr>
              <w:t>SHARES</w:t>
            </w:r>
          </w:p>
        </w:tc>
        <w:tc>
          <w:tcPr>
            <w:tcW w:w="580" w:type="dxa"/>
            <w:vAlign w:val="bottom"/>
            <w:tcBorders>
              <w:right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6</w:t>
            </w:r>
          </w:p>
        </w:tc>
        <w:tc>
          <w:tcPr>
            <w:tcW w:w="852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9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58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9"/>
              </w:rPr>
              <w:t>OWNED BY</w:t>
            </w:r>
          </w:p>
        </w:tc>
        <w:tc>
          <w:tcPr>
            <w:tcW w:w="580" w:type="dxa"/>
            <w:vAlign w:val="bottom"/>
            <w:tcBorders>
              <w:right w:val="single" w:sz="8" w:color="auto"/>
            </w:tcBorders>
          </w:tcPr>
          <w:p>
            <w:pPr>
              <w:spacing w:after="0"/>
              <w:rPr>
                <w:sz w:val="18"/>
                <w:szCs w:val="18"/>
                <w:color w:val="auto"/>
              </w:rPr>
            </w:pPr>
          </w:p>
        </w:tc>
        <w:tc>
          <w:tcPr>
            <w:tcW w:w="8520" w:type="dxa"/>
            <w:vAlign w:val="bottom"/>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8"/>
        </w:trPr>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color w:val="auto"/>
                <w:w w:val="99"/>
              </w:rPr>
              <w:t>EACH</w:t>
            </w:r>
          </w:p>
        </w:tc>
        <w:tc>
          <w:tcPr>
            <w:tcW w:w="58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tcPr>
          <w:p>
            <w:pPr>
              <w:jc w:val="right"/>
              <w:ind w:right="350"/>
              <w:spacing w:after="0" w:line="169" w:lineRule="exact"/>
              <w:rPr>
                <w:sz w:val="20"/>
                <w:szCs w:val="20"/>
                <w:color w:val="auto"/>
              </w:rPr>
            </w:pPr>
            <w:r>
              <w:rPr>
                <w:rFonts w:ascii="Arial" w:cs="Arial" w:eastAsia="Arial" w:hAnsi="Arial"/>
                <w:sz w:val="18"/>
                <w:szCs w:val="18"/>
                <w:color w:val="auto"/>
              </w:rPr>
              <w:t>7</w:t>
            </w:r>
          </w:p>
        </w:tc>
        <w:tc>
          <w:tcPr>
            <w:tcW w:w="8520" w:type="dxa"/>
            <w:vAlign w:val="bottom"/>
          </w:tcPr>
          <w:p>
            <w:pPr>
              <w:ind w:left="4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1"/>
              </w:rPr>
              <w:t>REPORTING</w:t>
            </w:r>
          </w:p>
        </w:tc>
        <w:tc>
          <w:tcPr>
            <w:tcW w:w="58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2"/>
              </w:rPr>
              <w:t>PERSON</w:t>
            </w:r>
          </w:p>
        </w:tc>
        <w:tc>
          <w:tcPr>
            <w:tcW w:w="580" w:type="dxa"/>
            <w:vAlign w:val="bottom"/>
            <w:tcBorders>
              <w:right w:val="single" w:sz="8" w:color="auto"/>
            </w:tcBorders>
          </w:tcPr>
          <w:p>
            <w:pPr>
              <w:spacing w:after="0"/>
              <w:rPr>
                <w:sz w:val="18"/>
                <w:szCs w:val="18"/>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6,250,000 (1)</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vMerge w:val="continue"/>
          </w:tcPr>
          <w:p>
            <w:pPr>
              <w:spacing w:after="0"/>
              <w:rPr>
                <w:sz w:val="19"/>
                <w:szCs w:val="19"/>
                <w:color w:val="auto"/>
              </w:rPr>
            </w:pPr>
          </w:p>
        </w:tc>
        <w:tc>
          <w:tcPr>
            <w:tcW w:w="5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8</w:t>
            </w:r>
          </w:p>
        </w:tc>
        <w:tc>
          <w:tcPr>
            <w:tcW w:w="85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24"/>
        </w:trPr>
        <w:tc>
          <w:tcPr>
            <w:tcW w:w="400" w:type="dxa"/>
            <w:vAlign w:val="bottom"/>
          </w:tcPr>
          <w:p>
            <w:pPr>
              <w:ind w:left="8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19"/>
                <w:szCs w:val="19"/>
                <w:color w:val="auto"/>
              </w:rPr>
            </w:pPr>
          </w:p>
        </w:tc>
        <w:tc>
          <w:tcPr>
            <w:tcW w:w="2300" w:type="dxa"/>
            <w:vAlign w:val="bottom"/>
            <w:gridSpan w:val="2"/>
          </w:tcPr>
          <w:p>
            <w:pPr>
              <w:ind w:left="60"/>
              <w:spacing w:after="0"/>
              <w:rPr>
                <w:sz w:val="20"/>
                <w:szCs w:val="20"/>
                <w:color w:val="auto"/>
              </w:rPr>
            </w:pPr>
            <w:r>
              <w:rPr>
                <w:rFonts w:ascii="Arial" w:cs="Arial" w:eastAsia="Arial" w:hAnsi="Arial"/>
                <w:sz w:val="18"/>
                <w:szCs w:val="18"/>
                <w:color w:val="auto"/>
              </w:rPr>
              <w:t>AGGREGATE AMOUNT</w:t>
            </w:r>
          </w:p>
        </w:tc>
        <w:tc>
          <w:tcPr>
            <w:tcW w:w="852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6,250,000 (1)</w:t>
            </w:r>
          </w:p>
        </w:tc>
        <w:tc>
          <w:tcPr>
            <w:tcW w:w="5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right w:val="single" w:sz="8" w:color="auto"/>
            </w:tcBorders>
          </w:tcPr>
          <w:p>
            <w:pPr>
              <w:spacing w:after="0"/>
              <w:rPr>
                <w:sz w:val="18"/>
                <w:szCs w:val="18"/>
                <w:color w:val="auto"/>
              </w:rPr>
            </w:pPr>
          </w:p>
        </w:tc>
        <w:tc>
          <w:tcPr>
            <w:tcW w:w="108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 xml:space="preserve">CHECK BOX IF THE AGGREGATE AMOUNT IN ROW (9) EXCLUDES CERTAIN SHARES </w:t>
            </w: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224"/>
        </w:trPr>
        <w:tc>
          <w:tcPr>
            <w:tcW w:w="400" w:type="dxa"/>
            <w:vAlign w:val="bottom"/>
          </w:tcPr>
          <w:p>
            <w:pPr>
              <w:ind w:left="80"/>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19"/>
                <w:szCs w:val="19"/>
                <w:color w:val="auto"/>
              </w:rPr>
            </w:pPr>
          </w:p>
        </w:tc>
        <w:tc>
          <w:tcPr>
            <w:tcW w:w="1082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20.0%(1)</w:t>
            </w:r>
          </w:p>
        </w:tc>
        <w:tc>
          <w:tcPr>
            <w:tcW w:w="5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Pr>
          <w:p>
            <w:pPr>
              <w:ind w:left="80"/>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19"/>
                <w:szCs w:val="19"/>
                <w:color w:val="auto"/>
              </w:rPr>
            </w:pPr>
          </w:p>
        </w:tc>
        <w:tc>
          <w:tcPr>
            <w:tcW w:w="1082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PN</w:t>
            </w:r>
          </w:p>
        </w:tc>
        <w:tc>
          <w:tcPr>
            <w:tcW w:w="5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Item 4 below. The Reporting Person owns 6,250,000 Class B Ordinary Shares of the Issuer, which are automatically convertible into Issuer’s Class A Ordinary Shares as more fully described under the heading “Description of Securities – Founders Shares” in the Issuer’s registration statement on Form S-1 (File No. 333-232734).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Silver Spike Acquisition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600 Madison Ave Fl 17</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Silver Spike Sponsor, LLC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Silver Spike Acquisition Corp.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600 Madison Ave Fl 17</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jc w:val="center"/>
        <w:ind w:right="844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Titles of Classes of Securities: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A Ordinary Shares, par value $0.0001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G8136L 106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20" w:type="dxa"/>
            <w:vAlign w:val="bottom"/>
            <w:gridSpan w:val="2"/>
          </w:tcPr>
          <w:p>
            <w:pPr>
              <w:ind w:left="180"/>
              <w:spacing w:after="0"/>
              <w:rPr>
                <w:sz w:val="20"/>
                <w:szCs w:val="20"/>
                <w:color w:val="auto"/>
              </w:rPr>
            </w:pPr>
            <w:r>
              <w:rPr>
                <w:rFonts w:ascii="Arial" w:cs="Arial" w:eastAsia="Arial" w:hAnsi="Arial"/>
                <w:sz w:val="18"/>
                <w:szCs w:val="18"/>
                <w:b w:val="1"/>
                <w:bCs w:val="1"/>
                <w:color w:val="auto"/>
              </w:rPr>
              <w:t>If This Statement is Filed Pursuant to Rule 13d-1(b), or 13d-2(b) or (c),</w:t>
            </w:r>
          </w:p>
        </w:tc>
      </w:tr>
      <w:tr>
        <w:trPr>
          <w:trHeight w:val="234"/>
        </w:trPr>
        <w:tc>
          <w:tcPr>
            <w:tcW w:w="1160" w:type="dxa"/>
            <w:vAlign w:val="bottom"/>
          </w:tcPr>
          <w:p>
            <w:pPr>
              <w:spacing w:after="0"/>
              <w:rPr>
                <w:sz w:val="20"/>
                <w:szCs w:val="20"/>
                <w:color w:val="auto"/>
              </w:rPr>
            </w:pPr>
          </w:p>
        </w:tc>
        <w:tc>
          <w:tcPr>
            <w:tcW w:w="90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Check Whether the Person Filing is a(n):</w:t>
            </w:r>
          </w:p>
        </w:tc>
      </w:tr>
      <w:tr>
        <w:trPr>
          <w:trHeight w:val="452"/>
        </w:trPr>
        <w:tc>
          <w:tcPr>
            <w:tcW w:w="1160" w:type="dxa"/>
            <w:vAlign w:val="bottom"/>
          </w:tcPr>
          <w:p>
            <w:pPr>
              <w:ind w:left="820"/>
              <w:spacing w:after="0"/>
              <w:rPr>
                <w:sz w:val="20"/>
                <w:szCs w:val="20"/>
                <w:color w:val="auto"/>
              </w:rPr>
            </w:pPr>
            <w:r>
              <w:rPr>
                <w:rFonts w:ascii="Arial" w:cs="Arial" w:eastAsia="Arial" w:hAnsi="Arial"/>
                <w:sz w:val="18"/>
                <w:szCs w:val="18"/>
                <w:color w:val="auto"/>
              </w:rPr>
              <w:t>(a)</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 (15 U.S.C. 78o).</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(b)</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 (15 U.S.C. 78c).</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(c)</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 (15 U.S.C. 78c).</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(d)</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(e)</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Investment adviser in accordance with §240.13d-1(b)(1)(ii)(E).</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(f)</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Employee benefit plan or endowment fund in accordance with §240.13d-1(b)(1)(ii)(F).</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(g)</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Parent holding company or control person in accordance with §240.13d-1(b)(1)(ii)(G).</w:t>
            </w:r>
          </w:p>
        </w:tc>
      </w:tr>
      <w:tr>
        <w:trPr>
          <w:trHeight w:val="432"/>
        </w:trPr>
        <w:tc>
          <w:tcPr>
            <w:tcW w:w="1160" w:type="dxa"/>
            <w:vAlign w:val="bottom"/>
          </w:tcPr>
          <w:p>
            <w:pPr>
              <w:ind w:left="820"/>
              <w:spacing w:after="0"/>
              <w:rPr>
                <w:sz w:val="20"/>
                <w:szCs w:val="20"/>
                <w:color w:val="auto"/>
              </w:rPr>
            </w:pPr>
            <w:r>
              <w:rPr>
                <w:rFonts w:ascii="Arial" w:cs="Arial" w:eastAsia="Arial" w:hAnsi="Arial"/>
                <w:sz w:val="18"/>
                <w:szCs w:val="18"/>
                <w:color w:val="auto"/>
              </w:rPr>
              <w:t>(h)</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5"/>
              </w:rPr>
              <w:t>Savings association as defined in Section 3(b) of the Federal Deposit Insurance Act (12 U.S.C. 1813).</w:t>
            </w:r>
          </w:p>
        </w:tc>
      </w:tr>
    </w:tbl>
    <w:p>
      <w:pPr>
        <w:spacing w:after="0" w:line="149" w:lineRule="exact"/>
        <w:rPr>
          <w:sz w:val="20"/>
          <w:szCs w:val="20"/>
          <w:color w:val="auto"/>
        </w:rPr>
      </w:pPr>
    </w:p>
    <w:p>
      <w:pPr>
        <w:ind w:left="2420" w:hanging="1602"/>
        <w:spacing w:after="0" w:line="223" w:lineRule="exact"/>
        <w:tabs>
          <w:tab w:leader="none" w:pos="162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Church plan that is excluded from the definition of an investment company under Section 3(c)(14) of the Investment Company Act of 1940 (15 U.S.C. 80a-3).</w:t>
      </w:r>
    </w:p>
    <w:p>
      <w:pPr>
        <w:sectPr>
          <w:pgSz w:w="11900" w:h="16838" w:orient="portrait"/>
          <w:cols w:equalWidth="0" w:num="1">
            <w:col w:w="11420"/>
          </w:cols>
          <w:pgMar w:left="240" w:top="796" w:right="239" w:bottom="0" w:gutter="0" w:footer="0" w:header="0"/>
        </w:sectPr>
      </w:pPr>
    </w:p>
    <w:p>
      <w:pPr>
        <w:spacing w:after="0" w:line="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Non-U.S. institution, in accordance with § 240.13d-1(b)(1)(ii)(J).</w:t>
      </w:r>
    </w:p>
    <w:p>
      <w:pPr>
        <w:spacing w:after="0" w:line="200" w:lineRule="exact"/>
        <w:rPr>
          <w:sz w:val="20"/>
          <w:szCs w:val="20"/>
          <w:color w:val="auto"/>
        </w:rPr>
      </w:pPr>
    </w:p>
    <w:p>
      <w:pPr>
        <w:sectPr>
          <w:pgSz w:w="11900" w:h="16838" w:orient="portrait"/>
          <w:cols w:equalWidth="0" w:num="3">
            <w:col w:w="980" w:space="640"/>
            <w:col w:w="160" w:space="640"/>
            <w:col w:w="9000"/>
          </w:cols>
          <w:pgMar w:left="240" w:top="796" w:right="239" w:bottom="0" w:gutter="0" w:footer="0" w:header="0"/>
          <w:type w:val="continuous"/>
        </w:sectPr>
      </w:pPr>
    </w:p>
    <w:p>
      <w:pPr>
        <w:ind w:left="820"/>
        <w:spacing w:after="0" w:line="184" w:lineRule="exact"/>
        <w:tabs>
          <w:tab w:leader="none" w:pos="1600" w:val="left"/>
        </w:tabs>
        <w:rPr>
          <w:sz w:val="20"/>
          <w:szCs w:val="20"/>
          <w:color w:val="auto"/>
        </w:rPr>
      </w:pPr>
      <w:r>
        <w:rPr>
          <w:rFonts w:ascii="Arial" w:cs="Arial" w:eastAsia="Arial" w:hAnsi="Arial"/>
          <w:sz w:val="16"/>
          <w:szCs w:val="16"/>
          <w:color w:val="auto"/>
        </w:rPr>
        <w:t>(k)</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Group in accordance with §240.13d-1(b)(1)(ii)(K).</w:t>
      </w:r>
    </w:p>
    <w:p>
      <w:pPr>
        <w:spacing w:after="0" w:line="200" w:lineRule="exact"/>
        <w:rPr>
          <w:sz w:val="20"/>
          <w:szCs w:val="20"/>
          <w:color w:val="auto"/>
        </w:rPr>
      </w:pPr>
    </w:p>
    <w:p>
      <w:pPr>
        <w:sectPr>
          <w:pgSz w:w="11900" w:h="16838" w:orient="portrait"/>
          <w:cols w:equalWidth="0" w:num="2">
            <w:col w:w="1780" w:space="640"/>
            <w:col w:w="9000"/>
          </w:cols>
          <w:pgMar w:left="240" w:top="796" w:right="239" w:bottom="0" w:gutter="0" w:footer="0" w:header="0"/>
          <w:type w:val="continuous"/>
        </w:sect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filing as a non-U.S. institution in accordance with §240. 13d-1(b)(1)(ii)(J), please specify the type of institution: ______________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responses to Items 5-11 of the cover pages of this Schedule 13G are incorporated herein by reference.</w:t>
      </w:r>
    </w:p>
    <w:p>
      <w:pPr>
        <w:spacing w:after="0" w:line="225" w:lineRule="exact"/>
        <w:rPr>
          <w:sz w:val="20"/>
          <w:szCs w:val="20"/>
          <w:color w:val="auto"/>
        </w:rPr>
      </w:pPr>
    </w:p>
    <w:p>
      <w:pPr>
        <w:ind w:left="1220" w:right="440"/>
        <w:spacing w:after="0" w:line="276" w:lineRule="auto"/>
        <w:rPr>
          <w:sz w:val="20"/>
          <w:szCs w:val="20"/>
          <w:color w:val="auto"/>
        </w:rPr>
      </w:pPr>
      <w:r>
        <w:rPr>
          <w:rFonts w:ascii="Arial" w:cs="Arial" w:eastAsia="Arial" w:hAnsi="Arial"/>
          <w:sz w:val="17"/>
          <w:szCs w:val="17"/>
          <w:color w:val="auto"/>
        </w:rPr>
        <w:t>As of December 31, 2019, the Reporting Person may be deemed to beneficially own 6,250,000 shares of the Issuer’s Class B Ordinary Shares, representing 20.0% of the total Class A and Class B Ordinary Shares issued and outstanding. The Class B Ordinary Shares are automatically convertible into Issuer’s Class A Ordinary Shares at the time of the Issuer’s initial business combination on a one-for-one basis, subject to adjustment, as more fully described under the heading “Description of Securities – Founders Shares” in the Issuer’s registration statement on Form S-1 (File No. 333-232734).</w:t>
      </w:r>
    </w:p>
    <w:p>
      <w:pPr>
        <w:spacing w:after="0" w:line="173" w:lineRule="exact"/>
        <w:rPr>
          <w:sz w:val="20"/>
          <w:szCs w:val="20"/>
          <w:color w:val="auto"/>
        </w:rPr>
      </w:pPr>
    </w:p>
    <w:p>
      <w:pPr>
        <w:ind w:left="1220" w:right="140"/>
        <w:spacing w:after="0" w:line="302" w:lineRule="auto"/>
        <w:rPr>
          <w:sz w:val="20"/>
          <w:szCs w:val="20"/>
          <w:color w:val="auto"/>
        </w:rPr>
      </w:pPr>
      <w:r>
        <w:rPr>
          <w:rFonts w:ascii="Arial" w:cs="Arial" w:eastAsia="Arial" w:hAnsi="Arial"/>
          <w:sz w:val="16"/>
          <w:szCs w:val="16"/>
          <w:color w:val="auto"/>
        </w:rPr>
        <w:t>Messrs. Scott Gordon, William Healy, Gregory Gentile and Mohammed Grimeh are the four managers of the Reporting Person’s board of managers. Any action by the Reporting Person with respect to Silver Spike Acquisition Corp. or the shares owned by the Reporting Person, including voting and dispositive decisions, requires a majority vote of the managers of the board of managers. Under the so-called “rule of three,” because voting and dispositive decisions are made by a majority of the Reporting Person’s managers, none of the managers of the</w:t>
      </w:r>
    </w:p>
    <w:p>
      <w:pPr>
        <w:sectPr>
          <w:pgSz w:w="11900" w:h="16838" w:orient="portrait"/>
          <w:cols w:equalWidth="0" w:num="1">
            <w:col w:w="11420"/>
          </w:cols>
          <w:pgMar w:left="240" w:top="796" w:right="239" w:bottom="0" w:gutter="0" w:footer="0" w:header="0"/>
          <w:type w:val="continuous"/>
        </w:sectPr>
      </w:pPr>
    </w:p>
    <w:bookmarkStart w:id="3" w:name="page4"/>
    <w:bookmarkEnd w:id="3"/>
    <w:p>
      <w:pPr>
        <w:jc w:val="both"/>
        <w:ind w:left="20"/>
        <w:spacing w:after="0" w:line="264" w:lineRule="auto"/>
        <w:rPr>
          <w:sz w:val="20"/>
          <w:szCs w:val="20"/>
          <w:color w:val="auto"/>
        </w:rPr>
      </w:pPr>
      <w:r>
        <w:rPr>
          <w:rFonts w:ascii="Arial" w:cs="Arial" w:eastAsia="Arial" w:hAnsi="Arial"/>
          <w:sz w:val="18"/>
          <w:szCs w:val="18"/>
          <w:color w:val="auto"/>
        </w:rPr>
        <w:t>Reporting Person is deemed to be a beneficial owner of the Reporting Person’s securities, even those in which they hold a pecuniary interest. Accordingly, none of Messrs. Scott Gordon, William Healy, Gregory Gentile and Mohammed Grimeh is deemed to have or share beneficial ownership of the shares of the Issuer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321310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125"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796" w:right="8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2020</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67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Gentile</w:t>
            </w:r>
          </w:p>
        </w:tc>
      </w:tr>
      <w:tr>
        <w:trPr>
          <w:trHeight w:val="195"/>
        </w:trPr>
        <w:tc>
          <w:tcPr>
            <w:tcW w:w="7540" w:type="dxa"/>
            <w:vAlign w:val="bottom"/>
          </w:tcPr>
          <w:p>
            <w:pPr>
              <w:ind w:left="674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Gregory Gentile</w:t>
            </w:r>
          </w:p>
        </w:tc>
      </w:tr>
      <w:tr>
        <w:trPr>
          <w:trHeight w:val="230"/>
        </w:trPr>
        <w:tc>
          <w:tcPr>
            <w:tcW w:w="7540" w:type="dxa"/>
            <w:vAlign w:val="bottom"/>
          </w:tcPr>
          <w:p>
            <w:pPr>
              <w:ind w:left="674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Manager</w:t>
            </w:r>
          </w:p>
        </w:tc>
      </w:tr>
      <w:tr>
        <w:trPr>
          <w:trHeight w:val="797"/>
        </w:trPr>
        <w:tc>
          <w:tcPr>
            <w:tcW w:w="7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lvl w:ilvl="1">
      <w:lvlJc w:val="left"/>
      <w:lvlText w:val="(%2)"/>
      <w:numFmt w:val="lowerLetter"/>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2020-02-14T11:22:39Z</dcterms:created>
  <dcterms:modified xsi:type="dcterms:W3CDTF">2020-02-14T11:22:39Z</dcterms:modified>
</cp:coreProperties>
</file>