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November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43" w:right="539" w:bottom="1103" w:gutter="0" w:footer="0" w:header="0"/>
        </w:sectPr>
      </w:pPr>
    </w:p>
    <w:p>
      <w:pPr>
        <w:spacing w:after="0" w:line="81" w:lineRule="exact"/>
        <w:rPr>
          <w:sz w:val="24"/>
          <w:szCs w:val="24"/>
          <w:color w:val="auto"/>
        </w:rPr>
      </w:pPr>
    </w:p>
    <w:p>
      <w:pPr>
        <w:ind w:left="594"/>
        <w:spacing w:after="0"/>
        <w:rPr>
          <w:sz w:val="20"/>
          <w:szCs w:val="20"/>
          <w:color w:val="auto"/>
        </w:rPr>
      </w:pPr>
      <w:r>
        <w:rPr>
          <w:rFonts w:ascii="Arial" w:cs="Arial" w:eastAsia="Arial" w:hAnsi="Arial"/>
          <w:sz w:val="16"/>
          <w:szCs w:val="16"/>
          <w:color w:val="auto"/>
        </w:rPr>
        <w:t>Class A Common Stock, $0.0001 par value per share</w:t>
      </w:r>
    </w:p>
    <w:p>
      <w:pPr>
        <w:spacing w:after="0" w:line="86"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43" w:right="539" w:bottom="1103"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left="23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43" w:right="539" w:bottom="1103"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 Results of Operations and Financial Conditions</w:t>
      </w:r>
    </w:p>
    <w:p>
      <w:pPr>
        <w:spacing w:after="0" w:line="283" w:lineRule="exact"/>
        <w:rPr>
          <w:sz w:val="20"/>
          <w:szCs w:val="20"/>
          <w:color w:val="auto"/>
        </w:rPr>
      </w:pPr>
    </w:p>
    <w:p>
      <w:pPr>
        <w:jc w:val="both"/>
        <w:ind w:left="260"/>
        <w:spacing w:after="0" w:line="263" w:lineRule="auto"/>
        <w:rPr>
          <w:sz w:val="20"/>
          <w:szCs w:val="20"/>
          <w:color w:val="auto"/>
        </w:rPr>
      </w:pPr>
      <w:r>
        <w:rPr>
          <w:rFonts w:ascii="Arial" w:cs="Arial" w:eastAsia="Arial" w:hAnsi="Arial"/>
          <w:sz w:val="18"/>
          <w:szCs w:val="18"/>
          <w:color w:val="auto"/>
        </w:rPr>
        <w:t>On November 11, 2021 WM Technology, Inc. announced its financial results for the third quarter ended September 30, 2021. The full text of the press release issued in connection with the announcement is furnished as Exhibit 99.1 to this Current Report on Form 8-K and is incorporated by reference.</w:t>
      </w:r>
    </w:p>
    <w:p>
      <w:pPr>
        <w:spacing w:after="0" w:line="265"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42" w:lineRule="exact"/>
        <w:rPr>
          <w:sz w:val="20"/>
          <w:szCs w:val="20"/>
          <w:color w:val="auto"/>
        </w:rPr>
      </w:pPr>
    </w:p>
    <w:p>
      <w:pPr>
        <w:ind w:left="300"/>
        <w:spacing w:after="0"/>
        <w:tabs>
          <w:tab w:leader="none" w:pos="102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November 11,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39" w:right="5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2021</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14312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WM Technology, Inc. Reports Third Quarter 2021 Financial Results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Third Quarter Revenue increased to $50.9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Revenue grew 46% year-over-year with Total Revenue growth of 9% year-over-year</w:t>
      </w:r>
    </w:p>
    <w:p>
      <w:pPr>
        <w:spacing w:after="0" w:line="200" w:lineRule="exact"/>
        <w:rPr>
          <w:sz w:val="20"/>
          <w:szCs w:val="20"/>
          <w:color w:val="auto"/>
        </w:rPr>
      </w:pPr>
    </w:p>
    <w:p>
      <w:pPr>
        <w:spacing w:after="0" w:line="27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Irvine, Calif. -- November 11, 2021 -- </w:t>
      </w:r>
      <w:r>
        <w:rPr>
          <w:rFonts w:ascii="Arial" w:cs="Arial" w:eastAsia="Arial" w:hAnsi="Arial"/>
          <w:sz w:val="17"/>
          <w:szCs w:val="17"/>
          <w:color w:val="auto"/>
        </w:rPr>
        <w:t>WM Technology, Inc. (“WM Technology” or the “Company”) (Nasdaq: MAPS), a leading technology and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infrastructure provider to the cannabis industry, today announced its financial results for the third quarter ended September 30, 2021.</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third quarter results reflect the momentum we are seeing as we focus on executing and investing against our growth opportunities. We achieved revenue growth in the U.S. of 46% year-over-year, maintained healthy EBITDA profitability and also had double-digit year-over-year growth across a number of our key metrics. Our ability to outpace our end-market growth is especially notable given the challenges many of our clients faced given what we believe is accelerating consumer demand shifts to non-licensed channels,” said Chris Beals, CEO and Chairman of WM Technology. “Additionally, we continue to accelerate investment in both organic and inorganic growth in our platform during the third quarter as we look towards 2022. In addition to the acquisition of Sprout announced in mid-September, we also acquired the parent company to Cannveya and CannCurrent. These acquisitions complement the suite of integrated solutions we provide through our WM Business offering that help both large and small clients. We are very excited to welcome each of these teams and technology to the WM Technology family and are more excited than ever at the near and long-term opportunity for WM Technology.”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Highlights</w:t>
      </w:r>
    </w:p>
    <w:p>
      <w:pPr>
        <w:spacing w:after="0" w:line="283" w:lineRule="exact"/>
        <w:rPr>
          <w:sz w:val="20"/>
          <w:szCs w:val="20"/>
          <w:color w:val="auto"/>
        </w:rPr>
      </w:pPr>
    </w:p>
    <w:p>
      <w:pPr>
        <w:jc w:val="both"/>
        <w:ind w:left="660" w:hanging="328"/>
        <w:spacing w:after="0" w:line="23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Revenue increased to $50.9 million, up 9% from the third quarter of 2020 or 46% in the U.S. (when adjusting the prior third quarter to exclude revenue associated with Canada-based retail operators who failed to provide valid license information and were subsequently removed from the Weedmaps marketplace).</w:t>
      </w:r>
    </w:p>
    <w:p>
      <w:pPr>
        <w:spacing w:after="0" w:line="35" w:lineRule="exact"/>
        <w:rPr>
          <w:rFonts w:ascii="Arial" w:cs="Arial" w:eastAsia="Arial" w:hAnsi="Arial"/>
          <w:sz w:val="22"/>
          <w:szCs w:val="22"/>
          <w:color w:val="auto"/>
        </w:rPr>
      </w:pPr>
    </w:p>
    <w:p>
      <w:pPr>
        <w:jc w:val="both"/>
        <w:ind w:left="1300" w:hanging="320"/>
        <w:spacing w:after="0" w:line="236" w:lineRule="auto"/>
        <w:tabs>
          <w:tab w:leader="none" w:pos="1296"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Monthly active users (“MAUs”)</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increased to 13.9 million at September 30, 2021 or 37% compared to the prior year period (or 28% when adjusting the current period to exclude the MAUs attributed to the Learn section of weedmaps.com that we were not able to track during the prior period).</w:t>
      </w:r>
    </w:p>
    <w:p>
      <w:pPr>
        <w:spacing w:after="0" w:line="75" w:lineRule="exact"/>
        <w:rPr>
          <w:rFonts w:ascii="Arial" w:cs="Arial" w:eastAsia="Arial" w:hAnsi="Arial"/>
          <w:sz w:val="18"/>
          <w:szCs w:val="18"/>
          <w:b w:val="1"/>
          <w:bCs w:val="1"/>
          <w:color w:val="auto"/>
        </w:rPr>
      </w:pPr>
    </w:p>
    <w:p>
      <w:pPr>
        <w:ind w:left="1300" w:hanging="320"/>
        <w:spacing w:after="0" w:line="243" w:lineRule="auto"/>
        <w:tabs>
          <w:tab w:leader="none" w:pos="1309" w:val="left"/>
        </w:tabs>
        <w:numPr>
          <w:ilvl w:val="1"/>
          <w:numId w:val="2"/>
        </w:numPr>
        <w:rPr>
          <w:rFonts w:ascii="Arial" w:cs="Arial" w:eastAsia="Arial" w:hAnsi="Arial"/>
          <w:sz w:val="21"/>
          <w:szCs w:val="21"/>
          <w:color w:val="auto"/>
        </w:rPr>
      </w:pPr>
      <w:r>
        <w:rPr>
          <w:rFonts w:ascii="Arial" w:cs="Arial" w:eastAsia="Arial" w:hAnsi="Arial"/>
          <w:sz w:val="17"/>
          <w:szCs w:val="17"/>
          <w:color w:val="auto"/>
        </w:rPr>
        <w:t>Average monthly revenue per paying client</w:t>
      </w:r>
      <w:r>
        <w:rPr>
          <w:rFonts w:ascii="Arial" w:cs="Arial" w:eastAsia="Arial" w:hAnsi="Arial"/>
          <w:sz w:val="22"/>
          <w:szCs w:val="22"/>
          <w:color w:val="auto"/>
          <w:vertAlign w:val="superscript"/>
        </w:rPr>
        <w:t>(1)(3)</w:t>
      </w:r>
      <w:r>
        <w:rPr>
          <w:rFonts w:ascii="Arial" w:cs="Arial" w:eastAsia="Arial" w:hAnsi="Arial"/>
          <w:sz w:val="17"/>
          <w:szCs w:val="17"/>
          <w:color w:val="auto"/>
        </w:rPr>
        <w:t xml:space="preserve"> increased to $3,817 or 7% compared to the prior year period (or 18% when excluding revenue from Canada-based retail operators who failed to provide valid license information from the prior year period).</w:t>
      </w:r>
    </w:p>
    <w:p>
      <w:pPr>
        <w:spacing w:after="0" w:line="72" w:lineRule="exact"/>
        <w:rPr>
          <w:rFonts w:ascii="Arial" w:cs="Arial" w:eastAsia="Arial" w:hAnsi="Arial"/>
          <w:sz w:val="21"/>
          <w:szCs w:val="21"/>
          <w:color w:val="auto"/>
        </w:rPr>
      </w:pPr>
    </w:p>
    <w:p>
      <w:pPr>
        <w:ind w:left="1300" w:hanging="320"/>
        <w:spacing w:after="0" w:line="256" w:lineRule="auto"/>
        <w:tabs>
          <w:tab w:leader="none" w:pos="1323" w:val="left"/>
        </w:tabs>
        <w:numPr>
          <w:ilvl w:val="1"/>
          <w:numId w:val="2"/>
        </w:numPr>
        <w:rPr>
          <w:rFonts w:ascii="Arial" w:cs="Arial" w:eastAsia="Arial" w:hAnsi="Arial"/>
          <w:sz w:val="22"/>
          <w:szCs w:val="22"/>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increased to 4,444 or 2% compared to the prior year period (or increased 24% when excluding Canada-based retail operators who failed to provide valid license information from the prior year period).</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was $48.8 million implying a 96% margin rate, which reflects a 50bps margin expansion from the prior year.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was $49.2 million as compared to $15.5 million from the prior year period.</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$10.4 million as compared to $16.5 million from the prior year period.</w:t>
      </w:r>
    </w:p>
    <w:p>
      <w:pPr>
        <w:spacing w:after="0" w:line="39" w:lineRule="exact"/>
        <w:rPr>
          <w:rFonts w:ascii="Arial" w:cs="Arial" w:eastAsia="Arial" w:hAnsi="Arial"/>
          <w:sz w:val="18"/>
          <w:szCs w:val="18"/>
          <w:b w:val="1"/>
          <w:bCs w:val="1"/>
          <w:color w:val="auto"/>
        </w:rPr>
      </w:pPr>
    </w:p>
    <w:p>
      <w:pPr>
        <w:ind w:left="660" w:hanging="328"/>
        <w:spacing w:after="0" w:line="259"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Basic net income per share was $0.32 based on 64.2 million of Class A Common Stock weighted average shares outstanding. Diluted net income per share was $0.02 based on 68.3 million Class A Common Stock weighted average diluted shares outstanding.</w:t>
      </w:r>
    </w:p>
    <w:p>
      <w:pPr>
        <w:spacing w:after="0" w:line="50"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September 30, 2021, our share count includes:</w:t>
      </w:r>
    </w:p>
    <w:p>
      <w:pPr>
        <w:sectPr>
          <w:pgSz w:w="11900" w:h="16838" w:orient="portrait"/>
          <w:cols w:equalWidth="0" w:num="1">
            <w:col w:w="11240"/>
          </w:cols>
          <w:pgMar w:left="320" w:top="1039" w:right="339" w:bottom="1440" w:gutter="0" w:footer="0" w:header="0"/>
        </w:sectPr>
      </w:pPr>
    </w:p>
    <w:bookmarkStart w:id="4" w:name="page5"/>
    <w:bookmarkEnd w:id="4"/>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65.7 million shares of Class A Common Stock.</w:t>
      </w:r>
    </w:p>
    <w:p>
      <w:pPr>
        <w:spacing w:after="0" w:line="76"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65.5 million shares of Class A Common Stock issuable upon exchange of Class A units representing limited liability company interests of WM Holding Company, LLC (“WMH”) combined with an equivalent number of shares of Class V Common Stock.</w:t>
      </w:r>
    </w:p>
    <w:p>
      <w:pPr>
        <w:spacing w:after="0" w:line="35"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7.0 million shares of Class A Common Stock issuable upon exercise of warrants originally issued in a private placement in connection with the initial public offering of Silver Spike Acquisition Corp. (“Silver Spike”).</w:t>
      </w:r>
    </w:p>
    <w:p>
      <w:pPr>
        <w:spacing w:after="0" w:line="21"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12.5 million shares of Class A Common Stock issuable upon exercise of the public warrants originally issued in the initial public offering of Silver Spike.</w:t>
      </w:r>
    </w:p>
    <w:p>
      <w:pPr>
        <w:spacing w:after="0" w:line="21" w:lineRule="exact"/>
        <w:rPr>
          <w:rFonts w:ascii="Arial" w:cs="Arial" w:eastAsia="Arial" w:hAnsi="Arial"/>
          <w:sz w:val="18"/>
          <w:szCs w:val="18"/>
          <w:color w:val="auto"/>
        </w:rPr>
      </w:pPr>
    </w:p>
    <w:p>
      <w:pPr>
        <w:ind w:left="1300" w:hanging="320"/>
        <w:spacing w:after="0" w:line="277" w:lineRule="auto"/>
        <w:tabs>
          <w:tab w:leader="none" w:pos="1323" w:val="left"/>
        </w:tabs>
        <w:numPr>
          <w:ilvl w:val="1"/>
          <w:numId w:val="3"/>
        </w:numPr>
        <w:rPr>
          <w:rFonts w:ascii="Arial" w:cs="Arial" w:eastAsia="Arial" w:hAnsi="Arial"/>
          <w:sz w:val="18"/>
          <w:szCs w:val="18"/>
          <w:color w:val="auto"/>
        </w:rPr>
      </w:pPr>
      <w:r>
        <w:rPr>
          <w:rFonts w:ascii="Arial" w:cs="Arial" w:eastAsia="Arial" w:hAnsi="Arial"/>
          <w:sz w:val="18"/>
          <w:szCs w:val="18"/>
          <w:color w:val="auto"/>
        </w:rPr>
        <w:t>Up to 25.7 million shares of Class A Common Stock, 23.2 million of which have vested, issuable upon exchange of Class P units representing limited liability company interests of WMH (“Class P Units”).</w:t>
      </w:r>
    </w:p>
    <w:p>
      <w:pPr>
        <w:spacing w:after="0" w:line="35"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4.1 million granted restricted stock units, of which 0.2 million had vested as of September 30, 2021.</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Cash totaled $77.9 million as of September 30, 2021.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GAAP to non-GAAP financial measures have been provided in the tables included in this release.</w:t>
      </w:r>
    </w:p>
    <w:p>
      <w:pPr>
        <w:spacing w:after="0" w:line="238" w:lineRule="auto"/>
        <w:rPr>
          <w:sz w:val="20"/>
          <w:szCs w:val="20"/>
          <w:color w:val="auto"/>
        </w:rPr>
      </w:pPr>
      <w:r>
        <w:rPr>
          <w:rFonts w:ascii="Arial" w:cs="Arial" w:eastAsia="Arial" w:hAnsi="Arial"/>
          <w:sz w:val="18"/>
          <w:szCs w:val="18"/>
          <w:color w:val="auto"/>
        </w:rPr>
        <w:t>______________________________</w:t>
      </w: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modified the definition and calculation of three of our Key Operating and Financial Metrics: (a) average monthly revenue per paying client, (b) average monthly paying clients, and</w:t>
      </w:r>
    </w:p>
    <w:p>
      <w:pPr>
        <w:ind w:left="340" w:right="20"/>
        <w:spacing w:after="0" w:line="221" w:lineRule="auto"/>
        <w:rPr>
          <w:rFonts w:ascii="Arial" w:cs="Arial" w:eastAsia="Arial" w:hAnsi="Arial"/>
          <w:sz w:val="13"/>
          <w:szCs w:val="13"/>
          <w:color w:val="auto"/>
        </w:rPr>
      </w:pPr>
      <w:r>
        <w:rPr>
          <w:rFonts w:ascii="Arial" w:cs="Arial" w:eastAsia="Arial" w:hAnsi="Arial"/>
          <w:sz w:val="14"/>
          <w:szCs w:val="14"/>
          <w:color w:val="auto"/>
        </w:rPr>
        <w:t>(c) MAUs. We made these modifications in order to better reflect our performance during a reporting period and to make these key metrics more easily comparable on a period-to-period basis. For comparison of these metrics to previous calculations see “Selected Current and Previous Operating Key Metrics” below.</w:t>
      </w:r>
    </w:p>
    <w:p>
      <w:pPr>
        <w:jc w:val="both"/>
        <w:ind w:left="340" w:hanging="332"/>
        <w:spacing w:after="0" w:line="22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MAUs are defined as the number of unique users opening our Weedmaps mobile app or accessing our Weedmaps.com website over the course of a calendar month. This metric previously excluded the MAUs attributed to the Learn section of weedmaps.com, which we began tracking in March 2021. See “Selected Current and Previous Operating Metrics” below for a description of how we used to calculate MAUs and what our MAUs would have been using our prior definition for the applicable periods.</w:t>
      </w:r>
    </w:p>
    <w:p>
      <w:pPr>
        <w:jc w:val="both"/>
        <w:ind w:left="340" w:hanging="332"/>
        <w:spacing w:after="0" w:line="22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monthly revenue per paying client is defined as the average monthly revenue for any particular period divided by the average monthly paying clients in the same respective period. See “Selected Current and Previous Operating Metrics” below for a description of how we used to calculate average monthly revenue per paying client and what our average monthly revenue per paying client would have been using our prior definition for the applicable periods.</w:t>
      </w:r>
    </w:p>
    <w:p>
      <w:pPr>
        <w:jc w:val="both"/>
        <w:ind w:left="340" w:hanging="332"/>
        <w:spacing w:after="0" w:line="22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monthly paying clients are defined as the average of the number of paying clients billed in a month across a particular period (and for which services were provided). See “Selected Current and Previous Operating Metrics” below for a description of how we used to calculate average monthly paying clients and what our average monthly paying clients would have been using our prior definition for the applicable periods.</w:t>
      </w:r>
    </w:p>
    <w:p>
      <w:pPr>
        <w:ind w:left="340" w:hanging="332"/>
        <w:spacing w:after="0" w:line="237"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their use and a reconciliation of EBITDA and Adjusted EBITDA to net income, see “Reconciliation of Net Income to EBITDA and Adjusted EBITDA”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Operational Highlights</w:t>
      </w:r>
    </w:p>
    <w:p>
      <w:pPr>
        <w:spacing w:after="0" w:line="256" w:lineRule="exact"/>
        <w:rPr>
          <w:sz w:val="20"/>
          <w:szCs w:val="20"/>
          <w:color w:val="auto"/>
        </w:rPr>
      </w:pPr>
    </w:p>
    <w:p>
      <w:pPr>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two acquisitions in Sprout and Transport Logistics Holding Company, LLC, the parent company to Cannveya and CannCurrent. As part of the acquisitions, we hired the founders and teams of both companies.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to drive improvements in the Weedmaps user experience by increasing the accuracy of menu and product information across our marketplace and surfacing deals and promotions.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Enabled online order-ahead functionality on our iOS app.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our 2nd annual “Best of Weedmaps” marketing program heading.</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Drove wider availability of Menu and Orders integrations to ensure easier Menu set-up and Orders and WM Store-enablement so that our clients could more easily convert user traffic to transactions.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Expanded our cost-per-click, or “CPC”, pricing tests in additional markets to enable more performance-based buying options for our clients.</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Invested ahead of key East Coast state openings, like New Jersey and New York, with on-the-ground efforts through our social equity workshops and work with local cannabis associations and also seeded awareness of the Weedmaps brand through efforts like the Kevin Durant partnership that we announced.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Developed capabilities for full-service multi-channel media solutions offering to begin piloting in Q4.</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to invest heavily in headcount, with over 75 new hires in Q3, mostly across our regional go-to-market teams and within our Engineering, Product &amp; Design teams.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Business Outlook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business trends and conditions, the outlook for the fourth quarter of the year ending December 31, 2021, is expected to be as follows:</w:t>
      </w:r>
    </w:p>
    <w:p>
      <w:pPr>
        <w:spacing w:after="0" w:line="14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is estimated to be between $50 million and $52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is estimated to be between $3 million and $5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3" w:right="339" w:bottom="1440" w:gutter="0" w:footer="0" w:header="0"/>
        </w:sectPr>
      </w:pPr>
    </w:p>
    <w:bookmarkStart w:id="5" w:name="page6"/>
    <w:bookmarkEnd w:id="5"/>
    <w:p>
      <w:pPr>
        <w:ind w:right="20"/>
        <w:spacing w:after="0" w:line="227" w:lineRule="auto"/>
        <w:rPr>
          <w:sz w:val="20"/>
          <w:szCs w:val="20"/>
          <w:color w:val="auto"/>
        </w:rPr>
      </w:pPr>
      <w:r>
        <w:rPr>
          <w:rFonts w:ascii="Arial" w:cs="Arial" w:eastAsia="Arial" w:hAnsi="Arial"/>
          <w:sz w:val="18"/>
          <w:szCs w:val="18"/>
          <w:color w:val="auto"/>
        </w:rPr>
        <w:t>The guidance provided above is only an estimate of what we believe is realizable as of the date of this release. We are not readily able to provide a reconciliation of projected Adjusted EBITDA to projected net income without unreasonable effort. This guidance assumes that no business acquisitions, investments, restructurings, or legal settlements are concluded in the quarter.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and Webcasts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host a conference call and webcast today, Thursday, November 11, 2021, at 2:00 p.m. Pacific Time (5:00 p.m. Eastern Time) by dialing</w:t>
      </w:r>
    </w:p>
    <w:p>
      <w:pPr>
        <w:spacing w:after="0" w:line="73" w:lineRule="exact"/>
        <w:rPr>
          <w:sz w:val="20"/>
          <w:szCs w:val="20"/>
          <w:color w:val="auto"/>
        </w:rPr>
      </w:pPr>
    </w:p>
    <w:p>
      <w:pPr>
        <w:ind w:firstLine="8"/>
        <w:spacing w:after="0" w:line="277" w:lineRule="auto"/>
        <w:tabs>
          <w:tab w:leader="none" w:pos="435" w:val="left"/>
        </w:tabs>
        <w:numPr>
          <w:ilvl w:val="0"/>
          <w:numId w:val="7"/>
        </w:numPr>
        <w:rPr>
          <w:rFonts w:ascii="Arial" w:cs="Arial" w:eastAsia="Arial" w:hAnsi="Arial"/>
          <w:sz w:val="18"/>
          <w:szCs w:val="18"/>
          <w:color w:val="auto"/>
        </w:rPr>
      </w:pPr>
      <w:r>
        <w:rPr>
          <w:rFonts w:ascii="Arial" w:cs="Arial" w:eastAsia="Arial" w:hAnsi="Arial"/>
          <w:sz w:val="18"/>
          <w:szCs w:val="18"/>
          <w:color w:val="auto"/>
        </w:rPr>
        <w:t>855-0799 (United States and Canada) or (409) 937-8921 (International) and providing Conference ID 1999619. A live webcast of the call will also be available on the WM Technology investor relations website at ir.weedmaps.com.</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telephone replay of the call may be accessed the same day from Thursday, November 11, 2021 until 5:00 Pacific Time (8:00 p.m. Eastern Time) on Thursday, November 18, 2021 by dialing (855) 859-2056 (United States and Canada) or (404) 537-3406 (International) and providing Conference ID 1999619. A webcast replay will also be archived at ir.weedmaps.com.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WM Technology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mission is to power a transparent and inclusive global cannabis economy. Now in its second decade, WM Technology has been a driving force behind much of the legislative change we’ve seen in the past 10 years.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Founded in 2008, WM Technology, is a leading technology and software infrastructure provider to the cannabis industry, comprising a B2C platform, Weedmaps, and B2B software, WM Business. The cloud-based SaaS solutions from WM Business provide an end-to-end operating system for cannabis retailers. WM Business’ tools support compliance with the complex, disparate, and constantly evolving regulations applicable to the cannabis industry. Through its website and mobile apps, WM Technology provides consumers with the latest information about cannabis retailers, brands, and products, facilitating product discovery and driving engagement with our retail and brand customers.</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Headquartered in Irvine, California, WM Technology supports remote work for all eligible employees. Visit us at </w:t>
      </w:r>
      <w:r>
        <w:rPr>
          <w:rFonts w:ascii="Arial" w:cs="Arial" w:eastAsia="Arial" w:hAnsi="Arial"/>
          <w:sz w:val="18"/>
          <w:szCs w:val="18"/>
          <w:color w:val="0000FF"/>
        </w:rPr>
        <w:t>www.weedmaps.com</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press release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w:t>
      </w:r>
    </w:p>
    <w:p>
      <w:pPr>
        <w:jc w:val="both"/>
        <w:spacing w:after="0" w:line="223" w:lineRule="auto"/>
        <w:rPr>
          <w:sz w:val="20"/>
          <w:szCs w:val="20"/>
          <w:color w:val="auto"/>
        </w:rPr>
      </w:pPr>
      <w:r>
        <w:rPr>
          <w:rFonts w:ascii="Arial" w:cs="Arial" w:eastAsia="Arial" w:hAnsi="Arial"/>
          <w:sz w:val="18"/>
          <w:szCs w:val="18"/>
          <w:color w:val="auto"/>
        </w:rPr>
        <w:t>projections of market opportunity and market share.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customers and retain existing customers;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outcome of any known and unknown litigation and regulatory proceedings; changes in domestic and foreign business, market, financial,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30" w:right="339" w:bottom="1440" w:gutter="0" w:footer="0" w:header="0"/>
        </w:sectPr>
      </w:pPr>
    </w:p>
    <w:bookmarkStart w:id="6" w:name="page7"/>
    <w:bookmarkEnd w:id="6"/>
    <w:p>
      <w:pPr>
        <w:jc w:val="both"/>
        <w:spacing w:after="0" w:line="234" w:lineRule="auto"/>
        <w:rPr>
          <w:sz w:val="20"/>
          <w:szCs w:val="20"/>
          <w:color w:val="auto"/>
        </w:rPr>
      </w:pPr>
      <w:r>
        <w:rPr>
          <w:rFonts w:ascii="Arial" w:cs="Arial" w:eastAsia="Arial" w:hAnsi="Arial"/>
          <w:sz w:val="17"/>
          <w:szCs w:val="17"/>
          <w:color w:val="auto"/>
        </w:rPr>
        <w:t>political and legal conditions; risks relating to the uncertainty of the projected financial information with respect to the Company;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Company’s success in retaining or recruiting, or changes required in, officers, key employees or directors; the possibility that we may be adversely affected by other economic, business or competitive factors; that the Company identified a material weakness in its internal control over financial reporting which, if not corrected, could affect the reliability of its consolidated financial statements; the possibility that the Company may be adversely affected by other economic, business or competitive factors; and those factors discussed in the Company’s Quarterly Report on Form 10-Q filed with Securities and Exchange Commission (the “SEC”) on August 13, 2021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197"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Key Operating and Financial Metrics</w:t>
      </w:r>
    </w:p>
    <w:p>
      <w:pPr>
        <w:spacing w:after="0" w:line="225" w:lineRule="exact"/>
        <w:rPr>
          <w:sz w:val="20"/>
          <w:szCs w:val="20"/>
          <w:color w:val="auto"/>
        </w:rPr>
      </w:pPr>
    </w:p>
    <w:p>
      <w:pPr>
        <w:jc w:val="both"/>
        <w:ind w:left="660" w:hanging="328"/>
        <w:spacing w:after="0" w:line="229" w:lineRule="auto"/>
        <w:tabs>
          <w:tab w:leader="none" w:pos="656" w:val="left"/>
        </w:tabs>
        <w:numPr>
          <w:ilvl w:val="0"/>
          <w:numId w:val="9"/>
        </w:numPr>
        <w:rPr>
          <w:rFonts w:ascii="Arial" w:cs="Arial" w:eastAsia="Arial" w:hAnsi="Arial"/>
          <w:sz w:val="14"/>
          <w:szCs w:val="14"/>
          <w:color w:val="auto"/>
        </w:rPr>
      </w:pPr>
      <w:r>
        <w:rPr>
          <w:rFonts w:ascii="Arial" w:cs="Arial" w:eastAsia="Arial" w:hAnsi="Arial"/>
          <w:sz w:val="18"/>
          <w:szCs w:val="18"/>
          <w:b w:val="1"/>
          <w:bCs w:val="1"/>
          <w:color w:val="auto"/>
        </w:rPr>
        <w:t>Average Monthly Revenue Per Paying Client</w:t>
      </w:r>
      <w:r>
        <w:rPr>
          <w:rFonts w:ascii="Arial" w:cs="Arial" w:eastAsia="Arial" w:hAnsi="Arial"/>
          <w:sz w:val="18"/>
          <w:szCs w:val="18"/>
          <w:color w:val="auto"/>
        </w:rPr>
        <w:t>: Average monthly revenue per paying client measures how much clients, for the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calculation of monthly revenue includes revenue from any clients that cease to be paying clients during the applicable month.</w:t>
      </w:r>
    </w:p>
    <w:p>
      <w:pPr>
        <w:spacing w:after="0" w:line="200" w:lineRule="exact"/>
        <w:rPr>
          <w:rFonts w:ascii="Arial" w:cs="Arial" w:eastAsia="Arial" w:hAnsi="Arial"/>
          <w:sz w:val="14"/>
          <w:szCs w:val="14"/>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Average Monthly Paying Clients</w:t>
      </w:r>
      <w:r>
        <w:rPr>
          <w:rFonts w:ascii="Arial" w:cs="Arial" w:eastAsia="Arial" w:hAnsi="Arial"/>
          <w:sz w:val="18"/>
          <w:szCs w:val="18"/>
          <w:color w:val="auto"/>
        </w:rPr>
        <w:t>: We define average monthly paying clients as the monthly average of clients billed each month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period (and for which services were provided).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0" w:right="339" w:bottom="1440" w:gutter="0" w:footer="0" w:header="0"/>
        </w:sectPr>
      </w:pPr>
    </w:p>
    <w:bookmarkStart w:id="7" w:name="page8"/>
    <w:bookmarkEnd w:id="7"/>
    <w:p>
      <w:pPr>
        <w:jc w:val="both"/>
        <w:ind w:left="660" w:hanging="328"/>
        <w:spacing w:after="0" w:line="236"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MAUs: </w:t>
      </w:r>
      <w:r>
        <w:rPr>
          <w:rFonts w:ascii="Arial" w:cs="Arial" w:eastAsia="Arial" w:hAnsi="Arial"/>
          <w:sz w:val="18"/>
          <w:szCs w:val="18"/>
          <w:color w:val="auto"/>
        </w:rPr>
        <w:t>We define MAUs as the number of unique users opening our Weedmaps mobile app or accessing our Weedmaps.com website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a calendar month. In any particular period, we determine our number of MAUs by counting the total number of users who have engaged with the weedmaps.com site during the final calendar month of the given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Greg Stolowitz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gstolowitz@weedmaps.com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949.345.7579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Contract: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Travis Rexroad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trexroad@weedmaps.com</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69" w:right="339" w:bottom="1440" w:gutter="0" w:footer="0" w:header="0"/>
        </w:sectPr>
      </w:pPr>
    </w:p>
    <w:bookmarkStart w:id="8" w:name="page9"/>
    <w:bookmarkEnd w:id="8"/>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106,057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34,167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45,658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37,673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23,881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Notes payable to members</w:t>
            </w:r>
          </w:p>
        </w:tc>
        <w:tc>
          <w:tcPr>
            <w:tcW w:w="16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37,896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23,249</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Tax receivable agreement liability</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Stockholders’ equity/Members’ equity</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Preferred Stock - $0.0001 par value; 75,000,000 shares authorized; no shares issued and</w:t>
            </w:r>
          </w:p>
        </w:tc>
        <w:tc>
          <w:tcPr>
            <w:tcW w:w="160" w:type="dxa"/>
            <w:vAlign w:val="bottom"/>
            <w:shd w:val="clear" w:color="auto" w:fill="CCEEFF"/>
          </w:tcPr>
          <w:p>
            <w:pPr>
              <w:spacing w:after="0"/>
              <w:rPr>
                <w:sz w:val="15"/>
                <w:szCs w:val="15"/>
                <w:color w:val="auto"/>
              </w:rPr>
            </w:pPr>
          </w:p>
        </w:tc>
        <w:tc>
          <w:tcPr>
            <w:tcW w:w="1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September 30, 2021 and December 31, 2020</w:t>
            </w:r>
          </w:p>
        </w:tc>
        <w:tc>
          <w:tcPr>
            <w:tcW w:w="160" w:type="dxa"/>
            <w:vAlign w:val="bottom"/>
            <w:shd w:val="clear" w:color="auto" w:fill="CCEEFF"/>
          </w:tcPr>
          <w:p>
            <w:pPr>
              <w:spacing w:after="0"/>
              <w:rPr>
                <w:sz w:val="19"/>
                <w:szCs w:val="19"/>
                <w:color w:val="auto"/>
              </w:rPr>
            </w:pPr>
          </w:p>
        </w:tc>
        <w:tc>
          <w:tcPr>
            <w:tcW w:w="1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w w:val="97"/>
              </w:rPr>
              <w:t>Class A Common Stock - $0.0001 par value; 1,500,000,000 shares authorized; 65,677,361</w:t>
            </w: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360"/>
              <w:spacing w:after="0" w:line="176" w:lineRule="exact"/>
              <w:rPr>
                <w:sz w:val="20"/>
                <w:szCs w:val="20"/>
                <w:color w:val="auto"/>
              </w:rPr>
            </w:pPr>
            <w:r>
              <w:rPr>
                <w:rFonts w:ascii="Arial" w:cs="Arial" w:eastAsia="Arial" w:hAnsi="Arial"/>
                <w:sz w:val="18"/>
                <w:szCs w:val="18"/>
                <w:color w:val="auto"/>
                <w:w w:val="90"/>
              </w:rPr>
              <w:t>shares issued and outstanding at September 30, 2021 and no shares issued and outstanding at</w:t>
            </w:r>
          </w:p>
        </w:tc>
        <w:tc>
          <w:tcPr>
            <w:tcW w:w="16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16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Class V Common Stock - $0.0001 par value; 500,000,000 shares authorized, 65,502,347 shares</w:t>
            </w: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issued and outstanding at September 30, 2021 and no shares issued and outstanding at</w:t>
            </w:r>
          </w:p>
        </w:tc>
        <w:tc>
          <w:tcPr>
            <w:tcW w:w="16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22,506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Members’ equity</w:t>
            </w:r>
          </w:p>
        </w:tc>
        <w:tc>
          <w:tcPr>
            <w:tcW w:w="16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23"/>
        </w:trPr>
        <w:tc>
          <w:tcPr>
            <w:tcW w:w="7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23"/>
        </w:trPr>
        <w:tc>
          <w:tcPr>
            <w:tcW w:w="724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equity/members’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0"/>
                <w:szCs w:val="20"/>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117,470</w:t>
            </w:r>
          </w:p>
        </w:tc>
      </w:tr>
      <w:tr>
        <w:trPr>
          <w:trHeight w:val="257"/>
        </w:trPr>
        <w:tc>
          <w:tcPr>
            <w:tcW w:w="5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5,572</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21,437</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20,325</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37,147</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r>
      <w:tr>
        <w:trPr>
          <w:trHeight w:val="22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30,009</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5"/>
              </w:rPr>
              <w:t>(662)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28,732</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49,205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73,773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28,732</w:t>
            </w: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Net income attributable to WM Technology,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income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N/A¹</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N/A¹</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Diluted income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N/A¹</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N/A¹</w:t>
            </w:r>
          </w:p>
        </w:tc>
      </w:tr>
      <w:tr>
        <w:trPr>
          <w:trHeight w:val="256"/>
        </w:trPr>
        <w:tc>
          <w:tcPr>
            <w:tcW w:w="5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basic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64,216,732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N/A¹</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64,149,699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N/A¹</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Weighted average diluted shares outstanding</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68,304,372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N/A¹</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69,950,141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N/A¹</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-3909060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08" w:lineRule="exact"/>
        <w:rPr>
          <w:sz w:val="20"/>
          <w:szCs w:val="20"/>
          <w:color w:val="auto"/>
        </w:rPr>
      </w:pPr>
    </w:p>
    <w:p>
      <w:pPr>
        <w:jc w:val="both"/>
        <w:ind w:firstLine="8"/>
        <w:spacing w:after="0" w:line="286" w:lineRule="auto"/>
        <w:tabs>
          <w:tab w:leader="none" w:pos="107"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Prior to the Business Combination on June 16, 2021,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June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8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73,773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28,732</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2,980</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Impairment loss on right-of-use asset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24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29,566</w:t>
            </w:r>
          </w:p>
        </w:tc>
      </w:tr>
      <w:tr>
        <w:trPr>
          <w:trHeight w:val="237"/>
        </w:trPr>
        <w:tc>
          <w:tcPr>
            <w:tcW w:w="8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Cash paid for acquisitions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other investments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r>
      <w:tr>
        <w:trPr>
          <w:trHeight w:val="236"/>
        </w:trPr>
        <w:tc>
          <w:tcPr>
            <w:tcW w:w="8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the Business Combination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Payment of note payable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 to members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r>
      <w:tr>
        <w:trPr>
          <w:trHeight w:val="230"/>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Repurchase of Class B Units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w:t>
            </w:r>
          </w:p>
        </w:tc>
      </w:tr>
      <w:tr>
        <w:trPr>
          <w:trHeight w:val="237"/>
        </w:trPr>
        <w:tc>
          <w:tcPr>
            <w:tcW w:w="8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 beginning of period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-4928235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EBITDA AND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2"/>
                <w:szCs w:val="22"/>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28,732</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50,578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31,712</w:t>
            </w:r>
          </w:p>
        </w:tc>
      </w:tr>
      <w:tr>
        <w:trPr>
          <w:trHeight w:val="230"/>
        </w:trPr>
        <w:tc>
          <w:tcPr>
            <w:tcW w:w="51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(45,837)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transaction costs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Impairment of right-of-use asset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related bonus expense</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0" w:lineRule="exact"/>
        <w:rPr>
          <w:sz w:val="20"/>
          <w:szCs w:val="20"/>
          <w:color w:val="auto"/>
        </w:rPr>
      </w:pPr>
    </w:p>
    <w:p>
      <w:pPr>
        <w:ind w:left="340" w:right="20" w:hanging="332"/>
        <w:spacing w:after="0" w:line="246" w:lineRule="auto"/>
        <w:tabs>
          <w:tab w:leader="none" w:pos="382" w:val="left"/>
        </w:tabs>
        <w:numPr>
          <w:ilvl w:val="0"/>
          <w:numId w:val="12"/>
        </w:numPr>
        <w:rPr>
          <w:rFonts w:ascii="Arial" w:cs="Arial" w:eastAsia="Arial" w:hAnsi="Arial"/>
          <w:sz w:val="14"/>
          <w:szCs w:val="14"/>
          <w:color w:val="auto"/>
        </w:rPr>
      </w:pPr>
      <w:r>
        <w:rPr>
          <w:rFonts w:ascii="Arial" w:cs="Arial" w:eastAsia="Arial" w:hAnsi="Arial"/>
          <w:sz w:val="18"/>
          <w:szCs w:val="18"/>
          <w:color w:val="auto"/>
        </w:rPr>
        <w:t>Stock-based compensation expense is recorded in the following expense categories on the accompanying consolidated statements of income for the three and nine months ended September 30, 2021:</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Nine Months Ended</w:t>
            </w:r>
          </w:p>
        </w:tc>
      </w:tr>
      <w:tr>
        <w:trPr>
          <w:trHeight w:val="230"/>
        </w:trPr>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September 30, 2021</w:t>
            </w:r>
          </w:p>
        </w:tc>
        <w:tc>
          <w:tcPr>
            <w:tcW w:w="280" w:type="dxa"/>
            <w:vAlign w:val="bottom"/>
          </w:tcPr>
          <w:p>
            <w:pPr>
              <w:spacing w:after="0"/>
              <w:rPr>
                <w:sz w:val="19"/>
                <w:szCs w:val="19"/>
                <w:color w:val="auto"/>
              </w:rPr>
            </w:pPr>
          </w:p>
        </w:tc>
        <w:tc>
          <w:tcPr>
            <w:tcW w:w="216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September 30, 2021</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3,859</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15,251</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23,625</w:t>
            </w: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885"/>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240"/>
          </w:cols>
          <w:pgMar w:left="320" w:top="1039" w:right="339" w:bottom="1440" w:gutter="0" w:footer="0" w:header="0"/>
        </w:sectPr>
      </w:pPr>
    </w:p>
    <w:bookmarkStart w:id="12" w:name="page13"/>
    <w:bookmarkEnd w:id="12"/>
    <w:p>
      <w:pPr>
        <w:jc w:val="center"/>
        <w:ind w:left="340" w:right="2740"/>
        <w:spacing w:after="0" w:line="266" w:lineRule="auto"/>
        <w:rPr>
          <w:sz w:val="20"/>
          <w:szCs w:val="20"/>
          <w:color w:val="auto"/>
        </w:rPr>
      </w:pPr>
      <w:r>
        <w:rPr>
          <w:rFonts w:ascii="Arial" w:cs="Arial" w:eastAsia="Arial" w:hAnsi="Arial"/>
          <w:sz w:val="18"/>
          <w:szCs w:val="18"/>
          <w:b w:val="1"/>
          <w:bCs w:val="1"/>
          <w:color w:val="auto"/>
        </w:rPr>
        <w:t>WM TECHNOLOGY, INC. AND SUBSIDIARIES SELECTED CURRENT AND PREVIOUS OPERATING KEY METRICS (Unaudited)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Key Operating and Financial Metrics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560" w:type="dxa"/>
            <w:vAlign w:val="bottom"/>
            <w:gridSpan w:val="3"/>
          </w:tcPr>
          <w:p>
            <w:pPr>
              <w:jc w:val="center"/>
              <w:ind w:right="115"/>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5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560" w:type="dxa"/>
            <w:vAlign w:val="bottom"/>
            <w:gridSpan w:val="3"/>
          </w:tcPr>
          <w:p>
            <w:pPr>
              <w:jc w:val="center"/>
              <w:ind w:right="115"/>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5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5180" w:type="dxa"/>
            <w:vAlign w:val="bottom"/>
            <w:tcBorders>
              <w:bottom w:val="single" w:sz="8" w:color="CCEEFF"/>
            </w:tcBorders>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r>
      <w:tr>
        <w:trPr>
          <w:trHeight w:val="224"/>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r>
      <w:tr>
        <w:trPr>
          <w:trHeight w:val="229"/>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3,553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3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MAUs (in thousands)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13,907</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13,907</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r>
      <w:tr>
        <w:trPr>
          <w:trHeight w:val="729"/>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Selected Previously Reported Key Operating and Financial Metrics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73"/>
        </w:trPr>
        <w:tc>
          <w:tcPr>
            <w:tcW w:w="518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24"/>
                <w:szCs w:val="24"/>
                <w:color w:val="auto"/>
              </w:rPr>
            </w:pPr>
          </w:p>
        </w:tc>
        <w:tc>
          <w:tcPr>
            <w:tcW w:w="1560" w:type="dxa"/>
            <w:vAlign w:val="bottom"/>
            <w:gridSpan w:val="3"/>
          </w:tcPr>
          <w:p>
            <w:pPr>
              <w:jc w:val="center"/>
              <w:ind w:right="115"/>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5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560" w:type="dxa"/>
            <w:vAlign w:val="bottom"/>
            <w:gridSpan w:val="3"/>
          </w:tcPr>
          <w:p>
            <w:pPr>
              <w:jc w:val="center"/>
              <w:ind w:right="115"/>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5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5180" w:type="dxa"/>
            <w:vAlign w:val="bottom"/>
            <w:tcBorders>
              <w:bottom w:val="single" w:sz="8" w:color="CCEEFF"/>
            </w:tcBorders>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r>
      <w:tr>
        <w:trPr>
          <w:trHeight w:val="224"/>
        </w:trPr>
        <w:tc>
          <w:tcPr>
            <w:tcW w:w="764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Paying clients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r>
      <w:tr>
        <w:trPr>
          <w:trHeight w:val="230"/>
        </w:trPr>
        <w:tc>
          <w:tcPr>
            <w:tcW w:w="7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Monthly revenue per paying client</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3,678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3,678</w:t>
            </w:r>
          </w:p>
        </w:tc>
      </w:tr>
      <w:tr>
        <w:trPr>
          <w:trHeight w:val="229"/>
        </w:trPr>
        <w:tc>
          <w:tcPr>
            <w:tcW w:w="76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MAUs (in thousands)</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9" w:lineRule="exact"/>
        <w:rPr>
          <w:sz w:val="20"/>
          <w:szCs w:val="20"/>
          <w:color w:val="auto"/>
        </w:rPr>
      </w:pPr>
    </w:p>
    <w:p>
      <w:pPr>
        <w:jc w:val="both"/>
        <w:ind w:left="340" w:hanging="332"/>
        <w:spacing w:after="0" w:line="227" w:lineRule="auto"/>
        <w:tabs>
          <w:tab w:leader="none" w:pos="33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Metric was previously defined as the number of clients billed during the last month of a particular period. We changed our definition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jc w:val="both"/>
        <w:ind w:left="340" w:hanging="332"/>
        <w:spacing w:after="0" w:line="238" w:lineRule="auto"/>
        <w:tabs>
          <w:tab w:leader="none" w:pos="346" w:val="left"/>
        </w:tabs>
        <w:numPr>
          <w:ilvl w:val="0"/>
          <w:numId w:val="13"/>
        </w:numPr>
        <w:rPr>
          <w:rFonts w:ascii="Arial" w:cs="Arial" w:eastAsia="Arial" w:hAnsi="Arial"/>
          <w:sz w:val="13"/>
          <w:szCs w:val="13"/>
          <w:color w:val="auto"/>
        </w:rPr>
      </w:pPr>
      <w:r>
        <w:rPr>
          <w:rFonts w:ascii="Arial" w:cs="Arial" w:eastAsia="Arial" w:hAnsi="Arial"/>
          <w:sz w:val="13"/>
          <w:szCs w:val="13"/>
          <w:color w:val="auto"/>
        </w:rPr>
        <w:t>Metric was previously calculated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ind w:left="340" w:right="20" w:hanging="332"/>
        <w:spacing w:after="0" w:line="237" w:lineRule="auto"/>
        <w:tabs>
          <w:tab w:leader="none" w:pos="357"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Metric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3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KEY OPERATING AND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Key Operating and Financial Metrics (including Canada)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86"/>
        </w:trPr>
        <w:tc>
          <w:tcPr>
            <w:tcW w:w="5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30,</w:t>
            </w:r>
          </w:p>
        </w:tc>
        <w:tc>
          <w:tcPr>
            <w:tcW w:w="76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1"/>
        </w:trPr>
        <w:tc>
          <w:tcPr>
            <w:tcW w:w="512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r>
      <w:tr>
        <w:trPr>
          <w:trHeight w:val="224"/>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4,444</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3,553</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728"/>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Selected Key Operating and Financial Metrics (excluding Canada)</w:t>
            </w:r>
            <w:r>
              <w:rPr>
                <w:rFonts w:ascii="Arial" w:cs="Arial" w:eastAsia="Arial" w:hAnsi="Arial"/>
                <w:sz w:val="23"/>
                <w:szCs w:val="23"/>
                <w:b w:val="1"/>
                <w:bCs w:val="1"/>
                <w:u w:val="single" w:color="auto"/>
                <w:color w:val="auto"/>
                <w:vertAlign w:val="superscript"/>
              </w:rPr>
              <w:t>(</w:t>
            </w:r>
            <w:r>
              <w:rPr>
                <w:rFonts w:ascii="Arial" w:cs="Arial" w:eastAsia="Arial" w:hAnsi="Arial"/>
                <w:sz w:val="23"/>
                <w:szCs w:val="23"/>
                <w:b w:val="1"/>
                <w:bCs w:val="1"/>
                <w:color w:val="auto"/>
                <w:vertAlign w:val="superscript"/>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73"/>
        </w:trPr>
        <w:tc>
          <w:tcPr>
            <w:tcW w:w="512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86"/>
        </w:trPr>
        <w:tc>
          <w:tcPr>
            <w:tcW w:w="5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30,</w:t>
            </w:r>
          </w:p>
        </w:tc>
        <w:tc>
          <w:tcPr>
            <w:tcW w:w="76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1"/>
        </w:trPr>
        <w:tc>
          <w:tcPr>
            <w:tcW w:w="512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r>
      <w:tr>
        <w:trPr>
          <w:trHeight w:val="224"/>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91,275</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Average monthly paying clients</w:t>
            </w:r>
          </w:p>
        </w:tc>
        <w:tc>
          <w:tcPr>
            <w:tcW w:w="220" w:type="dxa"/>
            <w:vAlign w:val="bottom"/>
          </w:tcPr>
          <w:p>
            <w:pPr>
              <w:spacing w:after="0"/>
              <w:rPr>
                <w:sz w:val="19"/>
                <w:szCs w:val="19"/>
                <w:color w:val="auto"/>
              </w:rPr>
            </w:pPr>
          </w:p>
        </w:tc>
        <w:tc>
          <w:tcPr>
            <w:tcW w:w="760" w:type="dxa"/>
            <w:vAlign w:val="bottom"/>
          </w:tcPr>
          <w:p>
            <w:pPr>
              <w:ind w:left="340"/>
              <w:spacing w:after="0"/>
              <w:rPr>
                <w:sz w:val="20"/>
                <w:szCs w:val="20"/>
                <w:color w:val="auto"/>
              </w:rPr>
            </w:pPr>
            <w:r>
              <w:rPr>
                <w:rFonts w:ascii="Arial" w:cs="Arial" w:eastAsia="Arial" w:hAnsi="Arial"/>
                <w:sz w:val="18"/>
                <w:szCs w:val="18"/>
                <w:color w:val="auto"/>
                <w:w w:val="88"/>
              </w:rPr>
              <w:t>4,444</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3,377</w:t>
            </w:r>
          </w:p>
        </w:tc>
      </w:tr>
      <w:tr>
        <w:trPr>
          <w:trHeight w:val="22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Metrics exclude impact from the removal of Canada-based retail operators who failed to provide valid license information from the platform.</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833"/>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¹"/>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2021-11-12T06:53:41Z</dcterms:created>
  <dcterms:modified xsi:type="dcterms:W3CDTF">2021-11-12T06:53:41Z</dcterms:modified>
</cp:coreProperties>
</file>