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89"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December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440"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type w:val="continuous"/>
        </w:sectPr>
      </w:pPr>
    </w:p>
    <w:bookmarkStart w:id="1" w:name="page2"/>
    <w:bookmarkEnd w:id="1"/>
    <w:p>
      <w:pPr>
        <w:ind w:right="3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5, 2022, Justin Dean, the Company’s Chief Technology Officer, tendered his resignation from his role as Chief Technology Officer, effective December 5, 2022.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5, 2022, Mr. Dean and the Company entered into a Separation and Release Agreement (the “Separation Agreement”), providing for the terms of Mr. Dean’s separation from employment with the Company. Under the Separation Agreement, the Company has agreed to provide Mr. Dean with the following separation payments and benefits in lieu of any payments or benefits he may otherwise have been entitled to under the terms of his employment agreement: severance equal to nine months of base salary less any applicable taxes, deductions and withholdings; and nine months of paid COBRA premiums (which cease in the event of new coverage with a subsequent employer). The Separation Agreement contains a release of claims, subject to customary exceptions.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Separation Agreement, a copy of which will be filed with the Securities and Exchange Commission in the Company’s Annual Report on Form 10-K for the year ended December 31, 2022.</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5, 2022, the Board of Directors of the Company appointed Duncan Grazier (previously the Company’s Senior Vice President, Engineering), age 35, to replace Mr. Dean as the Company’s Chief Technology Officer, effective as of December 5, 2022. Mr. Grazier previously served as the Company’s Senior Vice President, Engineering from November 2020 to December 2022 and as WM Holding Company, LLC’s VP of Engineering from September 2019 to November 2020. Previously, Mr. Grazier served as founding Chief Technology Officer for Voray, Inc., a private corporation from December 2015 to November 2018. There are no arrangements or understandings between Mr. Grazier and any other person pursuant to which he was selected as an officer of the Company, and there is no family relationship between Mr. Grazier and any of the Company’s other directors or executive officers. There are no related party transactions between Mr. Grazier and the Company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2022-12-08T05:13:10Z</dcterms:created>
  <dcterms:modified xsi:type="dcterms:W3CDTF">2022-12-08T05:13:10Z</dcterms:modified>
</cp:coreProperties>
</file>