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60" w:lineRule="exact"/>
        <w:rPr>
          <w:sz w:val="24"/>
          <w:szCs w:val="24"/>
          <w:color w:val="auto"/>
        </w:rPr>
      </w:pPr>
    </w:p>
    <w:p>
      <w:pPr>
        <w:ind w:left="1900" w:hanging="589"/>
        <w:spacing w:after="0"/>
        <w:tabs>
          <w:tab w:leader="none" w:pos="190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8" w:lineRule="exact"/>
        <w:rPr>
          <w:sz w:val="24"/>
          <w:szCs w:val="24"/>
          <w:color w:val="auto"/>
        </w:rPr>
      </w:pPr>
    </w:p>
    <w:p>
      <w:pPr>
        <w:ind w:left="1740" w:hanging="429"/>
        <w:spacing w:after="0"/>
        <w:tabs>
          <w:tab w:leader="none" w:pos="174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rFonts w:ascii="MS PGothic" w:cs="MS PGothic" w:eastAsia="MS PGothic" w:hAnsi="MS PGothic"/>
          <w:sz w:val="36"/>
          <w:szCs w:val="36"/>
          <w:color w:val="auto"/>
          <w:vertAlign w:val="superscript"/>
        </w:rPr>
      </w:pPr>
    </w:p>
    <w:p>
      <w:pPr>
        <w:ind w:left="4300"/>
        <w:spacing w:after="0"/>
        <w:rPr>
          <w:rFonts w:ascii="MS PGothic" w:cs="MS PGothic" w:eastAsia="MS PGothic" w:hAnsi="MS PGothic"/>
          <w:sz w:val="36"/>
          <w:szCs w:val="36"/>
          <w:color w:val="auto"/>
          <w:vertAlign w:val="superscript"/>
        </w:rPr>
      </w:pPr>
      <w:r>
        <w:rPr>
          <w:rFonts w:ascii="Times New Roman" w:cs="Times New Roman" w:eastAsia="Times New Roman" w:hAnsi="Times New Roman"/>
          <w:sz w:val="14"/>
          <w:szCs w:val="14"/>
          <w:b w:val="1"/>
          <w:bCs w:val="1"/>
          <w:color w:val="auto"/>
        </w:rPr>
        <w:t>For the transition period from ____ to 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p>
      <w:pPr>
        <w:spacing w:after="0" w:line="1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38" w:right="339" w:bottom="957" w:gutter="0" w:footer="0" w:header="0"/>
        </w:sectPr>
      </w:pPr>
    </w:p>
    <w:p>
      <w:pPr>
        <w:spacing w:after="0" w:line="1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1438" w:right="339" w:bottom="957" w:gutter="0" w:footer="0" w:header="0"/>
          <w:type w:val="continuous"/>
        </w:sect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MS PGothic" w:cs="MS PGothic" w:eastAsia="MS PGothic" w:hAnsi="MS PGothic"/>
          <w:sz w:val="17"/>
          <w:szCs w:val="17"/>
          <w:color w:val="auto"/>
        </w:rPr>
        <w:t>☒</w:t>
      </w:r>
    </w:p>
    <w:p>
      <w:pPr>
        <w:spacing w:after="0" w:line="5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the last business day of the registrant’s most recently completed second fiscal quarter, was approximately $69.4 million based upon the closing price reported for such date on the Nasdaq Global Select Market.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13, 2024, there were 95,051,735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95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(this “Amendment”) to the annual report of WM Technology, Inc. (the “Company”) on Form 10-K/A amends the Company’s annual report on Form 10-K for the year ended December 31, 2023, which was originally filed with the U.S. Securities and Exchange Commission (the “SEC”) on May 24, 2024 (the “Original Form 10-K”). The Company is filing this Amendment solely to amend and restate Part II, Item 9A in its entirety of the Original Form 10-K to disclose in its management report on internal controls over financial reporting, management’s conclusion that the Company’s internal controls over financial reporting was not effective as of December 31,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interpretation 246.13 in the Regulation S-K section of the SEC’s “Compliance &amp; Disclosure Interpretations,” paragraph 3 of each of the certifications required under Section 302 of the Sarbanes-Oxley Act of 2002 by the Company’s principal executive officer and principal financial officer, as Exhibits 31.1 and 31.2, has been omitted. Because no financial statements have been included in this Amendment, the Company is not filing currently dated certifications pursuant to Section 906 of the Sarbanes-Oxley Act of 2002.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specifically noted above, this Amendment does not modify or update disclosures in the Original Form 10-K. This Amendment does not reflect events occurring after the filing of the Original Form 10-K or modify or update any related or other disclosures, other than those discussed herein. Accordingly, this Amendment should be read in conjunction with the Original Form 10-K and the Company’s other filings with the SEC subsequent to the filing of the Original Form 10-K.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ind w:left="3780"/>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foregoing in mind, our executive chair and chief financial officer (“Certifying Officers”) evaluated the effectiveness of our disclosure controls and procedures as of December 31, 2023, pursuant to Rule 13a-15(b) under the Exchange Act. Based on the evaluation, our executive chair and chief financial officer have concluded that as of December 31, 2023, our disclosure controls and procedures were not effective due to the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material weaknesses identified during 2023,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the evaluation, our executive chair and chief financial officer have concluded that as of December 31, 2023, our internal control over financial reporting was not effective due to the material weaknesses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117" w:lineRule="exact"/>
        <w:rPr>
          <w:sz w:val="20"/>
          <w:szCs w:val="20"/>
          <w:color w:val="auto"/>
        </w:rPr>
      </w:pPr>
    </w:p>
    <w:p>
      <w:pPr>
        <w:jc w:val="both"/>
        <w:ind w:left="660" w:hanging="328"/>
        <w:spacing w:after="0" w:line="27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w:t>
      </w:r>
    </w:p>
    <w:p>
      <w:pPr>
        <w:spacing w:after="0" w:line="1" w:lineRule="exact"/>
        <w:rPr>
          <w:rFonts w:ascii="Times New Roman" w:cs="Times New Roman" w:eastAsia="Times New Roman" w:hAnsi="Times New Roman"/>
          <w:sz w:val="17"/>
          <w:szCs w:val="17"/>
          <w:color w:val="auto"/>
        </w:rPr>
      </w:pPr>
    </w:p>
    <w:p>
      <w:pPr>
        <w:jc w:val="both"/>
        <w:ind w:left="6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8"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6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begun the process of evaluating the material weaknesses and developing our full remediation plan. Until the remediation plan is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Amendment.</w:t>
      </w:r>
    </w:p>
    <w:p>
      <w:pPr>
        <w:sectPr>
          <w:pgSz w:w="11900" w:h="16838" w:orient="portrait"/>
          <w:cols w:equalWidth="0" w:num="1">
            <w:col w:w="11220"/>
          </w:cols>
          <w:pgMar w:left="320" w:top="1251" w:right="359" w:bottom="1440" w:gutter="0" w:footer="0" w:header="0"/>
        </w:sectPr>
      </w:pP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4.1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4.2</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4.3</w:t>
        </w:r>
      </w:hyperlink>
    </w:p>
    <w:p>
      <w:pPr>
        <w:spacing w:after="0" w:line="5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4.5</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10.1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10.2</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10.3</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10.4</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10.5</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10.6#</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10.7#</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10.7(a)(#)</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10.7(b)#</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10.8#</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10.9</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10.10</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10.11</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10.12</w:t>
        </w:r>
      </w:hyperlink>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15">
        <w:r>
          <w:rPr>
            <w:rFonts w:ascii="Times New Roman" w:cs="Times New Roman" w:eastAsia="Times New Roman" w:hAnsi="Times New Roman"/>
            <w:sz w:val="18"/>
            <w:szCs w:val="18"/>
            <w:u w:val="single" w:color="auto"/>
            <w:color w:val="0000FF"/>
          </w:rPr>
          <w:t>Form 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Form of Common Stock Certificate of the Company (incorporated by reference to Exhibit 4.1 to the Current Report on Form 8-K filed on</w:t>
        </w:r>
      </w:hyperlink>
      <w:r>
        <w:rPr>
          <w:rFonts w:ascii="Times New Roman" w:cs="Times New Roman" w:eastAsia="Times New Roman" w:hAnsi="Times New Roman"/>
          <w:sz w:val="18"/>
          <w:szCs w:val="18"/>
          <w:u w:val="single" w:color="auto"/>
          <w:color w:val="0000FF"/>
        </w:rPr>
        <w:t xml:space="preserve"> </w:t>
      </w:r>
      <w:hyperlink r:id="rId16">
        <w:r>
          <w:rPr>
            <w:rFonts w:ascii="Times New Roman" w:cs="Times New Roman" w:eastAsia="Times New Roman" w:hAnsi="Times New Roman"/>
            <w:sz w:val="18"/>
            <w:szCs w:val="18"/>
            <w:u w:val="single" w:color="auto"/>
            <w:color w:val="0000FF"/>
          </w:rPr>
          <w:t>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Form of Warrant Certificate of the Company (incorporated by reference to Exhibit 4.2 to the Current Report on Form 8-K filed on June 21,</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2021).</w:t>
        </w:r>
      </w:hyperlink>
    </w:p>
    <w:p>
      <w:pPr>
        <w:ind w:right="20"/>
        <w:spacing w:after="0" w:line="266" w:lineRule="auto"/>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Warrant Agreement, dated August 7, 2019, between the Company and Continental Stock Transfer &amp; Trust Company, as warrant agent</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(incorporated by reference to Exhibit 4.1 filed on Silver Spike’s Current Report on Form 8-K, filed by the Company on August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Description of Securities (incorporated by reference to Exhibit 4.5 to the Annual Report on Form 10-K filed on May 24, 2024).</w:t>
        </w:r>
      </w:hyperlink>
    </w:p>
    <w:p>
      <w:pPr>
        <w:spacing w:after="0" w:line="5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Exchange Agreement, dated as of June 16, 2021, by and among the Company, Silver Spike Sponsor and the other parties thereto</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(incorporated by reference to Exhibit 10.1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Tax Receivable Agreement, dated as of June 16, 2021, by and among the Company and the other parties thereto (incorporated by reference</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to Exhibit 10.2 to the Current Report on Form 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Fourth Amended and Restated Operating Agreement of WMH LLC (incorporated by reference to Exhibit 10.3 to the Current Report on</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Form of Subscription Agreement (incorporated by reference to Exhibit 10.1 to the Current Report on Form 8-K filed on December 10,</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2020).</w:t>
        </w:r>
      </w:hyperlink>
    </w:p>
    <w:p>
      <w:pPr>
        <w:spacing w:after="0" w:line="266" w:lineRule="auto"/>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Amended and Restated Registration Rights Agreement, dated as of June 16, 2021, by and among the Company, Silver Spike Sponsor and</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the other parties thereto (incorporated by reference to Exhibit 10.5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Form of Indemnification Agreement by and between the Company and its directors and officers (incorporated by reference to Exhibit 10.6</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to the Current Report on Form 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WM Technology, Inc. 2021 Equity Incentive Plan (incorporated by reference to Exhibit 10.7 to the Current Report on Form 8-K filed on</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Form of Stock Option Grant Notice (incorporated by reference to Exhibit 10.7(a) to the Current Report on Form 8-K filed on June 21,</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2021).</w:t>
        </w:r>
      </w:hyperlink>
    </w:p>
    <w:p>
      <w:pPr>
        <w:spacing w:after="0" w:line="266" w:lineRule="auto"/>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Form of RSU Award Grant Notice (incorporated by reference to Exhibit 10.7(b) to the Current Report on Form 8-K filed on June 21,</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WM Technology, Inc. 2021 Employee Stock Purchase Plan (incorporated by reference to Exhibit 10.8 to the Current Report on Form 8-K</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filed on June 21, 2021).</w:t>
        </w:r>
      </w:hyperlink>
    </w:p>
    <w:p>
      <w:pPr>
        <w:ind w:right="200"/>
        <w:spacing w:after="0" w:line="237" w:lineRule="auto"/>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Lease by and between the Irvine Company LLC and Ghost Media Group, LLC, dated November 11, 2013, as amended (incorporated by</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reference to Exhibit 10.12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80"/>
        <w:spacing w:after="0" w:line="236" w:lineRule="auto"/>
        <w:rPr>
          <w:rFonts w:ascii="Times New Roman" w:cs="Times New Roman" w:eastAsia="Times New Roman" w:hAnsi="Times New Roman"/>
          <w:sz w:val="17"/>
          <w:szCs w:val="17"/>
          <w:u w:val="single" w:color="auto"/>
          <w:color w:val="0000FF"/>
        </w:rPr>
      </w:pPr>
      <w:hyperlink r:id="rId31">
        <w:r>
          <w:rPr>
            <w:rFonts w:ascii="Times New Roman" w:cs="Times New Roman" w:eastAsia="Times New Roman" w:hAnsi="Times New Roman"/>
            <w:sz w:val="17"/>
            <w:szCs w:val="17"/>
            <w:u w:val="single" w:color="auto"/>
            <w:color w:val="0000FF"/>
          </w:rPr>
          <w:t>First Amendment to Lease and Consent to Assignment by and between Discovery Business Center LLC, as successor-in-interest to the</w:t>
        </w:r>
      </w:hyperlink>
      <w:r>
        <w:rPr>
          <w:rFonts w:ascii="Times New Roman" w:cs="Times New Roman" w:eastAsia="Times New Roman" w:hAnsi="Times New Roman"/>
          <w:sz w:val="17"/>
          <w:szCs w:val="17"/>
          <w:u w:val="single" w:color="auto"/>
          <w:color w:val="0000FF"/>
        </w:rPr>
        <w:t xml:space="preserve"> </w:t>
      </w:r>
      <w:hyperlink r:id="rId31">
        <w:r>
          <w:rPr>
            <w:rFonts w:ascii="Times New Roman" w:cs="Times New Roman" w:eastAsia="Times New Roman" w:hAnsi="Times New Roman"/>
            <w:sz w:val="17"/>
            <w:szCs w:val="17"/>
            <w:u w:val="single" w:color="auto"/>
            <w:color w:val="0000FF"/>
          </w:rPr>
          <w:t>Irvine Company LLC, and Ghost Management Group, LLC, as successor-in-interest to Ghost Media Group, LLC, dated January 27, 2016</w:t>
        </w:r>
      </w:hyperlink>
    </w:p>
    <w:p>
      <w:pPr>
        <w:spacing w:after="0"/>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(incorporated by reference to Exhibit 10.13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4445</wp:posOffset>
            </wp:positionV>
            <wp:extent cx="713232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00"/>
        <w:spacing w:after="0" w:line="234" w:lineRule="auto"/>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Second Amendment to Lease, by and between Discovery Business Center LLC and Ghost Management Group, LLC, dated April 7, 2017</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(incorporated by reference to Exhibit 10.14 to the Current Report on Form 8-K filed on June 21, 2021).</w:t>
        </w:r>
      </w:hyperlink>
    </w:p>
    <w:p>
      <w:pPr>
        <w:spacing w:after="0" w:line="10"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Third Amendment to Lease, by and between Discovery Business Center LLC and Ghost Management Group, LLC, dated December 29,</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2017 (incorporated by reference to Exhibit 10.15 to the Current Report on Form 8-K filed on June 21, 2021).</w:t>
        </w:r>
      </w:hyperlink>
    </w:p>
    <w:p>
      <w:pPr>
        <w:spacing w:after="0" w:line="200" w:lineRule="exact"/>
        <w:rPr>
          <w:sz w:val="20"/>
          <w:szCs w:val="20"/>
          <w:color w:val="auto"/>
        </w:rPr>
      </w:pPr>
    </w:p>
    <w:p>
      <w:pPr>
        <w:sectPr>
          <w:pgSz w:w="11900" w:h="16838" w:orient="portrait"/>
          <w:cols w:equalWidth="0" w:num="2">
            <w:col w:w="900" w:space="320"/>
            <w:col w:w="10000"/>
          </w:cols>
          <w:pgMar w:left="320" w:top="1251" w:right="3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20" w:type="dxa"/>
            <w:vAlign w:val="bottom"/>
            <w:gridSpan w:val="3"/>
            <w:vMerge w:val="restart"/>
            <w:shd w:val="clear" w:color="auto" w:fill="CCEEFF"/>
          </w:tcPr>
          <w:p>
            <w:pPr>
              <w:jc w:val="right"/>
              <w:ind w:right="7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13</w:t>
            </w:r>
          </w:p>
        </w:tc>
        <w:tc>
          <w:tcPr>
            <w:tcW w:w="10020" w:type="dxa"/>
            <w:vAlign w:val="bottom"/>
            <w:gridSpan w:val="3"/>
            <w:shd w:val="clear" w:color="auto" w:fill="CCEEFF"/>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Fourth Amendment to Lease, by and between Discovery Business Center LLC and Ghost Management Group, LLC, dated May 3, 2018</w:t>
              </w:r>
            </w:hyperlink>
          </w:p>
        </w:tc>
        <w:tc>
          <w:tcPr>
            <w:tcW w:w="0" w:type="dxa"/>
            <w:vAlign w:val="bottom"/>
          </w:tcPr>
          <w:p>
            <w:pPr>
              <w:spacing w:after="0"/>
              <w:rPr>
                <w:sz w:val="1"/>
                <w:szCs w:val="1"/>
                <w:color w:val="auto"/>
              </w:rPr>
            </w:pPr>
          </w:p>
        </w:tc>
      </w:tr>
      <w:tr>
        <w:trPr>
          <w:trHeight w:val="175"/>
        </w:trPr>
        <w:tc>
          <w:tcPr>
            <w:tcW w:w="1220" w:type="dxa"/>
            <w:vAlign w:val="bottom"/>
            <w:tcBorders>
              <w:top w:val="single" w:sz="8" w:color="CCEEFF"/>
            </w:tcBorders>
            <w:gridSpan w:val="3"/>
            <w:vMerge w:val="continue"/>
            <w:shd w:val="clear" w:color="auto" w:fill="CCEEFF"/>
          </w:tcPr>
          <w:p>
            <w:pPr>
              <w:spacing w:after="0"/>
              <w:rPr>
                <w:sz w:val="15"/>
                <w:szCs w:val="15"/>
                <w:color w:val="auto"/>
              </w:rPr>
            </w:pPr>
          </w:p>
        </w:tc>
        <w:tc>
          <w:tcPr>
            <w:tcW w:w="98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(incorporated by reference to Exhibit 10.16 to the Current Report on Form 8-K filed on June 21, 2021).</w:t>
              </w:r>
            </w:hyperlink>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5" w:right="339" w:bottom="1440" w:gutter="0" w:footer="0" w:header="0"/>
        </w:sectPr>
      </w:pPr>
    </w:p>
    <w:p>
      <w:pPr>
        <w:spacing w:after="0" w:line="18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10.15#</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10.16#</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10.17#</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10.18#</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10.19#</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10.20#</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10.21#</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10.22#</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10.23#</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21.1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23.1</w:t>
        </w:r>
      </w:hyperlink>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23.2</w:t>
        </w:r>
      </w:hyperlink>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br w:type="column"/>
      </w:r>
    </w:p>
    <w:p>
      <w:pPr>
        <w:ind w:right="60"/>
        <w:spacing w:after="0" w:line="234"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WM Technology, Inc. Non-Employee Director Compensation Policy (incorporated by reference to Exhibit 10.1 to the Quarterly Report on</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Form 10-Q filed on November 12, 2021).</w:t>
        </w:r>
      </w:hyperlink>
    </w:p>
    <w:p>
      <w:pPr>
        <w:spacing w:after="0" w:line="10"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Amended and Restated WM Technology, Inc. Non-Employee Director Compensation Policy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the Current Report on Form 8-K filed on October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20"/>
        <w:spacing w:after="0" w:line="237"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Offer letter by and between Ghost Management Group, LLC and Duncan Grazier, dated August 23, 2019 (incorporated by reference to</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Exhibit 10.17 to the Annual Report on Form 10-K filed on May 24, 2024)</w:t>
        </w:r>
      </w:hyperlink>
    </w:p>
    <w:p>
      <w:pPr>
        <w:spacing w:after="0" w:line="10"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Retention Agreement, effective October 2, 2023, by and between the Company and Duncan Grazier (incorporated by reference to Exhibit</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10.1 to the Current Report on Form 8-K filed on October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60"/>
        <w:spacing w:after="0" w:line="237"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Employment Agreement, dated August 15, 2023, by and between the Company and Douglas Francis (incorporated by reference to Exhibit</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10.1 to the Current Report on Form 8-K filed on October 6, 2023).</w:t>
        </w:r>
      </w:hyperlink>
    </w:p>
    <w:p>
      <w:pPr>
        <w:spacing w:after="0" w:line="10"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Employment Agreement, dated April 4, 2019, by and between the Company and Brian Camire (incorporated by reference to Exhibit 10.20</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to the Annual Report on Form 10-K filed on May 24,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420"/>
        <w:spacing w:after="0" w:line="256" w:lineRule="auto"/>
        <w:rPr>
          <w:rFonts w:ascii="Times New Roman" w:cs="Times New Roman" w:eastAsia="Times New Roman" w:hAnsi="Times New Roman"/>
          <w:sz w:val="17"/>
          <w:szCs w:val="17"/>
          <w:u w:val="single" w:color="auto"/>
          <w:color w:val="0000FF"/>
        </w:rPr>
      </w:pPr>
      <w:hyperlink r:id="rId52">
        <w:r>
          <w:rPr>
            <w:rFonts w:ascii="Times New Roman" w:cs="Times New Roman" w:eastAsia="Times New Roman" w:hAnsi="Times New Roman"/>
            <w:sz w:val="17"/>
            <w:szCs w:val="17"/>
            <w:u w:val="single" w:color="auto"/>
            <w:color w:val="0000FF"/>
          </w:rPr>
          <w:t>Executive Services Agreement, dated July 16, 2023, by and between SeatonHillPartners, L.P. and WM Technology Inc. (incorporated</w:t>
        </w:r>
      </w:hyperlink>
      <w:r>
        <w:rPr>
          <w:rFonts w:ascii="Times New Roman" w:cs="Times New Roman" w:eastAsia="Times New Roman" w:hAnsi="Times New Roman"/>
          <w:sz w:val="17"/>
          <w:szCs w:val="17"/>
          <w:u w:val="single" w:color="auto"/>
          <w:color w:val="0000FF"/>
        </w:rPr>
        <w:t xml:space="preserve"> </w:t>
      </w:r>
      <w:hyperlink r:id="rId52">
        <w:r>
          <w:rPr>
            <w:rFonts w:ascii="Times New Roman" w:cs="Times New Roman" w:eastAsia="Times New Roman" w:hAnsi="Times New Roman"/>
            <w:sz w:val="17"/>
            <w:szCs w:val="17"/>
            <w:u w:val="single" w:color="auto"/>
            <w:color w:val="0000FF"/>
          </w:rPr>
          <w:t>herein by reference to Exhibit 10.1 to the Current Report on Form 8-K filed by WM Technology, Inc. on July 20, 2023).</w:t>
        </w:r>
      </w:hyperlink>
    </w:p>
    <w:p>
      <w:pPr>
        <w:spacing w:after="0" w:line="1"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Separation and Release Agreement, by and between Randa McMinn and WM Technology, Inc, dated October 18, 2023 (incorporated</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herein by reference to Exhibit 10.5# to the Quarterly Report on Form 10-Q filed on November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60"/>
        <w:spacing w:after="0" w:line="237" w:lineRule="auto"/>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Amendment to Executive Services Agreement, by and between SeatonHillPartners, L.P. and WM Technology Inc., dated February 26,</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List of Subsidiaries of the Registrant (incorporated by reference to Exhibit 21.1 to the Annual Report on Form 10-K filed on May 24,</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Consent of Baker Tilly US, LLP (incorporated by reference to Exhibit 23.1 to the Annual Report on Form 10-K filed on May 24,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Consent of Moss Adams, LLP (incorporated by reference to Exhibit 23.2 to the Annual Report on Form 10-K filed on May 24, 2024)</w:t>
        </w:r>
      </w:hyperlink>
    </w:p>
    <w:p>
      <w:pPr>
        <w:spacing w:after="0" w:line="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under the Securities Exchange Act of 1934, as adopted pursuant to Section 302 of the Sarbanes-Oxley Act of 2002</w:t>
      </w:r>
    </w:p>
    <w:p>
      <w:pPr>
        <w:spacing w:after="0" w:line="231" w:lineRule="auto"/>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-119380</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0" w:space="700"/>
            <w:col w:w="10020"/>
          </w:cols>
          <w:pgMar w:left="320" w:top="1175"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44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40" w:type="dxa"/>
            <w:vAlign w:val="bottom"/>
            <w:tcBorders>
              <w:top w:val="single" w:sz="8" w:color="0000FF"/>
              <w:bottom w:val="single" w:sz="8" w:color="0000FF"/>
            </w:tcBorders>
          </w:tcPr>
          <w:p>
            <w:pPr>
              <w:spacing w:after="0"/>
              <w:rPr>
                <w:sz w:val="15"/>
                <w:szCs w:val="15"/>
                <w:color w:val="auto"/>
              </w:rPr>
            </w:pPr>
          </w:p>
        </w:tc>
        <w:tc>
          <w:tcPr>
            <w:tcW w:w="36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20" w:type="dxa"/>
            <w:vAlign w:val="bottom"/>
            <w:gridSpan w:val="7"/>
            <w:vMerge w:val="restart"/>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Certifications of the Principal Executive Officer and Principal Financial Officer pursuant to 18 U.S.C. Section 1350, as adopted pursuant</w:t>
              </w:r>
            </w:hyperlink>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to Section 906 of the Sarbanes-Oxley Act of 2002 (incorporated by reference to Exhibit 32.1 to the Annual Report on Form 10-K filed 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gridSpan w:val="5"/>
          </w:tcPr>
          <w:p>
            <w:pPr>
              <w:ind w:left="20"/>
              <w:spacing w:after="0" w:line="18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0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May 24, 2024)</w:t>
              </w:r>
            </w:hyperlink>
          </w:p>
        </w:tc>
        <w:tc>
          <w:tcPr>
            <w:tcW w:w="2200" w:type="dxa"/>
            <w:vAlign w:val="bottom"/>
          </w:tcPr>
          <w:p>
            <w:pPr>
              <w:spacing w:after="0"/>
              <w:rPr>
                <w:sz w:val="15"/>
                <w:szCs w:val="15"/>
                <w:color w:val="auto"/>
              </w:rPr>
            </w:pPr>
          </w:p>
        </w:tc>
        <w:tc>
          <w:tcPr>
            <w:tcW w:w="636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spacing w:after="0"/>
              <w:rPr>
                <w:rFonts w:ascii="Times New Roman" w:cs="Times New Roman" w:eastAsia="Times New Roman" w:hAnsi="Times New Roman"/>
                <w:sz w:val="18"/>
                <w:szCs w:val="18"/>
                <w:color w:val="0000FF"/>
                <w:w w:val="88"/>
              </w:rPr>
            </w:pPr>
            <w:hyperlink r:id="rId66">
              <w:r>
                <w:rPr>
                  <w:rFonts w:ascii="Times New Roman" w:cs="Times New Roman" w:eastAsia="Times New Roman" w:hAnsi="Times New Roman"/>
                  <w:sz w:val="18"/>
                  <w:szCs w:val="18"/>
                  <w:color w:val="0000FF"/>
                  <w:w w:val="88"/>
                </w:rPr>
                <w:t>97</w:t>
              </w:r>
            </w:hyperlink>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20" w:type="dxa"/>
            <w:vAlign w:val="bottom"/>
            <w:gridSpan w:val="7"/>
            <w:shd w:val="clear" w:color="auto" w:fill="CCEEFF"/>
          </w:tcPr>
          <w:p>
            <w:pPr>
              <w:spacing w:after="0" w:line="193"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Incentive Compensation Recoupment (Clawback) Policy, dated April 20, 2023 (incorporated by reference to Exhibit 97 to the Annual</w:t>
              </w:r>
            </w:hyperlink>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180" w:type="dxa"/>
            <w:vAlign w:val="bottom"/>
            <w:tcBorders>
              <w:top w:val="single" w:sz="8" w:color="CCEEFF"/>
            </w:tcBorders>
            <w:vMerge w:val="continue"/>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9620" w:type="dxa"/>
            <w:vAlign w:val="bottom"/>
            <w:tcBorders>
              <w:top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Report on Form 10-K filed on May 24, 2024)</w:t>
              </w:r>
            </w:hyperlink>
          </w:p>
        </w:tc>
        <w:tc>
          <w:tcPr>
            <w:tcW w:w="40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20" w:type="dxa"/>
            <w:vAlign w:val="bottom"/>
            <w:gridSpan w:val="7"/>
          </w:tcPr>
          <w:p>
            <w:pPr>
              <w:spacing w:after="0" w:line="170"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agreement.</w:t>
      </w:r>
    </w:p>
    <w:p>
      <w:pPr>
        <w:spacing w:after="0" w:line="50" w:lineRule="exact"/>
        <w:rPr>
          <w:sz w:val="20"/>
          <w:szCs w:val="20"/>
          <w:color w:val="auto"/>
        </w:rPr>
      </w:pPr>
    </w:p>
    <w:p>
      <w:pPr>
        <w:jc w:val="both"/>
        <w:ind w:left="380" w:right="20" w:hanging="223"/>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Amendment are deemed furnished and not filed with the SEC and are not to be incorporated by reference into any filing of the Company under the Securities Act or the Exchange Act, whether made before or after the date of this Amendment,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6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30, 2024</w:t>
            </w:r>
          </w:p>
        </w:tc>
        <w:tc>
          <w:tcPr>
            <w:tcW w:w="73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Douglas Francis</w:t>
            </w:r>
          </w:p>
        </w:tc>
      </w:tr>
      <w:tr>
        <w:trPr>
          <w:trHeight w:val="218"/>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3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236"/>
        </w:trPr>
        <w:tc>
          <w:tcPr>
            <w:tcW w:w="3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25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WM Technology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7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78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84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128905</wp:posOffset>
            </wp:positionV>
            <wp:extent cx="2331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Douglas Francis</w:t>
      </w:r>
    </w:p>
    <w:p>
      <w:pPr>
        <w:spacing w:after="0" w:line="17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Executive Chair</w:t>
      </w:r>
    </w:p>
    <w:p>
      <w:pPr>
        <w:spacing w:after="0" w:line="18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25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WM Technology Inc.;</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7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78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128905</wp:posOffset>
            </wp:positionV>
            <wp:extent cx="2331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17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8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7" Type="http://schemas.openxmlformats.org/officeDocument/2006/relationships/image" Target="media/image25.png"/><Relationship Id="rId68" Type="http://schemas.openxmlformats.org/officeDocument/2006/relationships/image" Target="media/image26.png"/><Relationship Id="rId69" Type="http://schemas.openxmlformats.org/officeDocument/2006/relationships/image" Target="media/image27.png"/><Relationship Id="rId14" Type="http://schemas.openxmlformats.org/officeDocument/2006/relationships/hyperlink" Target="https://www.sec.gov/Archives/edgar/data/1779474/000114036121021785/brhc10025756_ex3-1.htm" TargetMode="External"/><Relationship Id="rId15" Type="http://schemas.openxmlformats.org/officeDocument/2006/relationships/hyperlink" Target="https://www.sec.gov/Archives/edgar/data/1779474/000114036121021785/brhc10025756_ex3-2.htm" TargetMode="External"/><Relationship Id="rId16" Type="http://schemas.openxmlformats.org/officeDocument/2006/relationships/hyperlink" Target="https://www.sec.gov/Archives/edgar/data/1779474/000114036121021785/brhc10025756_ex4-1.htm" TargetMode="External"/><Relationship Id="rId17" Type="http://schemas.openxmlformats.org/officeDocument/2006/relationships/hyperlink" Target="https://www.sec.gov/Archives/edgar/data/1779474/000114036121021785/brhc10025756_ex4-2.htm" TargetMode="External"/><Relationship Id="rId18" Type="http://schemas.openxmlformats.org/officeDocument/2006/relationships/hyperlink" Target="https://www.sec.gov/Archives/edgar/data/1779474/000095010319010751/dp111173_ex0401.htm" TargetMode="External"/><Relationship Id="rId19" Type="http://schemas.openxmlformats.org/officeDocument/2006/relationships/hyperlink" Target="https://www.sec.gov/Archives/edgar/data/1779474/000177947424000023/exhibit45descriptionofsecu.htm" TargetMode="External"/><Relationship Id="rId20" Type="http://schemas.openxmlformats.org/officeDocument/2006/relationships/hyperlink" Target="https://www.sec.gov/Archives/edgar/data/1779474/000114036121021785/brhc10025756_ex10-1.htm" TargetMode="External"/><Relationship Id="rId21" Type="http://schemas.openxmlformats.org/officeDocument/2006/relationships/hyperlink" Target="https://www.sec.gov/Archives/edgar/data/1779474/000114036121021785/brhc10025756_ex10-2.htm" TargetMode="External"/><Relationship Id="rId22" Type="http://schemas.openxmlformats.org/officeDocument/2006/relationships/hyperlink" Target="https://www.sec.gov/Archives/edgar/data/1779474/000114036121021785/brhc10025756_ex10-3.htm" TargetMode="External"/><Relationship Id="rId23" Type="http://schemas.openxmlformats.org/officeDocument/2006/relationships/hyperlink" Target="https://www.sec.gov/Archives/edgar/data/1779474/000095010320024045/dp142700_ex1001.htm" TargetMode="External"/><Relationship Id="rId24" Type="http://schemas.openxmlformats.org/officeDocument/2006/relationships/hyperlink" Target="https://www.sec.gov/Archives/edgar/data/1779474/000114036121021785/brhc10025756_ex10-5.htm" TargetMode="External"/><Relationship Id="rId25" Type="http://schemas.openxmlformats.org/officeDocument/2006/relationships/hyperlink" Target="https://www.sec.gov/Archives/edgar/data/1779474/000114036121021785/brhc10025756_ex10-6.htm" TargetMode="External"/><Relationship Id="rId26" Type="http://schemas.openxmlformats.org/officeDocument/2006/relationships/hyperlink" Target="https://www.sec.gov/Archives/edgar/data/1779474/000114036121021785/brhc10025756_ex10-7.htm" TargetMode="External"/><Relationship Id="rId27" Type="http://schemas.openxmlformats.org/officeDocument/2006/relationships/hyperlink" Target="https://www.sec.gov/Archives/edgar/data/1779474/000114036121021785/brhc10025756_ex10-7a.htm" TargetMode="External"/><Relationship Id="rId28" Type="http://schemas.openxmlformats.org/officeDocument/2006/relationships/hyperlink" Target="https://www.sec.gov/Archives/edgar/data/1779474/000114036121021785/brhc10025756_ex10-7b.htm" TargetMode="External"/><Relationship Id="rId29" Type="http://schemas.openxmlformats.org/officeDocument/2006/relationships/hyperlink" Target="https://www.sec.gov/Archives/edgar/data/1779474/000114036121021785/brhc10025756_ex10-8.htm" TargetMode="External"/><Relationship Id="rId30" Type="http://schemas.openxmlformats.org/officeDocument/2006/relationships/hyperlink" Target="https://www.sec.gov/Archives/edgar/data/1779474/000114036121021785/brhc10025756_ex10-12.htm" TargetMode="External"/><Relationship Id="rId31" Type="http://schemas.openxmlformats.org/officeDocument/2006/relationships/hyperlink" Target="https://www.sec.gov/Archives/edgar/data/1779474/000114036121021785/brhc10025756_ex10-13.htm" TargetMode="External"/><Relationship Id="rId32" Type="http://schemas.openxmlformats.org/officeDocument/2006/relationships/hyperlink" Target="https://www.sec.gov/Archives/edgar/data/1779474/000114036121021785/brhc10025756_ex10-14.htm" TargetMode="External"/><Relationship Id="rId33" Type="http://schemas.openxmlformats.org/officeDocument/2006/relationships/hyperlink" Target="https://www.sec.gov/Archives/edgar/data/1779474/000114036121021785/brhc10025756_ex10-15.htm" TargetMode="External"/><Relationship Id="rId45" Type="http://schemas.openxmlformats.org/officeDocument/2006/relationships/hyperlink" Target="https://www.sec.gov/Archives/edgar/data/1779474/000114036121021785/brhc10025756_ex10-16.htm" TargetMode="External"/><Relationship Id="rId46" Type="http://schemas.openxmlformats.org/officeDocument/2006/relationships/hyperlink" Target="https://www.sec.gov/Archives/edgar/data/1779474/000177947421000027/exhibit101.htm" TargetMode="External"/><Relationship Id="rId47" Type="http://schemas.openxmlformats.org/officeDocument/2006/relationships/hyperlink" Target="https://www.sec.gov/Archives/edgar/data/1779474/000177947423000072/exhibit102amendedandrestat.htm" TargetMode="External"/><Relationship Id="rId48" Type="http://schemas.openxmlformats.org/officeDocument/2006/relationships/hyperlink" Target="https://www.sec.gov/Archives/edgar/data/1779474/000177947423000023/exhibit1019dgrazier_offerl.htm" TargetMode="External"/><Relationship Id="rId49" Type="http://schemas.openxmlformats.org/officeDocument/2006/relationships/hyperlink" Target="https://www.sec.gov/Archives/edgar/data/1779474/000177947424000023/exhibit1018retentionagreem.htm" TargetMode="External"/><Relationship Id="rId50" Type="http://schemas.openxmlformats.org/officeDocument/2006/relationships/hyperlink" Target="https://www.sec.gov/Archives/edgar/data/1779474/000177947423000066/exhibit101dougsemploymenta.htm" TargetMode="External"/><Relationship Id="rId51" Type="http://schemas.openxmlformats.org/officeDocument/2006/relationships/hyperlink" Target="https://www.sec.gov/Archives/edgar/data/1779474/000177947424000023/exhibit1020briancamiresoff.htm" TargetMode="External"/><Relationship Id="rId52" Type="http://schemas.openxmlformats.org/officeDocument/2006/relationships/hyperlink" Target="https://www.sec.gov/Archives/edgar/data/1779474/000177947423000062/exhibit101q223.htm" TargetMode="External"/><Relationship Id="rId53" Type="http://schemas.openxmlformats.org/officeDocument/2006/relationships/hyperlink" Target="https://www.sec.gov/Archives/edgar/data/1779474/000177947423000076/exhibit105randasseperation.htm" TargetMode="External"/><Relationship Id="rId54" Type="http://schemas.openxmlformats.org/officeDocument/2006/relationships/hyperlink" Target="https://www.sec.gov/Archives/edgar/data/1779474/000177947424000023/exhibit1023seatonhillresou.htm" TargetMode="External"/><Relationship Id="rId55" Type="http://schemas.openxmlformats.org/officeDocument/2006/relationships/hyperlink" Target="https://www.sec.gov/Archives/edgar/data/1779474/000177947424000023/exhibit211listofsubsidiari.htm" TargetMode="External"/><Relationship Id="rId56" Type="http://schemas.openxmlformats.org/officeDocument/2006/relationships/hyperlink" Target="https://www.sec.gov/Archives/edgar/data/1779474/000177947424000023/exhibit231consentofindepen.htm" TargetMode="External"/><Relationship Id="rId57" Type="http://schemas.openxmlformats.org/officeDocument/2006/relationships/hyperlink" Target="https://www.sec.gov/Archives/edgar/data/1779474/000177947424000023/exhibit232consentofindepen.htm" TargetMode="External"/><Relationship Id="rId65" Type="http://schemas.openxmlformats.org/officeDocument/2006/relationships/hyperlink" Target="https://www.sec.gov/Archives/edgar/data/1779474/000177947424000023/exhibit321q423.htm" TargetMode="External"/><Relationship Id="rId66" Type="http://schemas.openxmlformats.org/officeDocument/2006/relationships/hyperlink" Target="https://www.sec.gov/Archives/edgar/data/1779474/000177947424000023/exhibit97incentivecompen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2024-08-30T17:20:22Z</dcterms:created>
  <dcterms:modified xsi:type="dcterms:W3CDTF">2024-08-30T17:20:22Z</dcterms:modified>
</cp:coreProperties>
</file>