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4"/>
          <w:szCs w:val="24"/>
          <w:color w:val="auto"/>
        </w:rPr>
      </w:pPr>
    </w:p>
    <w:p>
      <w:pPr>
        <w:spacing w:after="0" w:line="224" w:lineRule="exact"/>
        <w:rPr>
          <w:sz w:val="24"/>
          <w:szCs w:val="24"/>
          <w:color w:val="auto"/>
        </w:rPr>
      </w:pPr>
    </w:p>
    <w:p>
      <w:pPr>
        <w:ind w:left="2080"/>
        <w:spacing w:after="0"/>
        <w:rPr>
          <w:sz w:val="20"/>
          <w:szCs w:val="20"/>
          <w:color w:val="auto"/>
        </w:rPr>
      </w:pPr>
      <w:r>
        <w:rPr>
          <w:rFonts w:ascii="Arial" w:cs="Arial" w:eastAsia="Arial" w:hAnsi="Arial"/>
          <w:sz w:val="18"/>
          <w:szCs w:val="18"/>
          <w:b w:val="1"/>
          <w:bCs w:val="1"/>
          <w:color w:val="auto"/>
        </w:rPr>
        <w:t>As filed with the Securities and Exchange Commission on March 4, 2022</w:t>
      </w:r>
    </w:p>
    <w:p>
      <w:pPr>
        <w:spacing w:after="0" w:line="50"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61722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94615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POST-EFFECTIVE AMENDMENT NO. 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S-1</w:t>
      </w:r>
    </w:p>
    <w:p>
      <w:pPr>
        <w:jc w:val="center"/>
        <w:ind w:right="40"/>
        <w:spacing w:after="0" w:line="236" w:lineRule="auto"/>
        <w:rPr>
          <w:sz w:val="20"/>
          <w:szCs w:val="20"/>
          <w:color w:val="auto"/>
        </w:rPr>
      </w:pPr>
      <w:r>
        <w:rPr>
          <w:rFonts w:ascii="Arial" w:cs="Arial" w:eastAsia="Arial" w:hAnsi="Arial"/>
          <w:sz w:val="22"/>
          <w:szCs w:val="2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THE SECURITIES ACT OF 1933</w:t>
      </w:r>
    </w:p>
    <w:p>
      <w:pPr>
        <w:spacing w:after="0" w:line="2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WM Technology,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3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center"/>
              <w:spacing w:after="0"/>
              <w:rPr>
                <w:sz w:val="20"/>
                <w:szCs w:val="20"/>
                <w:color w:val="auto"/>
              </w:rPr>
            </w:pPr>
            <w:r>
              <w:rPr>
                <w:rFonts w:ascii="Arial" w:cs="Arial" w:eastAsia="Arial" w:hAnsi="Arial"/>
                <w:sz w:val="18"/>
                <w:szCs w:val="18"/>
                <w:b w:val="1"/>
                <w:bCs w:val="1"/>
                <w:color w:val="auto"/>
                <w:w w:val="84"/>
              </w:rPr>
              <w:t>7374</w:t>
            </w:r>
          </w:p>
        </w:tc>
        <w:tc>
          <w:tcPr>
            <w:tcW w:w="20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87"/>
              </w:rPr>
              <w:t>98-1605615</w:t>
            </w:r>
          </w:p>
        </w:tc>
      </w:tr>
      <w:tr>
        <w:trPr>
          <w:trHeight w:val="56"/>
        </w:trPr>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0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r>
      <w:tr>
        <w:trPr>
          <w:trHeight w:val="254"/>
        </w:trPr>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(State or Other Jurisdiction of</w:t>
            </w:r>
          </w:p>
        </w:tc>
        <w:tc>
          <w:tcPr>
            <w:tcW w:w="33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(Primary Standard Industrial</w:t>
            </w:r>
          </w:p>
        </w:tc>
        <w:tc>
          <w:tcPr>
            <w:tcW w:w="31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r>
      <w:tr>
        <w:trPr>
          <w:trHeight w:val="223"/>
        </w:trPr>
        <w:tc>
          <w:tcPr>
            <w:tcW w:w="33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Incorporation or Organization)</w:t>
            </w:r>
          </w:p>
        </w:tc>
        <w:tc>
          <w:tcPr>
            <w:tcW w:w="3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Classification Code No.)</w:t>
            </w:r>
          </w:p>
        </w:tc>
        <w:tc>
          <w:tcPr>
            <w:tcW w:w="3120" w:type="dxa"/>
            <w:vAlign w:val="bottom"/>
          </w:tcPr>
          <w:p>
            <w:pPr>
              <w:jc w:val="center"/>
              <w:spacing w:after="0"/>
              <w:rPr>
                <w:sz w:val="20"/>
                <w:szCs w:val="20"/>
                <w:color w:val="auto"/>
              </w:rPr>
            </w:pPr>
            <w:r>
              <w:rPr>
                <w:rFonts w:ascii="Arial" w:cs="Arial" w:eastAsia="Arial" w:hAnsi="Arial"/>
                <w:sz w:val="18"/>
                <w:szCs w:val="18"/>
                <w:color w:val="auto"/>
                <w:w w:val="94"/>
              </w:rPr>
              <w:t>Identification No.)</w:t>
            </w:r>
          </w:p>
        </w:tc>
      </w:tr>
    </w:tbl>
    <w:p>
      <w:pPr>
        <w:spacing w:after="0" w:line="108" w:lineRule="exact"/>
        <w:rPr>
          <w:sz w:val="24"/>
          <w:szCs w:val="24"/>
          <w:color w:val="auto"/>
        </w:rPr>
      </w:pPr>
    </w:p>
    <w:p>
      <w:pPr>
        <w:ind w:left="4600" w:hanging="218"/>
        <w:spacing w:after="0"/>
        <w:tabs>
          <w:tab w:leader="none" w:pos="4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22" w:lineRule="exact"/>
        <w:rPr>
          <w:rFonts w:ascii="Arial" w:cs="Arial" w:eastAsia="Arial" w:hAnsi="Arial"/>
          <w:sz w:val="18"/>
          <w:szCs w:val="18"/>
          <w:b w:val="1"/>
          <w:bCs w:val="1"/>
          <w:color w:val="auto"/>
        </w:rPr>
      </w:pPr>
    </w:p>
    <w:p>
      <w:pPr>
        <w:ind w:left="3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9"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Tel: (844) 933-3627</w:t>
      </w:r>
    </w:p>
    <w:p>
      <w:pPr>
        <w:spacing w:after="0" w:line="9" w:lineRule="exact"/>
        <w:rPr>
          <w:sz w:val="24"/>
          <w:szCs w:val="24"/>
          <w:color w:val="auto"/>
        </w:rPr>
      </w:pPr>
    </w:p>
    <w:p>
      <w:pPr>
        <w:ind w:left="480"/>
        <w:spacing w:after="0"/>
        <w:rPr>
          <w:sz w:val="20"/>
          <w:szCs w:val="20"/>
          <w:color w:val="auto"/>
        </w:rPr>
      </w:pPr>
      <w:r>
        <w:rPr>
          <w:rFonts w:ascii="Arial" w:cs="Arial" w:eastAsia="Arial" w:hAnsi="Arial"/>
          <w:sz w:val="15"/>
          <w:szCs w:val="15"/>
          <w:b w:val="1"/>
          <w:bCs w:val="1"/>
          <w:i w:val="1"/>
          <w:iCs w:val="1"/>
          <w:color w:val="auto"/>
        </w:rPr>
        <w:t>(Address, Including Zip Code, and Telephone Number, Including Area Code, of Registrant’s Principal Executive Offices)</w:t>
      </w:r>
    </w:p>
    <w:p>
      <w:pPr>
        <w:spacing w:after="0" w:line="84"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Brian Camire</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WM Technology, Inc.</w:t>
      </w:r>
    </w:p>
    <w:p>
      <w:pPr>
        <w:spacing w:after="0" w:line="9" w:lineRule="exact"/>
        <w:rPr>
          <w:sz w:val="24"/>
          <w:szCs w:val="24"/>
          <w:color w:val="auto"/>
        </w:rPr>
      </w:pPr>
    </w:p>
    <w:p>
      <w:pPr>
        <w:ind w:left="4600" w:hanging="218"/>
        <w:spacing w:after="0"/>
        <w:tabs>
          <w:tab w:leader="none" w:pos="4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Discovery</w:t>
      </w:r>
    </w:p>
    <w:p>
      <w:pPr>
        <w:spacing w:after="0" w:line="9" w:lineRule="exact"/>
        <w:rPr>
          <w:rFonts w:ascii="Arial" w:cs="Arial" w:eastAsia="Arial" w:hAnsi="Arial"/>
          <w:sz w:val="18"/>
          <w:szCs w:val="18"/>
          <w:b w:val="1"/>
          <w:bCs w:val="1"/>
          <w:color w:val="auto"/>
        </w:rPr>
      </w:pPr>
    </w:p>
    <w:p>
      <w:pPr>
        <w:ind w:left="39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Irvine, California 92618</w:t>
      </w:r>
    </w:p>
    <w:p>
      <w:pPr>
        <w:spacing w:after="0" w:line="9" w:lineRule="exact"/>
        <w:rPr>
          <w:rFonts w:ascii="Arial" w:cs="Arial" w:eastAsia="Arial" w:hAnsi="Arial"/>
          <w:sz w:val="18"/>
          <w:szCs w:val="18"/>
          <w:b w:val="1"/>
          <w:bCs w:val="1"/>
          <w:color w:val="auto"/>
        </w:rPr>
      </w:pPr>
    </w:p>
    <w:p>
      <w:pPr>
        <w:ind w:left="41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Tel: (844) 933-3627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(Name, Address, Including Zip Code, and Telephone Number, Including Area Code, of Agent for Service)</w:t>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Dave Peinsipp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Garth Osterman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Kristin VanderPas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Peter Byrne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Cooley LLP</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101 California Street, 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San Francisco, California 94111</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(415) 693-2177</w:t>
      </w:r>
    </w:p>
    <w:p>
      <w:pPr>
        <w:spacing w:after="0" w:line="50" w:lineRule="exact"/>
        <w:rPr>
          <w:sz w:val="24"/>
          <w:szCs w:val="24"/>
          <w:color w:val="auto"/>
        </w:rPr>
      </w:pPr>
    </w:p>
    <w:p>
      <w:pPr>
        <w:jc w:val="both"/>
        <w:ind w:firstLine="360"/>
        <w:spacing w:after="0" w:line="276" w:lineRule="auto"/>
        <w:rPr>
          <w:sz w:val="20"/>
          <w:szCs w:val="20"/>
          <w:color w:val="auto"/>
        </w:rPr>
      </w:pPr>
      <w:r>
        <w:rPr>
          <w:rFonts w:ascii="Arial" w:cs="Arial" w:eastAsia="Arial" w:hAnsi="Arial"/>
          <w:sz w:val="18"/>
          <w:szCs w:val="18"/>
          <w:b w:val="1"/>
          <w:bCs w:val="1"/>
          <w:color w:val="auto"/>
        </w:rPr>
        <w:t>Approximate date of commencement of proposed sale to the public: From time to time after the effective date of this registration statement.</w:t>
      </w:r>
    </w:p>
    <w:p>
      <w:pPr>
        <w:spacing w:after="0" w:line="16" w:lineRule="exact"/>
        <w:rPr>
          <w:sz w:val="24"/>
          <w:szCs w:val="24"/>
          <w:color w:val="auto"/>
        </w:rPr>
      </w:pPr>
    </w:p>
    <w:p>
      <w:pPr>
        <w:jc w:val="both"/>
        <w:ind w:firstLine="360"/>
        <w:spacing w:after="0" w:line="230"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please check the following box. </w:t>
      </w:r>
      <w:r>
        <w:rPr>
          <w:rFonts w:ascii="MS PGothic" w:cs="MS PGothic" w:eastAsia="MS PGothic" w:hAnsi="MS PGothic"/>
          <w:sz w:val="18"/>
          <w:szCs w:val="18"/>
          <w:color w:val="auto"/>
        </w:rPr>
        <w:t>☒</w:t>
      </w:r>
    </w:p>
    <w:p>
      <w:pPr>
        <w:spacing w:after="0" w:line="27" w:lineRule="exact"/>
        <w:rPr>
          <w:sz w:val="24"/>
          <w:szCs w:val="24"/>
          <w:color w:val="auto"/>
        </w:rPr>
      </w:pPr>
    </w:p>
    <w:p>
      <w:pPr>
        <w:jc w:val="both"/>
        <w:ind w:firstLine="360"/>
        <w:spacing w:after="0" w:line="225"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9" w:lineRule="exact"/>
        <w:rPr>
          <w:sz w:val="24"/>
          <w:szCs w:val="24"/>
          <w:color w:val="auto"/>
        </w:rPr>
      </w:pPr>
    </w:p>
    <w:p>
      <w:pPr>
        <w:jc w:val="both"/>
        <w:ind w:firstLine="360"/>
        <w:spacing w:after="0" w:line="229"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29" w:lineRule="exact"/>
        <w:rPr>
          <w:sz w:val="20"/>
          <w:szCs w:val="20"/>
          <w:color w:val="auto"/>
        </w:rPr>
      </w:pPr>
      <w:r>
        <w:rPr>
          <w:rFonts w:ascii="Arial" w:cs="Arial" w:eastAsia="Arial" w:hAnsi="Arial"/>
          <w:sz w:val="17"/>
          <w:szCs w:val="17"/>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8" w:lineRule="exact"/>
        <w:rPr>
          <w:sz w:val="24"/>
          <w:szCs w:val="24"/>
          <w:color w:val="auto"/>
        </w:rPr>
      </w:pPr>
    </w:p>
    <w:p>
      <w:pPr>
        <w:jc w:val="both"/>
        <w:ind w:firstLine="360"/>
        <w:spacing w:after="0" w:line="28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178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334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8"/>
        </w:trPr>
        <w:tc>
          <w:tcPr>
            <w:tcW w:w="2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34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1" w:lineRule="exact"/>
        <w:rPr>
          <w:sz w:val="24"/>
          <w:szCs w:val="24"/>
          <w:color w:val="auto"/>
        </w:rPr>
      </w:pPr>
    </w:p>
    <w:p>
      <w:pPr>
        <w:jc w:val="both"/>
        <w:ind w:firstLine="360"/>
        <w:spacing w:after="0" w:line="230"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5"/>
          <w:szCs w:val="15"/>
          <w:color w:val="auto"/>
        </w:rPr>
        <w:t>☐</w:t>
      </w:r>
    </w:p>
    <w:p>
      <w:pPr>
        <w:spacing w:after="0" w:line="27" w:lineRule="exact"/>
        <w:rPr>
          <w:sz w:val="24"/>
          <w:szCs w:val="24"/>
          <w:color w:val="auto"/>
        </w:rPr>
      </w:pPr>
    </w:p>
    <w:p>
      <w:pPr>
        <w:jc w:val="both"/>
        <w:ind w:firstLine="360"/>
        <w:spacing w:after="0" w:line="276" w:lineRule="auto"/>
        <w:rPr>
          <w:sz w:val="20"/>
          <w:szCs w:val="20"/>
          <w:color w:val="auto"/>
        </w:rPr>
      </w:pPr>
      <w:r>
        <w:rPr>
          <w:rFonts w:ascii="Arial" w:cs="Arial" w:eastAsia="Arial" w:hAnsi="Arial"/>
          <w:sz w:val="17"/>
          <w:szCs w:val="17"/>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317500</wp:posOffset>
            </wp:positionV>
            <wp:extent cx="6995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120650</wp:posOffset>
            </wp:positionV>
            <wp:extent cx="61722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180340</wp:posOffset>
            </wp:positionV>
            <wp:extent cx="617220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5" w:right="1099" w:bottom="178" w:gutter="0" w:footer="0" w:header="0"/>
        </w:sectPr>
      </w:pPr>
    </w:p>
    <w:bookmarkStart w:id="1" w:name="page2"/>
    <w:bookmarkEnd w:id="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WM Technology, Inc., a Delaware corporation, filed a Registration Statement on Form S-1 on July 8, 2021, which was declared effective on July 20, 2021 (as amended and supplemented, the “registration statement”). This Post-Effective Amendment No. 1 to Form S-1 (the “Post-Effective Amendment”) is being filed in order to update certain disclosures in the registration statement.</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On February 25, 2022, WM Technology, Inc. filed its Annual Report on Form 10-K for fiscal year ended December 31, 2021 (the “Annual Report on Form 10-K”). Interested parties should refer to such Annual Report on Form 10-K for more information.</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form of prospectus included in this Post-Effective Amendment may be used in one or more offerings by one or more selling stockholders identified in the prospectus contained herein with one or more of the underwriters named therein and with different types and amounts of securities offered.</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No additional securities are being registered under this Post-Effective Amendment.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100330</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 w:name="page3"/>
    <w:bookmarkEnd w:id="2"/>
    <w:p>
      <w:pPr>
        <w:ind w:left="14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p>
      <w:pPr>
        <w:ind w:left="1400" w:right="1440"/>
        <w:spacing w:after="0" w:line="244"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93" w:lineRule="exact"/>
        <w:rPr>
          <w:sz w:val="20"/>
          <w:szCs w:val="20"/>
          <w:color w:val="auto"/>
        </w:rPr>
      </w:pPr>
    </w:p>
    <w:p>
      <w:pPr>
        <w:ind w:left="1400"/>
        <w:spacing w:after="0"/>
        <w:tabs>
          <w:tab w:leader="none" w:pos="4840" w:val="left"/>
        </w:tabs>
        <w:rPr>
          <w:sz w:val="20"/>
          <w:szCs w:val="20"/>
          <w:color w:val="auto"/>
        </w:rPr>
      </w:pPr>
      <w:r>
        <w:rPr>
          <w:rFonts w:ascii="Arial" w:cs="Arial" w:eastAsia="Arial" w:hAnsi="Arial"/>
          <w:sz w:val="18"/>
          <w:szCs w:val="18"/>
          <w:color w:val="FC0014"/>
        </w:rPr>
        <w:t>PRELIMINARY PROSPECTUS</w:t>
      </w:r>
      <w:r>
        <w:rPr>
          <w:sz w:val="20"/>
          <w:szCs w:val="20"/>
          <w:color w:val="auto"/>
        </w:rPr>
        <w:tab/>
      </w:r>
      <w:r>
        <w:rPr>
          <w:rFonts w:ascii="Arial" w:cs="Arial" w:eastAsia="Arial" w:hAnsi="Arial"/>
          <w:sz w:val="17"/>
          <w:szCs w:val="17"/>
          <w:color w:val="FC0014"/>
        </w:rPr>
        <w:t>SUBJECT TO COMPLETION—DATED 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1780540</wp:posOffset>
            </wp:positionH>
            <wp:positionV relativeFrom="paragraph">
              <wp:posOffset>237490</wp:posOffset>
            </wp:positionV>
            <wp:extent cx="3429000" cy="1020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0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110,898,382 Shares of Class A Common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105,014,011 Shares of Class A Common Stock</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Up to 7,000,000 Warrants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Offered by the Selling Securityholders</w:t>
      </w:r>
    </w:p>
    <w:p>
      <w:pPr>
        <w:spacing w:after="0" w:line="103" w:lineRule="exact"/>
        <w:rPr>
          <w:sz w:val="20"/>
          <w:szCs w:val="20"/>
          <w:color w:val="auto"/>
        </w:rPr>
      </w:pPr>
    </w:p>
    <w:p>
      <w:pPr>
        <w:jc w:val="both"/>
        <w:ind w:left="1400" w:right="1420" w:firstLine="360"/>
        <w:spacing w:after="0" w:line="268" w:lineRule="auto"/>
        <w:rPr>
          <w:sz w:val="20"/>
          <w:szCs w:val="20"/>
          <w:color w:val="auto"/>
        </w:rPr>
      </w:pPr>
      <w:r>
        <w:rPr>
          <w:rFonts w:ascii="Arial" w:cs="Arial" w:eastAsia="Arial" w:hAnsi="Arial"/>
          <w:sz w:val="17"/>
          <w:szCs w:val="17"/>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8" w:lineRule="exact"/>
        <w:rPr>
          <w:sz w:val="20"/>
          <w:szCs w:val="20"/>
          <w:color w:val="auto"/>
        </w:rPr>
      </w:pPr>
    </w:p>
    <w:p>
      <w:pPr>
        <w:jc w:val="both"/>
        <w:ind w:left="1400" w:right="1420" w:firstLine="360"/>
        <w:spacing w:after="0" w:line="288" w:lineRule="auto"/>
        <w:rPr>
          <w:sz w:val="20"/>
          <w:szCs w:val="20"/>
          <w:color w:val="auto"/>
        </w:rPr>
      </w:pPr>
      <w:r>
        <w:rPr>
          <w:rFonts w:ascii="Arial" w:cs="Arial" w:eastAsia="Arial" w:hAnsi="Arial"/>
          <w:sz w:val="16"/>
          <w:szCs w:val="16"/>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0" w:lineRule="exact"/>
        <w:rPr>
          <w:sz w:val="20"/>
          <w:szCs w:val="20"/>
          <w:color w:val="auto"/>
        </w:rPr>
      </w:pPr>
    </w:p>
    <w:p>
      <w:pPr>
        <w:jc w:val="both"/>
        <w:ind w:left="1400" w:right="1420" w:firstLine="360"/>
        <w:spacing w:after="0" w:line="254" w:lineRule="auto"/>
        <w:rPr>
          <w:sz w:val="20"/>
          <w:szCs w:val="20"/>
          <w:color w:val="auto"/>
        </w:rPr>
      </w:pPr>
      <w:r>
        <w:rPr>
          <w:rFonts w:ascii="Arial" w:cs="Arial" w:eastAsia="Arial" w:hAnsi="Arial"/>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7" w:lineRule="exact"/>
        <w:rPr>
          <w:sz w:val="20"/>
          <w:szCs w:val="20"/>
          <w:color w:val="auto"/>
        </w:rPr>
      </w:pPr>
    </w:p>
    <w:p>
      <w:pPr>
        <w:jc w:val="both"/>
        <w:ind w:left="1400" w:right="1420" w:firstLine="360"/>
        <w:spacing w:after="0" w:line="286" w:lineRule="auto"/>
        <w:rPr>
          <w:sz w:val="20"/>
          <w:szCs w:val="20"/>
          <w:color w:val="auto"/>
        </w:rPr>
      </w:pPr>
      <w:r>
        <w:rPr>
          <w:rFonts w:ascii="Arial" w:cs="Arial" w:eastAsia="Arial" w:hAnsi="Arial"/>
          <w:sz w:val="17"/>
          <w:szCs w:val="17"/>
          <w:color w:val="auto"/>
        </w:rPr>
        <w:t>Our Class A Common Stock and Public Warrants are listed on The Nasdaq Global Select Market (“Nasdaq”) under the symbols “MAPS” and “MAPSW,” respectively. On March 3, 2022, the closing price of our Class A Common Stock was $$5.51 and the closing price for our Public Warrants was $1.16.</w:t>
      </w:r>
    </w:p>
    <w:p>
      <w:pPr>
        <w:spacing w:after="0" w:line="57" w:lineRule="exact"/>
        <w:rPr>
          <w:sz w:val="20"/>
          <w:szCs w:val="20"/>
          <w:color w:val="auto"/>
        </w:rPr>
      </w:pPr>
    </w:p>
    <w:p>
      <w:pPr>
        <w:jc w:val="both"/>
        <w:ind w:left="1400" w:right="1420" w:firstLine="3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the section entitled “Risk Factors” beginning on page </w:t>
      </w:r>
      <w:hyperlink w:anchor="page13">
        <w:r>
          <w:rPr>
            <w:rFonts w:ascii="Arial" w:cs="Arial" w:eastAsia="Arial" w:hAnsi="Arial"/>
            <w:sz w:val="18"/>
            <w:szCs w:val="18"/>
            <w:u w:val="single" w:color="auto"/>
            <w:color w:val="0000EE"/>
          </w:rPr>
          <w:t>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prospectus to read about factors you should consider before buying our securities.</w:t>
      </w:r>
    </w:p>
    <w:p>
      <w:pPr>
        <w:spacing w:after="0" w:line="62" w:lineRule="exact"/>
        <w:rPr>
          <w:sz w:val="20"/>
          <w:szCs w:val="20"/>
          <w:color w:val="auto"/>
        </w:rPr>
      </w:pPr>
    </w:p>
    <w:p>
      <w:pPr>
        <w:jc w:val="both"/>
        <w:ind w:left="1400" w:right="1420" w:firstLine="360"/>
        <w:spacing w:after="0" w:line="263"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80" w:type="dxa"/>
            <w:vAlign w:val="bottom"/>
          </w:tcPr>
          <w:p>
            <w:pPr>
              <w:ind w:left="3840"/>
              <w:spacing w:after="0"/>
              <w:rPr>
                <w:sz w:val="20"/>
                <w:szCs w:val="20"/>
                <w:color w:val="auto"/>
              </w:rPr>
            </w:pPr>
            <w:r>
              <w:rPr>
                <w:rFonts w:ascii="Arial" w:cs="Arial" w:eastAsia="Arial" w:hAnsi="Arial"/>
                <w:sz w:val="18"/>
                <w:szCs w:val="18"/>
                <w:b w:val="1"/>
                <w:bCs w:val="1"/>
                <w:color w:val="auto"/>
                <w:w w:val="98"/>
              </w:rPr>
              <w:t>The date of this prospectus is</w:t>
            </w:r>
          </w:p>
        </w:tc>
        <w:tc>
          <w:tcPr>
            <w:tcW w:w="4640" w:type="dxa"/>
            <w:vAlign w:val="bottom"/>
          </w:tcPr>
          <w:p>
            <w:pPr>
              <w:jc w:val="right"/>
              <w:ind w:right="3770"/>
              <w:spacing w:after="0"/>
              <w:rPr>
                <w:sz w:val="20"/>
                <w:szCs w:val="20"/>
                <w:color w:val="auto"/>
              </w:rPr>
            </w:pPr>
            <w:r>
              <w:rPr>
                <w:rFonts w:ascii="Arial" w:cs="Arial" w:eastAsia="Arial" w:hAnsi="Arial"/>
                <w:sz w:val="18"/>
                <w:szCs w:val="18"/>
                <w:b w:val="1"/>
                <w:bCs w:val="1"/>
                <w:color w:val="auto"/>
              </w:rPr>
              <w:t>, 2022.</w:t>
            </w:r>
          </w:p>
        </w:tc>
      </w:tr>
      <w:tr>
        <w:trPr>
          <w:trHeight w:val="183"/>
        </w:trPr>
        <w:tc>
          <w:tcPr>
            <w:tcW w:w="6380" w:type="dxa"/>
            <w:vAlign w:val="bottom"/>
            <w:tcBorders>
              <w:bottom w:val="single" w:sz="8" w:color="auto"/>
            </w:tcBorders>
          </w:tcPr>
          <w:p>
            <w:pPr>
              <w:spacing w:after="0"/>
              <w:rPr>
                <w:sz w:val="15"/>
                <w:szCs w:val="15"/>
                <w:color w:val="auto"/>
              </w:rPr>
            </w:pPr>
          </w:p>
        </w:tc>
        <w:tc>
          <w:tcPr>
            <w:tcW w:w="46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5" w:right="439" w:bottom="1440" w:gutter="0" w:footer="0" w:header="0"/>
        </w:sectPr>
      </w:pPr>
    </w:p>
    <w:bookmarkStart w:id="3" w:name="page4"/>
    <w:bookmarkEnd w:id="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53"/>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84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7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27"/>
            <w:shd w:val="clear" w:color="auto" w:fill="CCEEFF"/>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1</w:t>
              </w:r>
            </w:hyperlink>
          </w:p>
        </w:tc>
        <w:tc>
          <w:tcPr>
            <w:tcW w:w="20" w:type="dxa"/>
            <w:vAlign w:val="bottom"/>
            <w:shd w:val="clear" w:color="auto" w:fill="CCEEFF"/>
          </w:tcPr>
          <w:p>
            <w:pPr>
              <w:spacing w:after="0"/>
              <w:rPr>
                <w:sz w:val="20"/>
                <w:szCs w:val="20"/>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CAUTIONARY NOTE REGARDING FORWARD-LOOKING STATEMENTS</w:t>
              </w:r>
            </w:hyperlink>
          </w:p>
        </w:tc>
        <w:tc>
          <w:tcPr>
            <w:tcW w:w="2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PROSPECTUS SUMMARY</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THE OFFERING</w:t>
              </w:r>
            </w:hyperlink>
          </w:p>
        </w:tc>
        <w:tc>
          <w:tcPr>
            <w:tcW w:w="280" w:type="dxa"/>
            <w:vAlign w:val="bottom"/>
            <w:gridSpan w:val="4"/>
          </w:tcPr>
          <w:p>
            <w:pPr>
              <w:jc w:val="right"/>
              <w:spacing w:after="0"/>
              <w:rPr>
                <w:rFonts w:ascii="Arial" w:cs="Arial" w:eastAsia="Arial" w:hAnsi="Arial"/>
                <w:sz w:val="18"/>
                <w:szCs w:val="18"/>
                <w:color w:val="0000EE"/>
              </w:rPr>
            </w:pPr>
            <w:hyperlink w:anchor="page11">
              <w:r>
                <w:rPr>
                  <w:rFonts w:ascii="Arial" w:cs="Arial" w:eastAsia="Arial" w:hAnsi="Arial"/>
                  <w:sz w:val="18"/>
                  <w:szCs w:val="18"/>
                  <w:color w:val="0000EE"/>
                </w:rPr>
                <w:t>7</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USE OF PROCEEDS</w:t>
              </w:r>
            </w:hyperlink>
          </w:p>
        </w:tc>
        <w:tc>
          <w:tcPr>
            <w:tcW w:w="2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46</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DETERMINATION OF OFFERING PRICE</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47</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MARKET INFORMATION FOR COMMON STOCK AND DIVIDEND POLICY</w:t>
              </w:r>
            </w:hyperlink>
          </w:p>
        </w:tc>
        <w:tc>
          <w:tcPr>
            <w:tcW w:w="28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48</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SELECTED HISTORICAL FINANCIAL AND OPERATING DATA</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49</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760" w:type="dxa"/>
            <w:vAlign w:val="bottom"/>
            <w:tcBorders>
              <w:bottom w:val="single" w:sz="8" w:color="0000EE"/>
            </w:tcBorders>
            <w:gridSpan w:val="26"/>
          </w:tcPr>
          <w:p>
            <w:pPr>
              <w:spacing w:after="0"/>
              <w:rPr>
                <w:rFonts w:ascii="Arial" w:cs="Arial" w:eastAsia="Arial" w:hAnsi="Arial"/>
                <w:sz w:val="18"/>
                <w:szCs w:val="18"/>
                <w:color w:val="0000EE"/>
                <w:w w:val="97"/>
              </w:rPr>
            </w:pPr>
            <w:hyperlink w:anchor="page55">
              <w:r>
                <w:rPr>
                  <w:rFonts w:ascii="Arial" w:cs="Arial" w:eastAsia="Arial" w:hAnsi="Arial"/>
                  <w:sz w:val="18"/>
                  <w:szCs w:val="18"/>
                  <w:color w:val="0000EE"/>
                  <w:w w:val="97"/>
                </w:rPr>
                <w:t>MANAGEMENT’S DISCUSSION AND ANALYSIS OF FINANCIAL CONDITION AND RESULTS OF</w:t>
              </w:r>
            </w:hyperlink>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7940" w:type="dxa"/>
            <w:vAlign w:val="bottom"/>
            <w:gridSpan w:val="2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OPERATIONS</w:t>
              </w:r>
            </w:hyperlink>
          </w:p>
        </w:tc>
        <w:tc>
          <w:tcPr>
            <w:tcW w:w="28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51</w:t>
              </w:r>
            </w:hyperlink>
          </w:p>
        </w:tc>
        <w:tc>
          <w:tcPr>
            <w:tcW w:w="20" w:type="dxa"/>
            <w:vAlign w:val="bottom"/>
          </w:tcPr>
          <w:p>
            <w:pPr>
              <w:spacing w:after="0"/>
              <w:rPr>
                <w:sz w:val="17"/>
                <w:szCs w:val="17"/>
                <w:color w:val="auto"/>
              </w:rPr>
            </w:pPr>
          </w:p>
        </w:tc>
      </w:tr>
      <w:tr>
        <w:trPr>
          <w:trHeight w:val="74"/>
        </w:trPr>
        <w:tc>
          <w:tcPr>
            <w:tcW w:w="180" w:type="dxa"/>
            <w:vAlign w:val="bottom"/>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BUSINESS</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70</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MANAGEMENT</w:t>
              </w:r>
            </w:hyperlink>
          </w:p>
        </w:tc>
        <w:tc>
          <w:tcPr>
            <w:tcW w:w="280" w:type="dxa"/>
            <w:vAlign w:val="bottom"/>
            <w:gridSpan w:val="4"/>
          </w:tcPr>
          <w:p>
            <w:pPr>
              <w:jc w:val="right"/>
              <w:spacing w:after="0"/>
              <w:rPr>
                <w:rFonts w:ascii="Arial" w:cs="Arial" w:eastAsia="Arial" w:hAnsi="Arial"/>
                <w:sz w:val="18"/>
                <w:szCs w:val="18"/>
                <w:color w:val="0000EE"/>
              </w:rPr>
            </w:pPr>
            <w:hyperlink w:anchor="page86">
              <w:r>
                <w:rPr>
                  <w:rFonts w:ascii="Arial" w:cs="Arial" w:eastAsia="Arial" w:hAnsi="Arial"/>
                  <w:sz w:val="18"/>
                  <w:szCs w:val="18"/>
                  <w:color w:val="0000EE"/>
                </w:rPr>
                <w:t>82</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280" w:type="dxa"/>
            <w:vAlign w:val="bottom"/>
            <w:gridSpan w:val="4"/>
            <w:shd w:val="clear" w:color="auto" w:fill="CCEEFF"/>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88</w:t>
              </w:r>
            </w:hyperlink>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CERTAIN RELATIONSHIPS AND RELATED PARTY TRANSACTIONS</w:t>
              </w:r>
            </w:hyperlink>
          </w:p>
        </w:tc>
        <w:tc>
          <w:tcPr>
            <w:tcW w:w="280" w:type="dxa"/>
            <w:vAlign w:val="bottom"/>
            <w:gridSpan w:val="4"/>
          </w:tcPr>
          <w:p>
            <w:pPr>
              <w:jc w:val="right"/>
              <w:spacing w:after="0"/>
              <w:rPr>
                <w:rFonts w:ascii="Arial" w:cs="Arial" w:eastAsia="Arial" w:hAnsi="Arial"/>
                <w:sz w:val="18"/>
                <w:szCs w:val="18"/>
                <w:color w:val="0000EE"/>
              </w:rPr>
            </w:pPr>
            <w:hyperlink w:anchor="page100">
              <w:r>
                <w:rPr>
                  <w:rFonts w:ascii="Arial" w:cs="Arial" w:eastAsia="Arial" w:hAnsi="Arial"/>
                  <w:sz w:val="18"/>
                  <w:szCs w:val="18"/>
                  <w:color w:val="0000EE"/>
                </w:rPr>
                <w:t>96</w:t>
              </w:r>
            </w:hyperlink>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06">
              <w:r>
                <w:rPr>
                  <w:rFonts w:ascii="Arial" w:cs="Arial" w:eastAsia="Arial" w:hAnsi="Arial"/>
                  <w:sz w:val="18"/>
                  <w:szCs w:val="18"/>
                  <w:color w:val="0000EE"/>
                </w:rPr>
                <w:t>PRINCIPAL SECURITYHOLDERS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06">
              <w:r>
                <w:rPr>
                  <w:rFonts w:ascii="Arial" w:cs="Arial" w:eastAsia="Arial" w:hAnsi="Arial"/>
                  <w:sz w:val="18"/>
                  <w:szCs w:val="18"/>
                  <w:color w:val="0000EE"/>
                  <w:w w:val="86"/>
                </w:rPr>
                <w:t>102</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27"/>
          </w:tcPr>
          <w:p>
            <w:pPr>
              <w:spacing w:after="0"/>
              <w:rPr>
                <w:rFonts w:ascii="Arial" w:cs="Arial" w:eastAsia="Arial" w:hAnsi="Arial"/>
                <w:sz w:val="18"/>
                <w:szCs w:val="18"/>
                <w:color w:val="0000EE"/>
              </w:rPr>
            </w:pPr>
            <w:hyperlink w:anchor="page108">
              <w:r>
                <w:rPr>
                  <w:rFonts w:ascii="Arial" w:cs="Arial" w:eastAsia="Arial" w:hAnsi="Arial"/>
                  <w:sz w:val="18"/>
                  <w:szCs w:val="18"/>
                  <w:color w:val="0000EE"/>
                </w:rPr>
                <w:t>SELLING SECURITYHOLDERS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08">
              <w:r>
                <w:rPr>
                  <w:rFonts w:ascii="Arial" w:cs="Arial" w:eastAsia="Arial" w:hAnsi="Arial"/>
                  <w:sz w:val="18"/>
                  <w:szCs w:val="18"/>
                  <w:color w:val="0000EE"/>
                  <w:w w:val="86"/>
                </w:rPr>
                <w:t>104</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DESCRIPTION OF SECURITIES</w:t>
              </w:r>
            </w:hyperlink>
          </w:p>
        </w:tc>
        <w:tc>
          <w:tcPr>
            <w:tcW w:w="280" w:type="dxa"/>
            <w:vAlign w:val="bottom"/>
            <w:gridSpan w:val="4"/>
            <w:shd w:val="clear" w:color="auto" w:fill="CCEEFF"/>
          </w:tcPr>
          <w:p>
            <w:pPr>
              <w:jc w:val="right"/>
              <w:spacing w:after="0"/>
              <w:rPr>
                <w:rFonts w:ascii="Arial" w:cs="Arial" w:eastAsia="Arial" w:hAnsi="Arial"/>
                <w:sz w:val="18"/>
                <w:szCs w:val="18"/>
                <w:color w:val="0000EE"/>
                <w:w w:val="86"/>
              </w:rPr>
            </w:pPr>
            <w:hyperlink w:anchor="page114">
              <w:r>
                <w:rPr>
                  <w:rFonts w:ascii="Arial" w:cs="Arial" w:eastAsia="Arial" w:hAnsi="Arial"/>
                  <w:sz w:val="18"/>
                  <w:szCs w:val="18"/>
                  <w:color w:val="0000EE"/>
                  <w:w w:val="86"/>
                </w:rPr>
                <w:t>110</w:t>
              </w:r>
            </w:hyperlink>
          </w:p>
        </w:tc>
        <w:tc>
          <w:tcPr>
            <w:tcW w:w="20" w:type="dxa"/>
            <w:vAlign w:val="bottom"/>
            <w:shd w:val="clear" w:color="auto" w:fill="CCEEFF"/>
          </w:tcPr>
          <w:p>
            <w:pPr>
              <w:spacing w:after="0"/>
              <w:rPr>
                <w:sz w:val="19"/>
                <w:szCs w:val="19"/>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MATERIAL UNITED STATES FEDERAL INCOME TAX CONSEQUENCES</w:t>
              </w:r>
            </w:hyperlink>
          </w:p>
        </w:tc>
        <w:tc>
          <w:tcPr>
            <w:tcW w:w="280" w:type="dxa"/>
            <w:vAlign w:val="bottom"/>
            <w:gridSpan w:val="4"/>
          </w:tcPr>
          <w:p>
            <w:pPr>
              <w:jc w:val="right"/>
              <w:spacing w:after="0"/>
              <w:rPr>
                <w:rFonts w:ascii="Arial" w:cs="Arial" w:eastAsia="Arial" w:hAnsi="Arial"/>
                <w:sz w:val="18"/>
                <w:szCs w:val="18"/>
                <w:color w:val="0000EE"/>
                <w:w w:val="86"/>
              </w:rPr>
            </w:pPr>
            <w:hyperlink w:anchor="page122">
              <w:r>
                <w:rPr>
                  <w:rFonts w:ascii="Arial" w:cs="Arial" w:eastAsia="Arial" w:hAnsi="Arial"/>
                  <w:sz w:val="18"/>
                  <w:szCs w:val="18"/>
                  <w:color w:val="0000EE"/>
                  <w:w w:val="86"/>
                </w:rPr>
                <w:t>118</w:t>
              </w:r>
            </w:hyperlink>
          </w:p>
        </w:tc>
        <w:tc>
          <w:tcPr>
            <w:tcW w:w="20" w:type="dxa"/>
            <w:vAlign w:val="bottom"/>
          </w:tcPr>
          <w:p>
            <w:pPr>
              <w:spacing w:after="0"/>
              <w:rPr>
                <w:sz w:val="19"/>
                <w:szCs w:val="19"/>
                <w:color w:val="auto"/>
              </w:rPr>
            </w:pPr>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7">
              <w:r>
                <w:rPr>
                  <w:rFonts w:ascii="Arial" w:cs="Arial" w:eastAsia="Arial" w:hAnsi="Arial"/>
                  <w:sz w:val="18"/>
                  <w:szCs w:val="18"/>
                  <w:color w:val="0000EE"/>
                </w:rPr>
                <w:t>PLAN OF DISTRIBUTION</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7">
              <w:r>
                <w:rPr>
                  <w:rFonts w:ascii="Arial" w:cs="Arial" w:eastAsia="Arial" w:hAnsi="Arial"/>
                  <w:sz w:val="18"/>
                  <w:szCs w:val="18"/>
                  <w:color w:val="0000EE"/>
                  <w:w w:val="86"/>
                </w:rPr>
                <w:t>123</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LEGAL MATTERS</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125</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120" w:type="dxa"/>
            <w:vAlign w:val="bottom"/>
            <w:gridSpan w:val="27"/>
            <w:shd w:val="clear" w:color="auto" w:fill="CCEEFF"/>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EXPERTS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86"/>
              </w:rPr>
            </w:pPr>
            <w:hyperlink w:anchor="page129">
              <w:r>
                <w:rPr>
                  <w:rFonts w:ascii="Arial" w:cs="Arial" w:eastAsia="Arial" w:hAnsi="Arial"/>
                  <w:sz w:val="18"/>
                  <w:szCs w:val="18"/>
                  <w:color w:val="0000EE"/>
                  <w:w w:val="86"/>
                </w:rPr>
                <w:t>125</w:t>
              </w:r>
            </w:hyperlink>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30">
              <w:r>
                <w:rPr>
                  <w:rFonts w:ascii="Arial" w:cs="Arial" w:eastAsia="Arial" w:hAnsi="Arial"/>
                  <w:sz w:val="18"/>
                  <w:szCs w:val="18"/>
                  <w:color w:val="0000EE"/>
                </w:rPr>
                <w:t>WHERE YOU CAN FIND MORE INFORMATION</w:t>
              </w:r>
            </w:hyperlink>
          </w:p>
        </w:tc>
        <w:tc>
          <w:tcPr>
            <w:tcW w:w="300" w:type="dxa"/>
            <w:vAlign w:val="bottom"/>
            <w:gridSpan w:val="5"/>
          </w:tcPr>
          <w:p>
            <w:pPr>
              <w:jc w:val="right"/>
              <w:ind w:right="20"/>
              <w:spacing w:after="0"/>
              <w:rPr>
                <w:rFonts w:ascii="Arial" w:cs="Arial" w:eastAsia="Arial" w:hAnsi="Arial"/>
                <w:sz w:val="18"/>
                <w:szCs w:val="18"/>
                <w:color w:val="0000EE"/>
                <w:w w:val="86"/>
              </w:rPr>
            </w:pPr>
            <w:hyperlink w:anchor="page130">
              <w:r>
                <w:rPr>
                  <w:rFonts w:ascii="Arial" w:cs="Arial" w:eastAsia="Arial" w:hAnsi="Arial"/>
                  <w:sz w:val="18"/>
                  <w:szCs w:val="18"/>
                  <w:color w:val="0000EE"/>
                  <w:w w:val="86"/>
                </w:rPr>
                <w:t>126</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31">
              <w:r>
                <w:rPr>
                  <w:rFonts w:ascii="Arial" w:cs="Arial" w:eastAsia="Arial" w:hAnsi="Arial"/>
                  <w:sz w:val="18"/>
                  <w:szCs w:val="18"/>
                  <w:color w:val="0000EE"/>
                </w:rPr>
                <w:t>INDEX TO FINANCIAL STATEMENTS</w:t>
              </w:r>
            </w:hyperlink>
          </w:p>
        </w:tc>
        <w:tc>
          <w:tcPr>
            <w:tcW w:w="20" w:type="dxa"/>
            <w:vAlign w:val="bottom"/>
            <w:shd w:val="clear" w:color="auto" w:fill="CCEEFF"/>
          </w:tcPr>
          <w:p>
            <w:pPr>
              <w:spacing w:after="0"/>
              <w:rPr>
                <w:sz w:val="19"/>
                <w:szCs w:val="19"/>
                <w:color w:val="auto"/>
              </w:rPr>
            </w:pPr>
          </w:p>
        </w:tc>
        <w:tc>
          <w:tcPr>
            <w:tcW w:w="280" w:type="dxa"/>
            <w:vAlign w:val="bottom"/>
            <w:gridSpan w:val="4"/>
            <w:shd w:val="clear" w:color="auto" w:fill="CCEEFF"/>
          </w:tcPr>
          <w:p>
            <w:pPr>
              <w:jc w:val="right"/>
              <w:ind w:right="20"/>
              <w:spacing w:after="0"/>
              <w:rPr>
                <w:rFonts w:ascii="Arial" w:cs="Arial" w:eastAsia="Arial" w:hAnsi="Arial"/>
                <w:sz w:val="18"/>
                <w:szCs w:val="18"/>
                <w:color w:val="0000EE"/>
                <w:w w:val="88"/>
              </w:rPr>
            </w:pPr>
            <w:hyperlink w:anchor="page131">
              <w:r>
                <w:rPr>
                  <w:rFonts w:ascii="Arial" w:cs="Arial" w:eastAsia="Arial" w:hAnsi="Arial"/>
                  <w:sz w:val="18"/>
                  <w:szCs w:val="18"/>
                  <w:color w:val="0000EE"/>
                  <w:w w:val="88"/>
                </w:rPr>
                <w:t>F-1</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27"/>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PART II INFORMATION NOT REQUIRED IN PROSPECTUS</w:t>
              </w:r>
            </w:hyperlink>
          </w:p>
        </w:tc>
        <w:tc>
          <w:tcPr>
            <w:tcW w:w="300" w:type="dxa"/>
            <w:vAlign w:val="bottom"/>
            <w:gridSpan w:val="5"/>
          </w:tcPr>
          <w:p>
            <w:pPr>
              <w:jc w:val="right"/>
              <w:ind w:right="20"/>
              <w:spacing w:after="0"/>
              <w:rPr>
                <w:rFonts w:ascii="Arial" w:cs="Arial" w:eastAsia="Arial" w:hAnsi="Arial"/>
                <w:sz w:val="18"/>
                <w:szCs w:val="18"/>
                <w:color w:val="0000EE"/>
                <w:w w:val="99"/>
              </w:rPr>
            </w:pPr>
            <w:hyperlink w:anchor="page167">
              <w:r>
                <w:rPr>
                  <w:rFonts w:ascii="Arial" w:cs="Arial" w:eastAsia="Arial" w:hAnsi="Arial"/>
                  <w:sz w:val="18"/>
                  <w:szCs w:val="18"/>
                  <w:color w:val="0000EE"/>
                  <w:w w:val="99"/>
                </w:rPr>
                <w:t>II-1</w:t>
              </w:r>
            </w:hyperlink>
          </w:p>
        </w:tc>
      </w:tr>
      <w:tr>
        <w:trPr>
          <w:trHeight w:val="75"/>
        </w:trPr>
        <w:tc>
          <w:tcPr>
            <w:tcW w:w="18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2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3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120" w:type="dxa"/>
            <w:vAlign w:val="bottom"/>
            <w:gridSpan w:val="27"/>
            <w:shd w:val="clear" w:color="auto" w:fill="CCEEFF"/>
          </w:tcPr>
          <w:p>
            <w:pPr>
              <w:spacing w:after="0"/>
              <w:rPr>
                <w:rFonts w:ascii="Arial" w:cs="Arial" w:eastAsia="Arial" w:hAnsi="Arial"/>
                <w:sz w:val="18"/>
                <w:szCs w:val="18"/>
                <w:color w:val="0000EE"/>
              </w:rPr>
            </w:pPr>
            <w:hyperlink w:anchor="page172">
              <w:r>
                <w:rPr>
                  <w:rFonts w:ascii="Arial" w:cs="Arial" w:eastAsia="Arial" w:hAnsi="Arial"/>
                  <w:sz w:val="18"/>
                  <w:szCs w:val="18"/>
                  <w:color w:val="0000EE"/>
                </w:rPr>
                <w:t>SIGNATURES</w:t>
              </w:r>
            </w:hyperlink>
          </w:p>
        </w:tc>
        <w:tc>
          <w:tcPr>
            <w:tcW w:w="300" w:type="dxa"/>
            <w:vAlign w:val="bottom"/>
            <w:gridSpan w:val="5"/>
            <w:shd w:val="clear" w:color="auto" w:fill="CCEEFF"/>
          </w:tcPr>
          <w:p>
            <w:pPr>
              <w:jc w:val="right"/>
              <w:ind w:right="20"/>
              <w:spacing w:after="0"/>
              <w:rPr>
                <w:rFonts w:ascii="Arial" w:cs="Arial" w:eastAsia="Arial" w:hAnsi="Arial"/>
                <w:sz w:val="18"/>
                <w:szCs w:val="18"/>
                <w:color w:val="0000EE"/>
                <w:w w:val="99"/>
              </w:rPr>
            </w:pPr>
            <w:hyperlink w:anchor="page172">
              <w:r>
                <w:rPr>
                  <w:rFonts w:ascii="Arial" w:cs="Arial" w:eastAsia="Arial" w:hAnsi="Arial"/>
                  <w:sz w:val="18"/>
                  <w:szCs w:val="18"/>
                  <w:color w:val="0000EE"/>
                  <w:w w:val="99"/>
                </w:rPr>
                <w:t>II-6</w:t>
              </w:r>
            </w:hyperlink>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5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5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20" w:type="dxa"/>
            <w:vAlign w:val="bottom"/>
            <w:tcBorders>
              <w:top w:val="single" w:sz="8" w:color="CCEEFF"/>
            </w:tcBorders>
            <w:shd w:val="clear" w:color="auto" w:fill="CCEEFF"/>
          </w:tcPr>
          <w:p>
            <w:pPr>
              <w:spacing w:after="0"/>
              <w:rPr>
                <w:sz w:val="6"/>
                <w:szCs w:val="6"/>
                <w:color w:val="auto"/>
              </w:rPr>
            </w:pPr>
          </w:p>
        </w:tc>
        <w:tc>
          <w:tcPr>
            <w:tcW w:w="176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-5297170</wp:posOffset>
            </wp:positionV>
            <wp:extent cx="1111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95250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This prospectus is part of a registration statement on Form S-1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7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7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This prospectus contains forward-looking statements within the meaning of Section 27A of the Securities Act, and Section 21E of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and business performance, including key business metrics and any underlying assumptions thereunder;</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market opportunity and our ability to acquire new customers and retain existing customers;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timing related to commercial product launches;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go-to-market strategy;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scale our business and expand our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competitive advantages and growth strategies;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capital requirements and sources and uses of cash;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future operations;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known and unknown litigation and regulatory proceedings.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domestic and foreign business, market, financial, political and legal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global, regional or local economic and market conditions affecting the cannabis industry;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capitalize on new and existing cannabis markets, including our ability to successfully monetize our solutions in those markets;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future growth;</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competition on our future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that we have identified a material weakness in our internal control over financial reporting which, if not corrected, could affect the reliability of our consolidated financial statements;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9"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Should one or more of the risks or uncertainties described in this prospectus,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You should read this prospectus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 w:name="page8"/>
    <w:bookmarkEnd w:id="7"/>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2423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3405" cy="824230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5" w:lineRule="auto"/>
        <w:rPr>
          <w:sz w:val="20"/>
          <w:szCs w:val="20"/>
          <w:color w:val="auto"/>
        </w:rPr>
      </w:pPr>
      <w:r>
        <w:rPr>
          <w:rFonts w:ascii="Arial" w:cs="Arial" w:eastAsia="Arial" w:hAnsi="Arial"/>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“Management’s Discussion and Analysis of Financial Condition and Results of Operations,” “Business” and the consolidated financial statements and related notes included elsewhere in this prospectus before making an investment decision.</w:t>
      </w:r>
    </w:p>
    <w:p>
      <w:pPr>
        <w:spacing w:after="0" w:line="32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The mailing address of our principal executive office is 41 Discovery, Irvine, California 92618. Our telephone number is (844) 933-3627.</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Background</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6"/>
          <w:szCs w:val="16"/>
          <w:color w:val="auto"/>
        </w:rPr>
        <w:t>We were originally known as Silver Spike Acquisition Corp. On June 16, 2021, Silver Spike, our predecessor company, consummated the Business Combination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Prior to the Closing Date, each of Silver Spike’s then currently issued and outstanding Class A Ordinary Shares and Class B ordinary shares (“Class B Ordinary Shares”) automatically converted by operation of law, on a one-for-one basis, into shares of Class A Common Stock of Silver Spike. Similarly, all of Silver Spike’s outstanding warrants became warrants to acquire shares of Class A Common Stock of Silver Spike, and no other changes were made to the terms of any outstanding warrants.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consummation of the Business Combination.</w:t>
      </w:r>
    </w:p>
    <w:p>
      <w:pPr>
        <w:spacing w:after="0" w:line="59"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The Business Combination was accomplished through what is commonly referred to as an “Up-C” structure, which is often used by partnerships and limited liability companies undertaking an initial public offering. The Up-C structure allowed the Legacy WMH equity holders to retain their equity ownership in WMH LLC, an entity that is classified as a partnership for U.S. federal income tax purposes, in the form of Class A Units and Class P Units and provides potential future tax benefits for both us and the Unit holders when they ultimately exchange their pass-through interests for shares of Class A Common Stock. The Paired Interests are exchangeable on a one-for-one basis for shares of Class A common stock and the Class P Units, upon vesting, are exchangeable into shares of Class A Common Stock at a variable exchange ratio, of up to a one-for-one basis, that accounts for the participation threshold of the exchanged Class P Units. We are a holding company, and immediately after the consummation of the Business Combination, our principal asset is our ownership interest and managing member interest in WMH LLC.</w:t>
      </w:r>
    </w:p>
    <w:p>
      <w:pPr>
        <w:spacing w:after="0" w:line="74" w:lineRule="exact"/>
        <w:rPr>
          <w:sz w:val="20"/>
          <w:szCs w:val="20"/>
          <w:color w:val="auto"/>
        </w:rPr>
      </w:pPr>
    </w:p>
    <w:p>
      <w:pPr>
        <w:jc w:val="both"/>
        <w:ind w:left="320" w:right="279" w:firstLine="360"/>
        <w:spacing w:after="0" w:line="301" w:lineRule="auto"/>
        <w:rPr>
          <w:sz w:val="20"/>
          <w:szCs w:val="20"/>
          <w:color w:val="auto"/>
        </w:rPr>
      </w:pPr>
      <w:r>
        <w:rPr>
          <w:rFonts w:ascii="Arial" w:cs="Arial" w:eastAsia="Arial" w:hAnsi="Arial"/>
          <w:sz w:val="16"/>
          <w:szCs w:val="16"/>
          <w:color w:val="auto"/>
        </w:rPr>
        <w:t>In December 2020, a number of purchasers subscribed to purchase from Silver Spike an aggregate of 32,500,000 shares of the Silver Spike’s Class A Common Stock (the “PIPE Shares”), for a purchase price of $10.00 per share and an aggregate purchase price of $325,000,000, pursuant to separate subscription agreements (each, a “Subscription Agreement”). The sale of PIPE Shares was consummated concurrently with the Closing.</w:t>
      </w:r>
    </w:p>
    <w:p>
      <w:pPr>
        <w:sectPr>
          <w:pgSz w:w="11900" w:h="16838" w:orient="portrait"/>
          <w:cols w:equalWidth="0" w:num="1">
            <w:col w:w="9019"/>
          </w:cols>
          <w:pgMar w:left="1440" w:top="265" w:right="1440" w:bottom="1440" w:gutter="0" w:footer="0" w:header="0"/>
          <w:type w:val="continuous"/>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171450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 w:name="page9"/>
    <w:bookmarkEnd w:id="8"/>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8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3405" cy="808799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both"/>
        <w:ind w:left="320" w:right="299" w:firstLine="360"/>
        <w:spacing w:after="0" w:line="277" w:lineRule="auto"/>
        <w:rPr>
          <w:sz w:val="20"/>
          <w:szCs w:val="20"/>
          <w:color w:val="auto"/>
        </w:rPr>
      </w:pPr>
      <w:r>
        <w:rPr>
          <w:rFonts w:ascii="Arial" w:cs="Arial" w:eastAsia="Arial" w:hAnsi="Arial"/>
          <w:sz w:val="18"/>
          <w:szCs w:val="18"/>
          <w:color w:val="auto"/>
        </w:rPr>
        <w:t>Our Class A Common Stock and Public Warrants are currently listed on Nasdaq under the symbols “MAPS” and “MAPSW,” respectively.</w:t>
      </w:r>
    </w:p>
    <w:p>
      <w:pPr>
        <w:spacing w:after="0" w:line="62" w:lineRule="exact"/>
        <w:rPr>
          <w:sz w:val="20"/>
          <w:szCs w:val="20"/>
          <w:color w:val="auto"/>
        </w:rPr>
      </w:pPr>
    </w:p>
    <w:p>
      <w:pPr>
        <w:jc w:val="both"/>
        <w:ind w:left="320" w:right="299" w:firstLine="360"/>
        <w:spacing w:after="0" w:line="273" w:lineRule="auto"/>
        <w:rPr>
          <w:sz w:val="20"/>
          <w:szCs w:val="20"/>
          <w:color w:val="auto"/>
        </w:rPr>
      </w:pPr>
      <w:r>
        <w:rPr>
          <w:rFonts w:ascii="Arial" w:cs="Arial" w:eastAsia="Arial" w:hAnsi="Arial"/>
          <w:sz w:val="17"/>
          <w:szCs w:val="17"/>
          <w:color w:val="auto"/>
        </w:rPr>
        <w:t>The rights of holders of our Class A Common Stock and Warrants are governed by our certificate of incorporation (our “Certificate of Incorporation”), our amended and restated bylaws (our “Bylaws”) and the Delaware General Corporation Law (the “DGCL”), and, in the case of the Warrants, the Warrant Agreement, dated as of August 7, 2019 (the “Warrant Agreement”), between Silver Spike and the Continental Stock Transfer &amp; Trust Company, as the warrant agent (in such capacity, the “Warrant Agent”). See the sections entitled “Description of our Securities” and “Certain Relationships and Related Party Transactions.”</w:t>
      </w:r>
    </w:p>
    <w:p>
      <w:pPr>
        <w:spacing w:after="0" w:line="30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jc w:val="both"/>
        <w:ind w:left="320" w:right="279" w:firstLine="360"/>
        <w:spacing w:after="0" w:line="286" w:lineRule="auto"/>
        <w:rPr>
          <w:sz w:val="20"/>
          <w:szCs w:val="20"/>
          <w:color w:val="auto"/>
        </w:rPr>
      </w:pPr>
      <w:r>
        <w:rPr>
          <w:rFonts w:ascii="Arial" w:cs="Arial" w:eastAsia="Arial" w:hAnsi="Arial"/>
          <w:sz w:val="17"/>
          <w:szCs w:val="17"/>
          <w:color w:val="auto"/>
        </w:rPr>
        <w:t>Our ability to implement our business strategy is subject to numerous risks that you should be aware of before making an investment decision. These risks are described more fully in the section entitled “Risk Factors,” immediately following this prospectus summary. These risks include the following, among others:</w:t>
      </w:r>
    </w:p>
    <w:p>
      <w:pPr>
        <w:spacing w:after="0" w:line="57" w:lineRule="exact"/>
        <w:rPr>
          <w:sz w:val="20"/>
          <w:szCs w:val="20"/>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20" w:right="299" w:hanging="350"/>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20" w:right="299" w:hanging="350"/>
        <w:spacing w:after="0" w:line="272"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20" w:right="299" w:hanging="350"/>
        <w:spacing w:after="0" w:line="308"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 w:name="page10"/>
    <w:bookmarkEnd w:id="9"/>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637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3405" cy="63734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20" w:hanging="350"/>
        <w:spacing w:after="0"/>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20" w:right="299" w:hanging="350"/>
        <w:spacing w:after="0" w:line="279" w:lineRule="auto"/>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20" w:right="299" w:hanging="350"/>
        <w:spacing w:after="0" w:line="263"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20" w:right="299" w:hanging="350"/>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69" w:lineRule="auto"/>
        <w:rPr>
          <w:sz w:val="20"/>
          <w:szCs w:val="20"/>
          <w:color w:val="auto"/>
        </w:rPr>
      </w:pPr>
      <w:r>
        <w:rPr>
          <w:rFonts w:ascii="Arial" w:cs="Arial" w:eastAsia="Arial" w:hAnsi="Arial"/>
          <w:sz w:val="17"/>
          <w:szCs w:val="17"/>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 The mailing address of our principal executive office is 41 Discovery, Irvine, California 92618. Our telephone number is (844) 933-3627.</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90170</wp:posOffset>
            </wp:positionV>
            <wp:extent cx="5653405" cy="80276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3405" cy="802767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THE OFFERING</w:t>
      </w:r>
    </w:p>
    <w:p>
      <w:pPr>
        <w:spacing w:after="0" w:line="131" w:lineRule="exact"/>
        <w:rPr>
          <w:sz w:val="20"/>
          <w:szCs w:val="20"/>
          <w:color w:val="auto"/>
        </w:rPr>
      </w:pPr>
    </w:p>
    <w:p>
      <w:pPr>
        <w:ind w:left="320"/>
        <w:spacing w:after="0"/>
        <w:tabs>
          <w:tab w:leader="none" w:pos="4820" w:val="left"/>
        </w:tabs>
        <w:rPr>
          <w:sz w:val="20"/>
          <w:szCs w:val="20"/>
          <w:color w:val="auto"/>
        </w:rPr>
      </w:pPr>
      <w:r>
        <w:rPr>
          <w:rFonts w:ascii="Arial" w:cs="Arial" w:eastAsia="Arial" w:hAnsi="Arial"/>
          <w:sz w:val="17"/>
          <w:szCs w:val="17"/>
          <w:b w:val="1"/>
          <w:bCs w:val="1"/>
          <w:color w:val="auto"/>
        </w:rPr>
        <w:t>Issuer</w:t>
      </w:r>
      <w:r>
        <w:rPr>
          <w:sz w:val="20"/>
          <w:szCs w:val="20"/>
          <w:color w:val="auto"/>
        </w:rPr>
        <w:tab/>
      </w:r>
      <w:r>
        <w:rPr>
          <w:rFonts w:ascii="Arial" w:cs="Arial" w:eastAsia="Arial" w:hAnsi="Arial"/>
          <w:sz w:val="17"/>
          <w:szCs w:val="17"/>
          <w:color w:val="auto"/>
        </w:rPr>
        <w:t>WM Technology, Inc. (f/k/a Silver Spike Acquisition</w:t>
      </w:r>
    </w:p>
    <w:p>
      <w:pPr>
        <w:spacing w:after="0" w:line="3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Corp.).</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Issuance of Class A Common Stock</w:t>
      </w:r>
    </w:p>
    <w:p>
      <w:pPr>
        <w:sectPr>
          <w:pgSz w:w="11900" w:h="16838" w:orient="portrait"/>
          <w:cols w:equalWidth="0" w:num="1">
            <w:col w:w="9019"/>
          </w:cols>
          <w:pgMar w:left="1440" w:top="265" w:right="1440" w:bottom="1440" w:gutter="0" w:footer="0" w:header="0"/>
          <w:type w:val="continuous"/>
        </w:sectPr>
      </w:pP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80" w:hanging="179"/>
        <w:spacing w:after="0" w:line="266" w:lineRule="auto"/>
        <w:rPr>
          <w:sz w:val="20"/>
          <w:szCs w:val="20"/>
          <w:color w:val="auto"/>
        </w:rPr>
      </w:pPr>
      <w:r>
        <w:rPr>
          <w:rFonts w:ascii="Arial" w:cs="Arial" w:eastAsia="Arial" w:hAnsi="Arial"/>
          <w:sz w:val="18"/>
          <w:szCs w:val="18"/>
          <w:b w:val="1"/>
          <w:bCs w:val="1"/>
          <w:color w:val="auto"/>
        </w:rPr>
        <w:t>Shares of Class A Common Stock Outstanding Prior to Exercise of All Warrants and Exchange of Paired Interests and Class P Units</w:t>
      </w:r>
    </w:p>
    <w:p>
      <w:pPr>
        <w:spacing w:after="0" w:line="108" w:lineRule="exact"/>
        <w:rPr>
          <w:sz w:val="20"/>
          <w:szCs w:val="20"/>
          <w:color w:val="auto"/>
        </w:rPr>
      </w:pPr>
    </w:p>
    <w:p>
      <w:pPr>
        <w:ind w:left="480" w:hanging="179"/>
        <w:spacing w:after="0" w:line="289" w:lineRule="auto"/>
        <w:rPr>
          <w:sz w:val="20"/>
          <w:szCs w:val="20"/>
          <w:color w:val="auto"/>
        </w:rPr>
      </w:pPr>
      <w:r>
        <w:rPr>
          <w:rFonts w:ascii="Arial" w:cs="Arial" w:eastAsia="Arial" w:hAnsi="Arial"/>
          <w:sz w:val="17"/>
          <w:szCs w:val="17"/>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279"/>
        <w:spacing w:after="0" w:line="269" w:lineRule="auto"/>
        <w:rPr>
          <w:sz w:val="20"/>
          <w:szCs w:val="20"/>
          <w:color w:val="auto"/>
        </w:rPr>
      </w:pPr>
      <w:r>
        <w:rPr>
          <w:rFonts w:ascii="Arial" w:cs="Arial" w:eastAsia="Arial" w:hAnsi="Arial"/>
          <w:sz w:val="17"/>
          <w:szCs w:val="17"/>
          <w:color w:val="auto"/>
        </w:rPr>
        <w:t>Up to 110,898,382 shares of our Class A Common Stock consisting of (i) 7,000,000 shares of Class A Common Stock issuable upon exercise of the Private Placement Warrants by the holders thereof,</w:t>
      </w:r>
    </w:p>
    <w:p>
      <w:pPr>
        <w:spacing w:after="0" w:line="2" w:lineRule="exact"/>
        <w:rPr>
          <w:sz w:val="20"/>
          <w:szCs w:val="20"/>
          <w:color w:val="auto"/>
        </w:rPr>
      </w:pPr>
    </w:p>
    <w:p>
      <w:pPr>
        <w:jc w:val="both"/>
        <w:ind w:right="279" w:firstLine="6"/>
        <w:spacing w:after="0" w:line="252" w:lineRule="auto"/>
        <w:tabs>
          <w:tab w:leader="none" w:pos="315" w:val="left"/>
        </w:tabs>
        <w:numPr>
          <w:ilvl w:val="0"/>
          <w:numId w:val="6"/>
        </w:numPr>
        <w:rPr>
          <w:rFonts w:ascii="Arial" w:cs="Arial" w:eastAsia="Arial" w:hAnsi="Arial"/>
          <w:sz w:val="18"/>
          <w:szCs w:val="18"/>
          <w:color w:val="auto"/>
        </w:rPr>
      </w:pPr>
      <w:r>
        <w:rPr>
          <w:rFonts w:ascii="Arial" w:cs="Arial" w:eastAsia="Arial" w:hAnsi="Arial"/>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70,399,067 shares (as of February 18, 2022).</w:t>
      </w:r>
    </w:p>
    <w:p>
      <w:pPr>
        <w:spacing w:after="0" w:line="200" w:lineRule="exact"/>
        <w:rPr>
          <w:sz w:val="20"/>
          <w:szCs w:val="20"/>
          <w:color w:val="auto"/>
        </w:rPr>
      </w:pPr>
    </w:p>
    <w:p>
      <w:pPr>
        <w:spacing w:after="0" w:line="349" w:lineRule="exact"/>
        <w:rPr>
          <w:sz w:val="20"/>
          <w:szCs w:val="20"/>
          <w:color w:val="auto"/>
        </w:rPr>
      </w:pPr>
    </w:p>
    <w:p>
      <w:pPr>
        <w:ind w:right="299"/>
        <w:spacing w:after="0" w:line="277" w:lineRule="auto"/>
        <w:rPr>
          <w:sz w:val="20"/>
          <w:szCs w:val="20"/>
          <w:color w:val="auto"/>
        </w:rPr>
      </w:pPr>
      <w:r>
        <w:rPr>
          <w:rFonts w:ascii="Arial" w:cs="Arial" w:eastAsia="Arial" w:hAnsi="Arial"/>
          <w:sz w:val="18"/>
          <w:szCs w:val="18"/>
          <w:color w:val="auto"/>
        </w:rPr>
        <w:t>181,297,449 shares (based on total shares outstanding as of February 18, 2022).</w:t>
      </w:r>
    </w:p>
    <w:p>
      <w:pPr>
        <w:spacing w:after="0" w:line="99" w:lineRule="exact"/>
        <w:rPr>
          <w:sz w:val="20"/>
          <w:szCs w:val="20"/>
          <w:color w:val="auto"/>
        </w:rPr>
      </w:pPr>
    </w:p>
    <w:p>
      <w:pPr>
        <w:sectPr>
          <w:pgSz w:w="11900" w:h="16838" w:orient="portrait"/>
          <w:cols w:equalWidth="0" w:num="2">
            <w:col w:w="4520" w:space="320"/>
            <w:col w:w="4179"/>
          </w:cols>
          <w:pgMar w:left="1440" w:top="265" w:right="1440" w:bottom="1440" w:gutter="0" w:footer="0" w:header="0"/>
          <w:type w:val="continuous"/>
        </w:sect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Exercise Price of Warrants</w:t>
      </w:r>
      <w:r>
        <w:rPr>
          <w:sz w:val="20"/>
          <w:szCs w:val="20"/>
          <w:color w:val="auto"/>
        </w:rPr>
        <w:tab/>
      </w:r>
      <w:r>
        <w:rPr>
          <w:rFonts w:ascii="Arial" w:cs="Arial" w:eastAsia="Arial" w:hAnsi="Arial"/>
          <w:sz w:val="16"/>
          <w:szCs w:val="16"/>
          <w:color w:val="auto"/>
        </w:rPr>
        <w:t>$11.50 per share, subject to adjustment as described</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herein.</w:t>
      </w:r>
    </w:p>
    <w:p>
      <w:pPr>
        <w:spacing w:after="0" w:line="126" w:lineRule="exact"/>
        <w:rPr>
          <w:sz w:val="20"/>
          <w:szCs w:val="20"/>
          <w:color w:val="auto"/>
        </w:r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6"/>
          <w:szCs w:val="16"/>
          <w:color w:val="auto"/>
        </w:rPr>
        <w:t>We will receive up to an aggregate of approximately</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$224.3 million from the exercise of the Warrants,</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assuming the exercise in full of all of the Warrants for</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cash. We expect to use the net proceeds from the</w:t>
      </w:r>
    </w:p>
    <w:p>
      <w:pPr>
        <w:spacing w:after="0" w:line="21" w:lineRule="exact"/>
        <w:rPr>
          <w:sz w:val="20"/>
          <w:szCs w:val="20"/>
          <w:color w:val="auto"/>
        </w:rPr>
      </w:pPr>
    </w:p>
    <w:p>
      <w:pPr>
        <w:ind w:left="4840"/>
        <w:spacing w:after="0"/>
        <w:tabs>
          <w:tab w:leader="none" w:pos="5560" w:val="left"/>
          <w:tab w:leader="none" w:pos="5860" w:val="left"/>
          <w:tab w:leader="none" w:pos="6220" w:val="left"/>
          <w:tab w:leader="none" w:pos="7000" w:val="left"/>
          <w:tab w:leader="none" w:pos="7360" w:val="left"/>
          <w:tab w:leader="none" w:pos="8040" w:val="left"/>
        </w:tabs>
        <w:rPr>
          <w:sz w:val="20"/>
          <w:szCs w:val="20"/>
          <w:color w:val="auto"/>
        </w:rPr>
      </w:pPr>
      <w:r>
        <w:rPr>
          <w:rFonts w:ascii="Arial" w:cs="Arial" w:eastAsia="Arial" w:hAnsi="Arial"/>
          <w:sz w:val="18"/>
          <w:szCs w:val="18"/>
          <w:color w:val="auto"/>
        </w:rPr>
        <w:t>exercise</w:t>
        <w:tab/>
        <w:t>of</w:t>
        <w:tab/>
        <w:t>the</w:t>
        <w:tab/>
        <w:t>Warrants</w:t>
        <w:tab/>
        <w:t>for</w:t>
        <w:tab/>
        <w:t>general</w:t>
      </w:r>
      <w:r>
        <w:rPr>
          <w:sz w:val="20"/>
          <w:szCs w:val="20"/>
          <w:color w:val="auto"/>
        </w:rPr>
        <w:tab/>
      </w:r>
      <w:r>
        <w:rPr>
          <w:rFonts w:ascii="Arial" w:cs="Arial" w:eastAsia="Arial" w:hAnsi="Arial"/>
          <w:sz w:val="16"/>
          <w:szCs w:val="16"/>
          <w:color w:val="auto"/>
        </w:rPr>
        <w:t>corporate</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purposes. See the section entitled “Use of Proceeds.”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Resale of Class A Common Stock and Warrants</w:t>
      </w: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Shares of Class A Common Stock Offered by the</w:t>
      </w:r>
    </w:p>
    <w:p>
      <w:pPr>
        <w:spacing w:after="0" w:line="27" w:lineRule="exact"/>
        <w:rPr>
          <w:sz w:val="20"/>
          <w:szCs w:val="20"/>
          <w:color w:val="auto"/>
        </w:rPr>
      </w:pPr>
    </w:p>
    <w:p>
      <w:pPr>
        <w:ind w:left="480"/>
        <w:spacing w:after="0"/>
        <w:tabs>
          <w:tab w:leader="none" w:pos="4820" w:val="left"/>
        </w:tabs>
        <w:rPr>
          <w:sz w:val="20"/>
          <w:szCs w:val="20"/>
          <w:color w:val="auto"/>
        </w:rPr>
      </w:pPr>
      <w:r>
        <w:rPr>
          <w:rFonts w:ascii="Arial" w:cs="Arial" w:eastAsia="Arial" w:hAnsi="Arial"/>
          <w:sz w:val="18"/>
          <w:szCs w:val="18"/>
          <w:b w:val="1"/>
          <w:bCs w:val="1"/>
          <w:color w:val="auto"/>
        </w:rPr>
        <w:t>Selling Securityholders</w:t>
      </w:r>
      <w:r>
        <w:rPr>
          <w:sz w:val="20"/>
          <w:szCs w:val="20"/>
          <w:color w:val="auto"/>
        </w:rPr>
        <w:tab/>
      </w:r>
      <w:r>
        <w:rPr>
          <w:rFonts w:ascii="Arial" w:cs="Arial" w:eastAsia="Arial" w:hAnsi="Arial"/>
          <w:sz w:val="17"/>
          <w:szCs w:val="17"/>
          <w:color w:val="auto"/>
        </w:rPr>
        <w:t>Up to (i) 105,014,011 shares of Class A Common</w:t>
      </w:r>
    </w:p>
    <w:p>
      <w:pPr>
        <w:spacing w:after="0" w:line="9" w:lineRule="exact"/>
        <w:rPr>
          <w:sz w:val="20"/>
          <w:szCs w:val="20"/>
          <w:color w:val="auto"/>
        </w:rPr>
      </w:pPr>
    </w:p>
    <w:p>
      <w:pPr>
        <w:jc w:val="right"/>
        <w:ind w:right="279"/>
        <w:spacing w:after="0"/>
        <w:tabs>
          <w:tab w:leader="none" w:pos="3280" w:val="left"/>
          <w:tab w:leader="none" w:pos="2400" w:val="left"/>
          <w:tab w:leader="none" w:pos="2120" w:val="left"/>
          <w:tab w:leader="none" w:pos="1800" w:val="left"/>
          <w:tab w:leader="none" w:pos="840" w:val="left"/>
          <w:tab w:leader="none" w:pos="240" w:val="left"/>
        </w:tabs>
        <w:rPr>
          <w:sz w:val="20"/>
          <w:szCs w:val="20"/>
          <w:color w:val="auto"/>
        </w:rPr>
      </w:pPr>
      <w:r>
        <w:rPr>
          <w:rFonts w:ascii="Arial" w:cs="Arial" w:eastAsia="Arial" w:hAnsi="Arial"/>
          <w:sz w:val="18"/>
          <w:szCs w:val="18"/>
          <w:color w:val="auto"/>
        </w:rPr>
        <w:t>Stock,</w:t>
        <w:tab/>
        <w:t>consisting</w:t>
        <w:tab/>
        <w:t>of</w:t>
        <w:tab/>
        <w:t>(i)</w:t>
        <w:tab/>
        <w:t>38,750,000</w:t>
        <w:tab/>
        <w:t>issued</w:t>
      </w:r>
      <w:r>
        <w:rPr>
          <w:sz w:val="20"/>
          <w:szCs w:val="20"/>
          <w:color w:val="auto"/>
        </w:rPr>
        <w:tab/>
      </w:r>
      <w:r>
        <w:rPr>
          <w:rFonts w:ascii="Arial" w:cs="Arial" w:eastAsia="Arial" w:hAnsi="Arial"/>
          <w:sz w:val="15"/>
          <w:szCs w:val="15"/>
          <w:color w:val="auto"/>
        </w:rPr>
        <w:t>and</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outstanding  shares  of  Class  A  Common  Stock,</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(ii) 59,264,011 shares of Class A Common Stock</w:t>
      </w:r>
    </w:p>
    <w:p>
      <w:pPr>
        <w:spacing w:after="0" w:line="9" w:lineRule="exact"/>
        <w:rPr>
          <w:sz w:val="20"/>
          <w:szCs w:val="20"/>
          <w:color w:val="auto"/>
        </w:rPr>
      </w:pPr>
    </w:p>
    <w:p>
      <w:pPr>
        <w:ind w:left="4840"/>
        <w:spacing w:after="0"/>
        <w:tabs>
          <w:tab w:leader="none" w:pos="5660" w:val="left"/>
          <w:tab w:leader="none" w:pos="6280" w:val="left"/>
          <w:tab w:leader="none" w:pos="7220" w:val="left"/>
          <w:tab w:leader="none" w:pos="7620" w:val="left"/>
          <w:tab w:leader="none" w:pos="8200" w:val="left"/>
        </w:tabs>
        <w:rPr>
          <w:sz w:val="20"/>
          <w:szCs w:val="20"/>
          <w:color w:val="auto"/>
        </w:rPr>
      </w:pPr>
      <w:r>
        <w:rPr>
          <w:rFonts w:ascii="Arial" w:cs="Arial" w:eastAsia="Arial" w:hAnsi="Arial"/>
          <w:sz w:val="18"/>
          <w:szCs w:val="18"/>
          <w:color w:val="auto"/>
        </w:rPr>
        <w:t>issuable</w:t>
        <w:tab/>
        <w:t>upon</w:t>
        <w:tab/>
        <w:t>exchange</w:t>
        <w:tab/>
        <w:t>of</w:t>
        <w:tab/>
        <w:t>such</w:t>
      </w:r>
      <w:r>
        <w:rPr>
          <w:sz w:val="20"/>
          <w:szCs w:val="20"/>
          <w:color w:val="auto"/>
        </w:rPr>
        <w:tab/>
      </w:r>
      <w:r>
        <w:rPr>
          <w:rFonts w:ascii="Arial" w:cs="Arial" w:eastAsia="Arial" w:hAnsi="Arial"/>
          <w:sz w:val="17"/>
          <w:szCs w:val="17"/>
          <w:color w:val="auto"/>
        </w:rPr>
        <w:t>Selling</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Securityholder’s Paired Interests or Class P Units and</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(iii) 7,000,000 shares of Class A Common Stock</w:t>
      </w:r>
    </w:p>
    <w:p>
      <w:pPr>
        <w:spacing w:after="0" w:line="9"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issuable  upon  exercise  of  the  Private  Placement</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Warrants.</w:t>
      </w:r>
    </w:p>
    <w:p>
      <w:pPr>
        <w:sectPr>
          <w:pgSz w:w="11900" w:h="16838" w:orient="portrait"/>
          <w:cols w:equalWidth="0" w:num="1">
            <w:col w:w="9019"/>
          </w:cols>
          <w:pgMar w:left="1440" w:top="265" w:right="1440" w:bottom="1440" w:gutter="0" w:footer="0" w:header="0"/>
          <w:type w:val="continuous"/>
        </w:sectPr>
      </w:pPr>
    </w:p>
    <w:p>
      <w:pPr>
        <w:spacing w:after="0" w:line="139" w:lineRule="exact"/>
        <w:rPr>
          <w:sz w:val="20"/>
          <w:szCs w:val="20"/>
          <w:color w:val="auto"/>
        </w:rPr>
      </w:pPr>
    </w:p>
    <w:p>
      <w:pPr>
        <w:ind w:left="320" w:right="80"/>
        <w:spacing w:after="0" w:line="485" w:lineRule="auto"/>
        <w:rPr>
          <w:sz w:val="20"/>
          <w:szCs w:val="20"/>
          <w:color w:val="auto"/>
        </w:rPr>
      </w:pPr>
      <w:r>
        <w:rPr>
          <w:rFonts w:ascii="Arial" w:cs="Arial" w:eastAsia="Arial" w:hAnsi="Arial"/>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7,000,000 Private Placement Warrants.</w:t>
      </w:r>
    </w:p>
    <w:p>
      <w:pPr>
        <w:spacing w:after="0" w:line="158" w:lineRule="exact"/>
        <w:rPr>
          <w:sz w:val="20"/>
          <w:szCs w:val="20"/>
          <w:color w:val="auto"/>
        </w:rPr>
      </w:pPr>
    </w:p>
    <w:p>
      <w:pPr>
        <w:jc w:val="both"/>
        <w:ind w:right="279"/>
        <w:spacing w:after="0" w:line="311" w:lineRule="auto"/>
        <w:rPr>
          <w:sz w:val="20"/>
          <w:szCs w:val="20"/>
          <w:color w:val="auto"/>
        </w:rPr>
      </w:pPr>
      <w:r>
        <w:rPr>
          <w:rFonts w:ascii="Arial" w:cs="Arial" w:eastAsia="Arial" w:hAnsi="Arial"/>
          <w:sz w:val="16"/>
          <w:szCs w:val="16"/>
          <w:color w:val="auto"/>
        </w:rPr>
        <w:t>The Warrants are redeemable in certain circumstances. See the section entitled “Description of our Securities—Warrants” for further discussion.</w:t>
      </w:r>
    </w:p>
    <w:p>
      <w:pPr>
        <w:spacing w:after="0" w:line="77" w:lineRule="exact"/>
        <w:rPr>
          <w:sz w:val="20"/>
          <w:szCs w:val="20"/>
          <w:color w:val="auto"/>
        </w:rPr>
      </w:pPr>
    </w:p>
    <w:p>
      <w:pPr>
        <w:sectPr>
          <w:pgSz w:w="11900" w:h="16838" w:orient="portrait"/>
          <w:cols w:equalWidth="0" w:num="2">
            <w:col w:w="4120" w:space="720"/>
            <w:col w:w="4179"/>
          </w:cols>
          <w:pgMar w:left="1440" w:top="265" w:right="1440" w:bottom="1440" w:gutter="0" w:footer="0" w:header="0"/>
          <w:type w:val="continuous"/>
        </w:sectPr>
      </w:pPr>
    </w:p>
    <w:p>
      <w:pPr>
        <w:ind w:left="320"/>
        <w:spacing w:after="0"/>
        <w:tabs>
          <w:tab w:leader="none" w:pos="4820" w:val="left"/>
        </w:tabs>
        <w:rPr>
          <w:sz w:val="20"/>
          <w:szCs w:val="20"/>
          <w:color w:val="auto"/>
        </w:rPr>
      </w:pPr>
      <w:r>
        <w:rPr>
          <w:rFonts w:ascii="Arial" w:cs="Arial" w:eastAsia="Arial" w:hAnsi="Arial"/>
          <w:sz w:val="18"/>
          <w:szCs w:val="18"/>
          <w:b w:val="1"/>
          <w:bCs w:val="1"/>
          <w:color w:val="auto"/>
        </w:rPr>
        <w:t>Use of Proceeds</w:t>
      </w:r>
      <w:r>
        <w:rPr>
          <w:sz w:val="20"/>
          <w:szCs w:val="20"/>
          <w:color w:val="auto"/>
        </w:rPr>
        <w:tab/>
      </w:r>
      <w:r>
        <w:rPr>
          <w:rFonts w:ascii="Arial" w:cs="Arial" w:eastAsia="Arial" w:hAnsi="Arial"/>
          <w:sz w:val="17"/>
          <w:szCs w:val="17"/>
          <w:color w:val="auto"/>
        </w:rPr>
        <w:t>We will not receive any proceeds from the sale of</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6"/>
          <w:szCs w:val="16"/>
          <w:color w:val="auto"/>
        </w:rPr>
        <w:t>shares of Class A Common Stock or Warrants by the</w:t>
      </w:r>
    </w:p>
    <w:p>
      <w:pPr>
        <w:spacing w:after="0" w:line="32"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Selling Securityholders.</w:t>
      </w:r>
    </w:p>
    <w:p>
      <w:pPr>
        <w:sectPr>
          <w:pgSz w:w="11900" w:h="16838" w:orient="portrait"/>
          <w:cols w:equalWidth="0" w:num="1">
            <w:col w:w="9019"/>
          </w:cols>
          <w:pgMar w:left="1440" w:top="265" w:right="1440" w:bottom="1440" w:gutter="0" w:footer="0" w:header="0"/>
          <w:type w:val="continuous"/>
        </w:sect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162560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 w:name="page12"/>
    <w:bookmarkEnd w:id="11"/>
    <w:p>
      <w:pPr>
        <w:ind w:left="108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569"/>
        </w:trPr>
        <w:tc>
          <w:tcPr>
            <w:tcW w:w="1100" w:type="dxa"/>
            <w:vAlign w:val="bottom"/>
            <w:tcBorders>
              <w:right w:val="single" w:sz="8" w:color="auto"/>
            </w:tcBorders>
          </w:tcPr>
          <w:p>
            <w:pPr>
              <w:spacing w:after="0"/>
              <w:rPr>
                <w:sz w:val="24"/>
                <w:szCs w:val="24"/>
                <w:color w:val="auto"/>
              </w:rPr>
            </w:pPr>
          </w:p>
        </w:tc>
        <w:tc>
          <w:tcPr>
            <w:tcW w:w="4200" w:type="dxa"/>
            <w:vAlign w:val="bottom"/>
            <w:tcBorders>
              <w:top w:val="single" w:sz="8" w:color="auto"/>
            </w:tcBorders>
          </w:tcPr>
          <w:p>
            <w:pPr>
              <w:ind w:left="220"/>
              <w:spacing w:after="0"/>
              <w:rPr>
                <w:sz w:val="20"/>
                <w:szCs w:val="20"/>
                <w:color w:val="auto"/>
              </w:rPr>
            </w:pPr>
            <w:r>
              <w:rPr>
                <w:rFonts w:ascii="Arial" w:cs="Arial" w:eastAsia="Arial" w:hAnsi="Arial"/>
                <w:sz w:val="18"/>
                <w:szCs w:val="18"/>
                <w:b w:val="1"/>
                <w:bCs w:val="1"/>
                <w:color w:val="auto"/>
              </w:rPr>
              <w:t>Lock-Up Restrictions</w:t>
            </w:r>
          </w:p>
        </w:tc>
        <w:tc>
          <w:tcPr>
            <w:tcW w:w="468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color w:val="auto"/>
              </w:rPr>
              <w:t>Certain of our stockholders are subject to certain</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restrictions  on  transfer  until  the  termination  of</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applicable lock-up periods. See the section entitled</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“Certain   Relationships   and   Related   Party</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Transactions” for further discussion.</w:t>
            </w:r>
          </w:p>
        </w:tc>
        <w:tc>
          <w:tcPr>
            <w:tcW w:w="1040" w:type="dxa"/>
            <w:vAlign w:val="bottom"/>
          </w:tcPr>
          <w:p>
            <w:pPr>
              <w:spacing w:after="0"/>
              <w:rPr>
                <w:sz w:val="20"/>
                <w:szCs w:val="20"/>
                <w:color w:val="auto"/>
              </w:rPr>
            </w:pPr>
          </w:p>
        </w:tc>
      </w:tr>
      <w:tr>
        <w:trPr>
          <w:trHeight w:val="337"/>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w w:val="95"/>
              </w:rPr>
              <w:t>Market for Class A Common Stock and Warrants</w:t>
            </w: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w w:val="96"/>
              </w:rPr>
              <w:t>Our Class A Common Stock and Public Warrants are</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currently  traded  on  Nasdaq  under  the  symbols</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“MAPS” and “MAPSW,” respectively.</w:t>
            </w:r>
          </w:p>
        </w:tc>
        <w:tc>
          <w:tcPr>
            <w:tcW w:w="1040" w:type="dxa"/>
            <w:vAlign w:val="bottom"/>
          </w:tcPr>
          <w:p>
            <w:pPr>
              <w:spacing w:after="0"/>
              <w:rPr>
                <w:sz w:val="20"/>
                <w:szCs w:val="20"/>
                <w:color w:val="auto"/>
              </w:rPr>
            </w:pPr>
          </w:p>
        </w:tc>
      </w:tr>
      <w:tr>
        <w:trPr>
          <w:trHeight w:val="350"/>
        </w:trPr>
        <w:tc>
          <w:tcPr>
            <w:tcW w:w="1100" w:type="dxa"/>
            <w:vAlign w:val="bottom"/>
            <w:tcBorders>
              <w:right w:val="single" w:sz="8" w:color="auto"/>
            </w:tcBorders>
          </w:tcPr>
          <w:p>
            <w:pPr>
              <w:spacing w:after="0"/>
              <w:rPr>
                <w:sz w:val="24"/>
                <w:szCs w:val="24"/>
                <w:color w:val="auto"/>
              </w:rPr>
            </w:pPr>
          </w:p>
        </w:tc>
        <w:tc>
          <w:tcPr>
            <w:tcW w:w="4200" w:type="dxa"/>
            <w:vAlign w:val="bottom"/>
          </w:tcPr>
          <w:p>
            <w:pPr>
              <w:ind w:left="220"/>
              <w:spacing w:after="0"/>
              <w:rPr>
                <w:sz w:val="20"/>
                <w:szCs w:val="20"/>
                <w:color w:val="auto"/>
              </w:rPr>
            </w:pPr>
            <w:r>
              <w:rPr>
                <w:rFonts w:ascii="Arial" w:cs="Arial" w:eastAsia="Arial" w:hAnsi="Arial"/>
                <w:sz w:val="18"/>
                <w:szCs w:val="18"/>
                <w:b w:val="1"/>
                <w:bCs w:val="1"/>
                <w:color w:val="auto"/>
              </w:rPr>
              <w:t>Risk Factors</w:t>
            </w: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See the section entitled “Risk Factors” and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information  included  in  this  prospectus  for  a</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4200" w:type="dxa"/>
            <w:vAlign w:val="bottom"/>
          </w:tcPr>
          <w:p>
            <w:pPr>
              <w:spacing w:after="0"/>
              <w:rPr>
                <w:sz w:val="18"/>
                <w:szCs w:val="18"/>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discussion of factors you should consider before</w:t>
            </w:r>
          </w:p>
        </w:tc>
        <w:tc>
          <w:tcPr>
            <w:tcW w:w="1040" w:type="dxa"/>
            <w:vAlign w:val="bottom"/>
          </w:tcPr>
          <w:p>
            <w:pPr>
              <w:spacing w:after="0"/>
              <w:rPr>
                <w:sz w:val="18"/>
                <w:szCs w:val="18"/>
                <w:color w:val="auto"/>
              </w:rPr>
            </w:pPr>
          </w:p>
        </w:tc>
      </w:tr>
      <w:tr>
        <w:trPr>
          <w:trHeight w:val="230"/>
        </w:trPr>
        <w:tc>
          <w:tcPr>
            <w:tcW w:w="1100" w:type="dxa"/>
            <w:vAlign w:val="bottom"/>
            <w:tcBorders>
              <w:right w:val="single" w:sz="8" w:color="auto"/>
            </w:tcBorders>
          </w:tcPr>
          <w:p>
            <w:pPr>
              <w:spacing w:after="0"/>
              <w:rPr>
                <w:sz w:val="20"/>
                <w:szCs w:val="20"/>
                <w:color w:val="auto"/>
              </w:rPr>
            </w:pPr>
          </w:p>
        </w:tc>
        <w:tc>
          <w:tcPr>
            <w:tcW w:w="4200" w:type="dxa"/>
            <w:vAlign w:val="bottom"/>
          </w:tcPr>
          <w:p>
            <w:pPr>
              <w:spacing w:after="0"/>
              <w:rPr>
                <w:sz w:val="20"/>
                <w:szCs w:val="20"/>
                <w:color w:val="auto"/>
              </w:rPr>
            </w:pPr>
          </w:p>
        </w:tc>
        <w:tc>
          <w:tcPr>
            <w:tcW w:w="468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investing in our 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4200" w:type="dxa"/>
            <w:vAlign w:val="bottom"/>
            <w:tcBorders>
              <w:bottom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8</w:t>
            </w:r>
          </w:p>
        </w:tc>
        <w:tc>
          <w:tcPr>
            <w:tcW w:w="1040" w:type="dxa"/>
            <w:vAlign w:val="bottom"/>
          </w:tcPr>
          <w:p>
            <w:pPr>
              <w:spacing w:after="0"/>
              <w:rPr>
                <w:sz w:val="24"/>
                <w:szCs w:val="24"/>
                <w:color w:val="auto"/>
              </w:rPr>
            </w:pPr>
          </w:p>
        </w:tc>
      </w:tr>
      <w:tr>
        <w:trPr>
          <w:trHeight w:val="196"/>
        </w:trPr>
        <w:tc>
          <w:tcPr>
            <w:tcW w:w="1100" w:type="dxa"/>
            <w:vAlign w:val="bottom"/>
            <w:tcBorders>
              <w:bottom w:val="single" w:sz="8" w:color="auto"/>
            </w:tcBorders>
          </w:tcPr>
          <w:p>
            <w:pPr>
              <w:spacing w:after="0"/>
              <w:rPr>
                <w:sz w:val="17"/>
                <w:szCs w:val="17"/>
                <w:color w:val="auto"/>
              </w:rPr>
            </w:pPr>
          </w:p>
        </w:tc>
        <w:tc>
          <w:tcPr>
            <w:tcW w:w="4200" w:type="dxa"/>
            <w:vAlign w:val="bottom"/>
            <w:tcBorders>
              <w:bottom w:val="single" w:sz="8" w:color="auto"/>
            </w:tcBorders>
          </w:tcPr>
          <w:p>
            <w:pPr>
              <w:spacing w:after="0"/>
              <w:rPr>
                <w:sz w:val="17"/>
                <w:szCs w:val="17"/>
                <w:color w:val="auto"/>
              </w:rPr>
            </w:pPr>
          </w:p>
        </w:tc>
        <w:tc>
          <w:tcPr>
            <w:tcW w:w="46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265" w:right="439" w:bottom="1440" w:gutter="0" w:footer="0" w:header="0"/>
        </w:sectPr>
      </w:pPr>
    </w:p>
    <w:bookmarkStart w:id="12" w:name="page13"/>
    <w:bookmarkEnd w:id="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Investing in our securities involves risks. Before you make a decision to buy our securities, in addition to the risks and uncertainties discussed above under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Our business is subject to a number of risks, any of which could have an adverse effect on our business financial condition, operating results, or prospects:</w:t>
      </w:r>
    </w:p>
    <w:p>
      <w:pPr>
        <w:spacing w:after="0" w:line="62" w:lineRule="exact"/>
        <w:rPr>
          <w:sz w:val="20"/>
          <w:szCs w:val="20"/>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our costs increase, we may not be able to generate sufficient revenue to maintain profitability in the future.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fail to retain our existing clients and consumers or to acquire new clients and consumers in a cost-effective manner, our revenue may decrease and our business may be harmed.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fail to offer the optimal pricing of our products and solutions.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fail to expand effectively into new markets, our revenue and business will be adversely affected.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concentrated in California, and, as a result, our performance may be affected by factors unique to the California market.</w:t>
      </w:r>
    </w:p>
    <w:p>
      <w:pPr>
        <w:spacing w:after="0" w:line="62"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78" w:lineRule="exact"/>
        <w:rPr>
          <w:rFonts w:ascii="Arial" w:cs="Arial" w:eastAsia="Arial" w:hAnsi="Arial"/>
          <w:sz w:val="18"/>
          <w:szCs w:val="18"/>
          <w:color w:val="auto"/>
        </w:rPr>
      </w:pPr>
    </w:p>
    <w:p>
      <w:pPr>
        <w:jc w:val="both"/>
        <w:ind w:left="1000" w:right="299" w:hanging="348"/>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rFonts w:ascii="Arial" w:cs="Arial" w:eastAsia="Arial" w:hAnsi="Arial"/>
          <w:sz w:val="17"/>
          <w:szCs w:val="17"/>
          <w:color w:val="auto"/>
        </w:rPr>
      </w:pPr>
    </w:p>
    <w:p>
      <w:pPr>
        <w:jc w:val="both"/>
        <w:ind w:left="1000" w:right="299" w:hanging="348"/>
        <w:spacing w:after="0" w:line="272"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69"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business is dependent on U.S. state laws and regulations and Canadian federal and provincial laws and regulations pertaining to the cannabis industry.</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our business is dependent, in part, upon continued market acceptance of cannabis by consumers, any negative trends could adversely affect our business operations.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Expansion of our business is dependent on the continued legalization of cannabis.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clients and consumers using our platform fail to provide high-quality content that attracts consumers, we may not be able to generate sufficient consumer traffic to remain competitive.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business is highly dependent upon our brand recognition and reputation, and the erosion or degradation of our brand recognition or reputation would likely adversely affect our business and operating results.</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currently face intense competition in the cannabis information market, and we expect competition to further intensify as the cannabis industry continues to evolve.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manage our growth effectively, our brand, business and operating results could be harmed.</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are unable to recruit, train, retain and motivate key personnel, we may not achieve our business objectives.</w:t>
      </w:r>
    </w:p>
    <w:p>
      <w:pPr>
        <w:spacing w:after="0" w:line="62" w:lineRule="exact"/>
        <w:rPr>
          <w:rFonts w:ascii="Arial" w:cs="Arial" w:eastAsia="Arial" w:hAnsi="Arial"/>
          <w:sz w:val="18"/>
          <w:szCs w:val="18"/>
          <w:color w:val="auto"/>
        </w:rPr>
      </w:pPr>
    </w:p>
    <w:p>
      <w:pPr>
        <w:jc w:val="both"/>
        <w:ind w:left="1000" w:right="299" w:hanging="348"/>
        <w:spacing w:after="0" w:line="279" w:lineRule="auto"/>
        <w:tabs>
          <w:tab w:leader="none" w:pos="10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our current marketing model is not effective in attracting new clients, we may need to employ higher-cost sales and marketing methods to attract and retain clients, which could adversely affect our profitability.</w:t>
      </w:r>
    </w:p>
    <w:p>
      <w:pPr>
        <w:spacing w:after="0" w:line="75"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payment system and the payment systems of our clients depend on third-party providers and are subject to evolving laws and regulations.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trading price of our Class A Common Stock and Warrants have been, and may continue to be, volatile, and the value of our Class A Common Stock and Warrants may decline.</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48" w:lineRule="exact"/>
        <w:rPr>
          <w:sz w:val="20"/>
          <w:szCs w:val="20"/>
          <w:color w:val="auto"/>
        </w:rPr>
      </w:pPr>
    </w:p>
    <w:p>
      <w:pPr>
        <w:ind w:left="660" w:right="319"/>
        <w:spacing w:after="0" w:line="277" w:lineRule="auto"/>
        <w:rPr>
          <w:sz w:val="20"/>
          <w:szCs w:val="20"/>
          <w:color w:val="auto"/>
        </w:rPr>
      </w:pPr>
      <w:r>
        <w:rPr>
          <w:rFonts w:ascii="Arial" w:cs="Arial" w:eastAsia="Arial" w:hAnsi="Arial"/>
          <w:sz w:val="18"/>
          <w:szCs w:val="18"/>
          <w:b w:val="1"/>
          <w:bCs w:val="1"/>
          <w:i w:val="1"/>
          <w:iCs w:val="1"/>
          <w:color w:val="auto"/>
        </w:rPr>
        <w:t>As our costs increase, we may not be able to generate sufficient revenue to maintain profitability in the future.</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While our revenue has grown in recent periods, this growth may not be sustainable due to a number of factors, including the maturation of our business, slowdowns in the pace of issuance of new licenses to cannabis retailers and brands, and the eventual decline in the number of new major geographic markets in which the sale of cannabis is permitted and to which we have not already expanded. We may not be able to generate sufficient revenue to sustain profitability. Additionally, we expect our costs to increase in future periods as we expend substantial financial and other resources on, among other things:</w:t>
      </w:r>
    </w:p>
    <w:p>
      <w:pPr>
        <w:spacing w:after="0" w:line="84" w:lineRule="exact"/>
        <w:rPr>
          <w:sz w:val="20"/>
          <w:szCs w:val="20"/>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including continued investment in our current marketing efforts and future marketing initiatives;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hiring of additional employees, including in our product and engineering teams;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expansion domestically and internationally in an effort to increase our consumer and client usage, client base, and our sales to our clients;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 of new products, and increased investment in the ongoing development of our existing products;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our acquired companies into our operations; and</w:t>
      </w:r>
    </w:p>
    <w:p>
      <w:pPr>
        <w:spacing w:after="0" w:line="117"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9"/>
        </w:numPr>
        <w:rPr>
          <w:rFonts w:ascii="Arial" w:cs="Arial" w:eastAsia="Arial" w:hAnsi="Arial"/>
          <w:sz w:val="17"/>
          <w:szCs w:val="17"/>
          <w:color w:val="auto"/>
        </w:rPr>
      </w:pPr>
      <w:r>
        <w:rPr>
          <w:rFonts w:ascii="Arial" w:cs="Arial" w:eastAsia="Arial" w:hAnsi="Arial"/>
          <w:sz w:val="17"/>
          <w:szCs w:val="17"/>
          <w:color w:val="auto"/>
        </w:rPr>
        <w:t>general administration, including a significant increase in legal and accounting expenses related to public company compliance, continued compliance with various regulations applicable to cannabis industry businesses and other work arising from the growth and maturity of our company.</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These expenditures may not result in additional revenue or the growth of our business. If we fail to continue to grow revenue or to sustain profitability, the market price of our securities could decline, and our business, operating results and financial condition could be adversely affected.</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4" w:name="page15"/>
    <w:bookmarkEnd w:id="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If we fail to retain our existing clients and consumers or to acquire new clients and consumers in a cost-effective manner, our revenue may decrease and our business may be harmed.</w:t>
      </w:r>
    </w:p>
    <w:p>
      <w:pPr>
        <w:spacing w:after="0" w:line="3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compete in a dynamic, innovative market, which we expect will continue to evolve rapidly. We believe that our success is dependent on our ability to continue identifying and anticipating the needs of our clients and consumers and growing our two-sided network by retaining our existing clients and consumers and adding new clients and consumers. This two-sided network takes time to build and may grow more slowly than we expect or than it has grown in the past. As we have become larger through organic growth, the growth rates for MAUs, number of paying clients and monthly revenue per client have at times slowed and may similarly slow in the future, even if we continue to add clients and consumers on an absolute basis. Although we expect that our growth rates will continue to slow during certain periods as our business increases in size, if we fail to retain either our existing clients or consumers, the value of our two-sided network will be diminished.</w:t>
      </w:r>
    </w:p>
    <w:p>
      <w:pPr>
        <w:spacing w:after="0" w:line="7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the costs associated with client and consumer retention are substantially lower than costs associated with the acquisition of new clients or consumers. We have incurred significant costs to attract clients and consumers to our platform and expect to incur significant additional costs to attract and retain clients and consumers for the foreseeable future. Because expenditures on our platform can represent a significant financial investment for our clients, our ability to retain clients depends in part on our ability to create and maintain high levels of client and consumer satisfaction, which we may not always be capable of providing, including for reasons outside of our control. Additionally, in order to retain our clients, we may be required to identify ways to help our clients convert consumers more effectively. Our clients generally do not have long-term obligations to purchase our products and solutions and generally may cancel their use of our products and solutions at any time without penalty. Thus, any decrease in client satisfaction or other change negatively affecting our ability to retain clients could result in a rapid, concentrated impact to our results going forward. Therefore, our failure to retain existing clients or consumers, even if such losses are offset by an increase in revenue resulting from the acquisition of new clients or consumers, could have an adverse effect on our business and operating results.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fail to offer the optimal pricing of our products and solutions.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have limited experience in determining the optimal pricing of our products and solutions, including our newly acquired products and solutions, and we may need to change our pricing model from time to time. For example, at the end of 2020 we changed our pricing model for our subscription software services to our WM Business bundled software services model and increased the amount our clients need to pay to access our listing products. We also have historically priced our add-on premium offerings in a bid-auction format. Our ability to continue growing depends on our ability to maintain and expand our client base. If our clients do not believe the incremental additional cost we are charging for WM Business is justified by the additional components included in our software bundles or that our add-on offerings do not generate proper return on investment, such clients may decline to continue using our services, and our revenue and other financial results may be adversely impacted.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expand effectively into new markets, our revenue and business will be adversely affected.</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While a key part of our business strategy is to add clients and consumers in our existing geographic markets, we intend to expand our operations into new markets if and as cannabis continues to be legalized. Any such expansion places us in competitive markets with which we may be unfamiliar, requires us to analyze the potential applicability of new and potentially complicated regulations regarding the usage, sale and marketing of cannabis, and involves various risks, including the need to invest significant time and resources and the possibility that returns on such investments will not be achieved for several years, if at all. For example, we intend to expand in 2022 with the launch of our products and solutions and attracting and retaining clients and consumers on the East Coast. As a result of such expansion, we may incur losses or otherwise fail to enter new markets successfully. In attempting to establish a presence in new markets, we expect to incur significant expenses and face various other challenges, such as expanding our compliance efforts to cover those new markets. These efforts may prove more expensive than we currently anticipate, and we may not succeed in increasing our revenues sufficiently to offset these expenses. Our current and any future expansion plans will require significant resources and management attention.</w:t>
      </w:r>
    </w:p>
    <w:p>
      <w:pPr>
        <w:spacing w:after="0" w:line="16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concentrated in California, and, as a result, our performance may be affected by factors unique to the California market.</w:t>
      </w:r>
    </w:p>
    <w:p>
      <w:pPr>
        <w:spacing w:after="0" w:line="62"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California represents one of the largest state legal cannabis markets in the United States, and approximately 64.1% of our revenue for the year ended December 31, 2021, was generated in California. As new markets develop and our current markets expand, we anticipate that there will be a reduction in the percentage of our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generated in California, but we do not know with any certainty when and to what degree, if ever, this would occur. Moreover, the cannabis market in California is rapidly evolving, and we expect our growth in California to continue as the cannabis industry continues to develop, which could further concentrate our client base. As a result, our business and results of operations are particularly susceptible to trends in the California cannabis market, as well as adverse economic, regulatory, political and other conditions in California. Additionally, adverse economic, regulatory, political or other developments that are limited to California may have a disproportionately greater effect on us. In particular, we rely on licensed cannabis businesses to drive the growth of our revenue and the use of our products, and the failure of the licensed cannabis markets to sufficiently overtake or eliminate the illegal market may have an adverse effect on our ability to grow our revenue, particularly if the slow pace of licensing allows the illegal market to gain a foothold, which may be more likely to occur in jurisdictions with an extended period of time between the authorization of consumer possession and the time at which licensed retailers become operational. In such jurisdictions, the timeline for licensed cannabis businesses overtaking the illegal market may be extended.</w:t>
      </w:r>
    </w:p>
    <w:p>
      <w:pPr>
        <w:spacing w:after="0" w:line="1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b w:val="1"/>
          <w:bCs w:val="1"/>
          <w:i w:val="1"/>
          <w:iCs w:val="1"/>
          <w:color w:val="auto"/>
        </w:rPr>
        <w:t>Federal law enforcement may deem our clients to be in violation of U.S. federal law, and, in particular the CSA. A change in U.S. federal policy on cannabis enforcement and strict enforcement of federal cannabis laws against our clients would undermine our business model and materially affect our business and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U.S. federal law, and more specifically the CSA, proscribes the cultivation, processing, distribution, sale, advertisement and possession of cannabis. As a result, U.S. federal law enforcement authorities, in their attempt to regulate the illegal or unauthorized production, distribution, promotion, sale, possession, or use of cannabis, may seek to bring criminal actions against our clients under the CSA. On August 4, 2021, the U.S. Attorney’s Office for the Eastern District of California (“DOJ”) withdrew a subpoena served on us in September 2019, and informed us that it had no present plan to exercise its discretion to proceed further in the matter. The DOJ also stated that its decision was not a grant of immunity, however, and there can be no assurance that the DOJ — either the U.S. Attorney’s Office for the Eastern District of California or another DOJ entity — will not initiate another investigation in the future. If our clients are found to be violating U.S. federal law relating to cannabis, they may be subject not only to criminal charges and convictions, but also to forfeiture of property, significant fines and penalties, disgorgement of profits, administrative sanctions, cessation of business activities, or civil liabilities arising from proceedings initiated by either the U.S. government or private citizens. Any of these actions or consequences on our clients could have a material adverse effect on our business, operating results or financial condition, or could force us to cease operations, and as a result, our investors could lose their entire investment.</w:t>
      </w:r>
    </w:p>
    <w:p>
      <w:pPr>
        <w:spacing w:after="0" w:line="6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Further, to the extent any law enforcement actions require us to respond to subpoenas, or undergo search warrants, for client records, cannabis businesses could elect to cease using our products. Until the U.S. federal government changes the laws with respect to cannabis, and particularly if the U.S. Congress does not extend the Omnibus Spending Bill’s protection of state medical cannabis programs, described below, to apply to all state cannabis programs, U.S. federal authorities could more strictly enforce current federal prohibitions and restrictions. An increase in federal enforcement against companies licensed under state cannabis laws could negatively impact the state cannabis industries and, in turn, our business, operating results, financial condition, brand and reputation.</w:t>
      </w:r>
    </w:p>
    <w:p>
      <w:pPr>
        <w:spacing w:after="0" w:line="16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that engage in false or deceptive advertising practices to use our solutions may subject us to negative publicity, which could have similar adverse impacts on us.</w:t>
      </w:r>
    </w:p>
    <w:p>
      <w:pPr>
        <w:spacing w:after="0" w:line="6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clients are contractually required to represent, warrant and covenant to us that they conduct their business in compliance with applicable state law, which includes any applicable licensing requirements and the regulatory framework enacted by each state or province in which they do business. Clients further contractually agree to indemnify us for any damages we may suffer as a result of their noncompliance. We rely on our clients’ contractual representations, and generally do not verify them, other than with respect to the licensing information of our clients operating cannabis retail businesses, where we currently require such clients to provide evidence of a valid state or provincial cannabis license prior to their initial access and from time to time during the term of their use of such products. Previously, we only required retail listings and premium placement clients to provide us with a state license number at the time we initially onboarded them, and did not routinely validate whether that license number actually was authorized for use by the client or whether it remains valid. We require all operational cannabis retailer clients,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 w:name="page17"/>
    <w:bookmarkEnd w:id="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including storefronts and delivery services, to display on their listing a valid, unexpired state-issued license number. We also currently require cannabis brand clients to provide evidence of a valid state or provincial license in order to get access to our listings and premium placement products. Additionally, many states do not require a license to sell CBD products at retail, and the illicit market could fraudulently attempt to use our CBD listings product to sell products containing THC. While we periodically audit and respond to reports related to our CBD listings, it is difficult to monitor the individual products listed, and marketing claims contained, in the listings of our CBD clients. As a result, some of our clients or their listings currently and in the future may not be in compliance with licensing and related requirements under applicable state or provincial laws and regulations. There could be legal enforcement actions against unlicensed or insufficiently licensed entities selling cannabis or CBD, which could negatively impact us.</w:t>
      </w:r>
    </w:p>
    <w:p>
      <w:pPr>
        <w:spacing w:after="0" w:line="8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Any legal or regulatory enforcement against us based on the business solutions that we offer, the third-party content available on our platform or noncompliance by our clients with licensing and other legal requirements, could subject us to various risks, including monetary penalties and the risk that we elect or are compelled to remove content from our platform and would likely cause us to experience negative publicity. Any of these developments could materially and adversely impact our business, operating results, financial condition, brand, and reputation.</w:t>
      </w:r>
    </w:p>
    <w:p>
      <w:pPr>
        <w:spacing w:after="0" w:line="161" w:lineRule="exact"/>
        <w:rPr>
          <w:sz w:val="20"/>
          <w:szCs w:val="20"/>
          <w:color w:val="auto"/>
        </w:rPr>
      </w:pPr>
    </w:p>
    <w:p>
      <w:pPr>
        <w:jc w:val="both"/>
        <w:ind w:left="300" w:right="299" w:firstLine="360"/>
        <w:spacing w:after="0" w:line="316" w:lineRule="auto"/>
        <w:rPr>
          <w:sz w:val="20"/>
          <w:szCs w:val="20"/>
          <w:color w:val="auto"/>
        </w:rPr>
      </w:pPr>
      <w:r>
        <w:rPr>
          <w:rFonts w:ascii="Arial" w:cs="Arial" w:eastAsia="Arial" w:hAnsi="Arial"/>
          <w:sz w:val="15"/>
          <w:szCs w:val="15"/>
          <w:b w:val="1"/>
          <w:bCs w:val="1"/>
          <w:i w:val="1"/>
          <w:iCs w:val="1"/>
          <w:color w:val="auto"/>
        </w:rPr>
        <w:t>While our solutions provide features to support our clients’ compliance with the complex, disparate and constantly evolving regulations and other legal requirements applicable to the cannabis industry, we generally do not, and cannot, ensure that our clients will conduct their business activities in a manner compliant with such regulations and requirements. As a result, federal, state, provincial or local government authorities may seek to bring criminal, administrative or regulatory enforcement actions against our clients, which could have a material adverse effect on our business, operating results or financial conditions, or could force us to cease operations.</w:t>
      </w:r>
    </w:p>
    <w:p>
      <w:pPr>
        <w:spacing w:after="0" w:line="4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While our solutions provide features to support our clients’ compliance with certain regulations and other legal requirements applicable to the cannabis industry, we generally do not, and cannot, ensure that our clients will conduct their business activities in a manner compliant with such regulations and requirements, in whole or in part. Their legal noncompliance could result in regulatory and even criminal actions against them, which could a material adverse impact on our business and operating results or financial condition, and as a result, our investors could lose their entire investment. For additional information, see the other risk factors in this section entitled “Risk Factors— Risks Related to our Business and Industry,” including “Some of our clients or their listings currently and in the future may not be in compliance with licensing and related requirements under applicable laws and regulations. Allowing unlicensed or noncompliant businesses to access our products, or allowing businesses to use our solutions in a noncompliant manner, may subject us to legal or regulatory enforcement and negative publicity, which could adversely impact our business, operating results, financial condition, brand and reputation. In addition, allowing businesses who engage in false or deceptive advertising practices to use our solutions may subject us to negative publicity, which could have similar adverse impacts on us.”</w:t>
      </w:r>
    </w:p>
    <w:p>
      <w:pPr>
        <w:spacing w:after="0" w:line="1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business is dependent on U.S. state laws and regulations and Canadian federal and provincial laws and regulations pertaining to the cannabis industry.</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the federal CSA classifies cannabis as a Schedule I controlled substance, many U.S. states have legalized cannabis to varying degrees. In addition, the enactment of the Cannabis Act legalized the commercial cultivation and processing of cannabis for medical and adult-use purposes in Canada and created a federal legal framework for controlling the production, distribution, promotion, sale and possession of cannabis. The Cannabis Act also provides the provinces and territories of Canada with the authority to regulate other aspects of adult-use cannabis, such as distribution, sale, minimum age requirements (subject to the minimum set forth in the Cannabis Act), places where cannabis can be consumed, and a range of other matters. The governments of every Canadian province and territory have implemented regulatory regimes for the distribution and sale of cannabis for recreational purposes. In addition, subsection 23(1) of the Cannabis Act provides that it is prohibited to publish, broadcast or otherwise disseminate, on behalf of another person, with or without consideration, any promotion that is prohibited by a number of sections of the Cannabis Act. The Cannabis Act therefore includes provisions that could apply to certain aspects of our business, both directly to the solutions we provide and indirectly on account of any noncompliance by those who use our offerings. However, as the Cannabis Act has been recently enacted, there is a lack of available interpretation, application and enforcement of the provisions that may be relevant to digital platforms such as ours, and as a result, it is difficult to assess our potential exposure under the Cannabis Act.</w:t>
      </w:r>
    </w:p>
    <w:p>
      <w:pPr>
        <w:spacing w:after="0" w:line="5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Laws and regulations affecting the cannabis industry in U.S. states and Canada are continually changing. Any change or even the speed of changes could require us to incur substantial costs associated with compliance or alter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our business plan, and could detrimentally affect our operations, revenue, and profitability. Similarly, if the pace of issuance of new cannabis licenses is slower than expected, our ability to acquire new clients and grow our revenue could be harmed. The commercial cannabis industry is still a young industry, and we cannot predict the impact of the compliance regime to which it may be subject. We will incur ongoing costs and obligations related to regulatory compliance, and such costs may prove to be material. Failure to comply with regulations may result in additional costs for corrective measures, penalties or restrictions on our operations. In addition, changes in regulations, more vigorous enforcement thereof, or other unanticipated events could require extensive changes to our operations or increased compliance costs or give rise to material liabilities, which could have a material adverse effect on us.</w:t>
      </w:r>
    </w:p>
    <w:p>
      <w:pPr>
        <w:spacing w:after="0" w:line="5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Given the concentration of our revenue from the sale of listing products, any increase in the stringency of any applicable laws, including U.S. state, or Canadian federal, provincial or territorial, laws and regulations relating to cannabis, or any escalation in the enforcement of such existing laws and regulations against the current or putative cannabis industry within any jurisdiction, could negatively impact the profitability or viability of cannabis businesses in such affected jurisdictions, which in turn could materially adversely affect our business and operating results.</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although we have not yet been required to obtain any cannabis license as a result of existing cannabis regulations, it is possible that cannabis regulations may be enacted in the future that will require us to obtain such a cannabis license or otherwise seek to substantially regulate our business. Additionally, in some jurisdictions we may be required to seek and obtain a blanket approval of our platform in order to enable potential clients to access our services, and such approval may be subject to significant regulator discretion. U.S. and Canadian federal, state, provincial, local and other non-U.S. jurisdictions’ cannabis laws and regulations are broad in scope and subject to evolving interpretations, which could require us to incur substantial costs associated with compliance or alter our business plan. Our failure to adequately manage the risk associated with future regulations and adequately manage future compliance requirements may adversely affect our business, our status as a reporting company and our public listing. Further, any adverse pronouncements from political leaders or regulators about businesses related to the legal cannabis industry could adversely affect the price of our securities.</w:t>
      </w:r>
    </w:p>
    <w:p>
      <w:pPr>
        <w:spacing w:after="0" w:line="334"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b w:val="1"/>
          <w:bCs w:val="1"/>
          <w:i w:val="1"/>
          <w:iCs w:val="1"/>
          <w:color w:val="auto"/>
        </w:rPr>
        <w:t>The rapid changes in the cannabis industry and applicable laws and regulations make predicting and evaluating our future prospects difficult, and may increase the risk that we will not be successful.</w:t>
      </w:r>
    </w:p>
    <w:p>
      <w:pPr>
        <w:spacing w:after="0" w:line="38"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The cannabis industry - and the complex regulatory regime applicable to it - is evolving rapidly and may develop in ways that we cannot anticipate. The pace of dramatic change in the cannabis industry makes it difficult to assess our future prospects, and you should evaluate our business in light of the risks and difficulties we may encounter as the industry continues to evolve. These risks and difficulties include:</w:t>
      </w:r>
    </w:p>
    <w:p>
      <w:pPr>
        <w:spacing w:after="0" w:line="79" w:lineRule="exact"/>
        <w:rPr>
          <w:sz w:val="20"/>
          <w:szCs w:val="20"/>
          <w:color w:val="auto"/>
        </w:rPr>
      </w:pPr>
    </w:p>
    <w:p>
      <w:pPr>
        <w:jc w:val="both"/>
        <w:ind w:left="1000" w:right="319" w:hanging="348"/>
        <w:spacing w:after="0" w:line="263"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complex, disparate and rapidly evolving regulatory regimes imposed by U.S. and Canadian federal, state and provincial, local and other non-U.S. governments around the world applicable to cannabis and cannabis-related businesses;</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to rapidly evolving trends in the cannabis industry and the way consumers and cannabis industry businesses interact with technology;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and increasing our base of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continuing to preserve and build our brand while upgrading our existing offerings;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attracting, hiring, and retaining qualified personnel to manage operations;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adapting to changes in the cannabis industry if sales of cannabis expands significantly beyond a regulated model, and commodification of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implementing and executing our business and marketing strategies;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expanding our business into new and existing cannabis markets.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If the demand for our software solutions does not develop as we expect, or if we fail to address the needs of our clients or consumers, our business will be harmed. We may not be able to successfully address these risks and difficulties, which could harm our business and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Because our business is dependent, in part, upon continued market acceptance of cannabis by consumers, any negative trends could adversely affect our business operations.</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are dependent on public support, continued market acceptance and the proliferation of consumers in the state-level and Canadian legal cannabis markets. While we believe that the market and opportunities in the space will continue to grow, we cannot predict the future growth rate or size of the market. Any downturns in, or negative outlooks on, the cannabis industry may adversely affect our business and financial condition.</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Expansion of our business is dependent on the continued legalization of cannabis.</w:t>
      </w:r>
    </w:p>
    <w:p>
      <w:pPr>
        <w:spacing w:after="0" w:line="117"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Expansion of our business is in part dependent upon continued legislative authorization, including by voter initiatives and referenda, of cannabis in various jurisdictions worldwide. Any number of factors could slow, halt, or even reverse progress in this area. For example, some ballot measures in 2020 were delayed due to the COVID-19 pandemic. Further, progress for the industry, while encouraging, is not assured. While there may be ample public support for legislative action in a particular jurisdiction, numerous factors could impact the legislative process, including lobbying efforts by opposing stakeholders as well as legislators’ disagreements about how to legalize cannabis as well as the interpretation, implementation, and enforcement of applicable laws or regulations. Any one of these factors could slow or halt the legalization of cannabis, which would negatively impact our ability to expand our business. Additionally, the expansion of our business also depends on jurisdictions in which cannabis is currently legalized not narrowing, limiting or repealing existing laws legalizing and regulating cannabis, or altering the regulatory landscape in a way that diminishes the viability of cannabis businesses in those jurisdictions. For example, in April 2019, a lawsuit was filed in the Fresno County Superior Court challenging the California Bureau of Cannabis Control regulation that allowed cannabis businesses to deliver products in local jurisdictions which had prohibited the sale of cannabis. In November 2020, in a mixed result, the Fresno County Superior Court upheld the state regulation that allows licensed cannabis delivery companies to offer services anywhere in the state, while also affirming that cities and counties can forbid those operations, though enforcement of the bans is also up to the local governments. More litigation is likely to follow if local governments ban deliveries into their jurisdictions. This result may negatively impact the viability and attractiveness of our offerings in California going forward. We generated approximately 64.1% of our revenue for the year ended December 31, 2021 in California, and such developments may in turn have a material adverse effect on our business, operating results and financial condition. For more information, see “—Our business is concentrated in California, and, as a result, our performance may be affected by factors unique to the California market.” Additionally, if such challenges are successful in any other jurisdictions that have legalized or are in the process of legalizing cannabis, our ability to expand our business would be negatively impacted.</w:t>
      </w:r>
    </w:p>
    <w:p>
      <w:pPr>
        <w:spacing w:after="0" w:line="39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If clients and consumers using our platform fail to provide high-quality content that attracts consumers, we may not be able to generate sufficient consumer traffic to remain competitive.</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Our success depends on our platform providing consumers with useful information about our clients and their products, which in turn depends on the content provided by consumers and clients. For example, the platform will not provide useful information about cannabis brands or products if clients or consumers do not contribute content that is helpful and reliable, or if they remove previously submitted content.</w:t>
      </w:r>
    </w:p>
    <w:p>
      <w:pPr>
        <w:spacing w:after="0" w:line="63"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Additionally, if we filter out helpful content or fail to filter out unhelpful content, clients and consumers alike may stop or reduce their use of our platform and products, which could negatively impact our business. For example, in 2016, the media reported allegations that many of the consumer-generated reviews on our website were fake or inauthentic. Allegations made against us, whether or not accurate, can materially harm our reputation and operating results. While we are continually seeking to improve our ability to identify and remove offensive, biased, unreliable, inauthentic, duplicative, fraudulent or otherwise unhelpful content, and have implemented safeguards on the platform to facilitate those efforts, we cannot guarantee that those efforts or safeguards will be effective or adequate. If our website is not perceived as providing useful, accurate and current information about our clients and their products, consumers may stop or reduce their use of our platform, which could suppress the demand for our advertising placements and adversely affect our business and operating results.</w:t>
      </w:r>
    </w:p>
    <w:p>
      <w:pPr>
        <w:spacing w:after="0" w:line="1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is highly dependent upon our brand recognition and reputation, and the erosion or degradation of our brand recognition or reputation would likely adversely affect our business and operating results.</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We believe that our business is highly dependent on our brand identity and our reputation, which is critical to our ability to attract and retain clients and consumers. We also believe that the importance of our brand recognition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and reputation will continue to increase as competition in the markets in which we operate continues to develop. Our success in this area will depend on a wide range of factors, some of which are within our control and some of which are not. The factors affecting our brand recognition and reputation that are within our control include the following:</w:t>
      </w:r>
    </w:p>
    <w:p>
      <w:pPr>
        <w:spacing w:after="0" w:line="41" w:lineRule="exact"/>
        <w:rPr>
          <w:sz w:val="20"/>
          <w:szCs w:val="20"/>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efficacy of our marketing efforts;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a high-quality, innovative, and error- and bug-free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high satisfaction among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quality and perceived value of our platform;</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implementing and developing new features, including alternative revenue streams;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obtain, maintain and enforce trademarks and other indicia of origin that are valuable to our brand;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successfully differentiate our platform from competitors’ products;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compliance with laws and regulations, including those applicable to any political action committees affiliated with us and to our registered lobbying activities;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provide client support;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actual or perceived data breach or data loss, or misuse or perceived misuse of our platform.</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our brand recognition and reputation may be affected by factors that are outside our control, such</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w:t>
      </w:r>
    </w:p>
    <w:p>
      <w:pPr>
        <w:spacing w:after="0" w:line="103" w:lineRule="exact"/>
        <w:rPr>
          <w:sz w:val="20"/>
          <w:szCs w:val="20"/>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actions of competitors or other third parties;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quality and timeliness of our clients’ delivery businesses;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consumers’ experiences with clients or products identified through our platform;</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negative publicity regarding our company or operations, as well as with respect to events or activities attributed to us, our employees, partners, including celebrities who endorse or promote our brand, or others associated with any of these parties;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delays or attacks on our platform;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litigation or regulatory developments.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Damage to our reputation and loss of brand equity from one or more of the factors listed above may reduce demand for our platform and have an adverse effect on our business, operating results and financial condition. Moreover, any attempts to rebuild our reputation and restore the value of our brand may be costly and time-consuming, and such efforts may not ultimately be successful.</w:t>
      </w:r>
    </w:p>
    <w:p>
      <w:pPr>
        <w:spacing w:after="0" w:line="18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currently face intense competition in the cannabis information market, and we expect competition to further intensify as the cannabis industry continues to evolve.</w:t>
      </w:r>
    </w:p>
    <w:p>
      <w:pPr>
        <w:spacing w:after="0" w:line="62"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cannabis information market is rapidly evolving and is currently characterized by intense competition, due in part to relatively low barriers to entry. We expect competition to further intensify in the future as cannabis continues to be legalized and regulated, new technologies are developed and new participants enter the cannabis information market. Our direct competitors for individual components of our platform include cannabis-focused, two-sided networks like Leafly (for retailer listing pages), Dutchie and Jane Technologies (for menu embed and orders functionality), Leaflink and Leaftrade (for B2B sales) and a variety of cannabis-focused point-of-sale providers. In addition, our platform also may compete with current or potential products and solutions offered by internet search engines and advertising networks, like Google, general two-sided networks like Yelp, various other newspaper, television, media companies, outdoor billboard advertising, and online merchant platforms, such as Shopify, Square, and Lightspeed. For example, Uber Eats announced a partnership with a Canadian retailer in November 2021 to allow consumers to place cannabis orders for pickup via Uber Eats. If the regulatory regime for cannabis becomes more settled and the legal market for cannabis becomes more accepted, competition may further intensify as new participants may be encouraged to enter the cannabis information market, including established companies, such as tobacco and alcohol companies, with substantially greater financial, technical, and other resources than existing market participants. Additionally, as consumers and cannabis industry clients demand richer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integrations with other cannabis industry participants such as point-of-sale providers and loyalty service providers may become increasingly important. If we are unable to complete such new integrations as quickly as our competitors, or improve our existing integrations based on legacy systems, we may lose market share to such competitors. Our current and future competitors may also enjoy other competitive advantages, such as greater name recognition, more varied or more focused offerings, better market acceptance, and larger budgets. Some of our competitors recently raised significant amounts of capital. For example, in August 2021, Jane announced the closing of a $100 million Series C round of funding; in October 2021, Dutchie announced the closing of a $350 million Series D round of funding at a valuation of $3.75 billion; and in February 2022, Leafly became a public company and began trading on Nasdaq via a SPAC business combination. Our competitors may be able to use such capital infusions to more successfully enter new markets opening up, such as major east coast markets opening up in 2022.</w:t>
      </w:r>
    </w:p>
    <w:p>
      <w:pPr>
        <w:spacing w:after="0" w:line="6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Additionally, as the legalization of cannabis continues, cannabis cultivators and distributors could experience consolidation as existing cannabis businesses seek to obtain greater market share and purchasing power and new entrants seek to establish a significant market presence. Consolidation of the cannabis markets could reduce the size of our potential client base and give remaining clients greater bargaining or purchasing power. This may in turn erode the prices for our advertising placements and result in decreased margins. Consolidation could particularly affect smaller cannabis businesses, with whom we have historically conducted the majority of our business. Further, heightened competition between cannabis businesses could ultimately have a negative impact on the viability of individual market participants, which could reduce or eliminate their ability to purchase our products and solution.</w:t>
      </w:r>
    </w:p>
    <w:p>
      <w:pPr>
        <w:spacing w:after="0" w:line="5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If we are unable to compete effectively for any of these reasons, we may be unable to maintain our operations or develop our products and solutions, and as a result our business and operating results may be adversely affected.</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If we fail to manage our growth effectively, our brand, business and operating results could be harmed.</w:t>
      </w:r>
    </w:p>
    <w:p>
      <w:pPr>
        <w:spacing w:after="0" w:line="14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have experienced rapid organic growth in our headcount and operations, which places substantial demands on management and our operational infrastructure. As a result of our rapid growth, many of our employees have been with us for less than 24 months. To manage the expected growth of our operations and personnel, we will be required to improve existing, and implement new, transaction processing, operational and financial systems, procedures and controls. We will also be required to expand our finance, administrative and operations staff. We intend to continue making substantial investments in our technology, sales and data infrastructure. As we continue to grow, we must effectively integrate, develop and motivate a significant number of new employees, while maintaining the beneficial aspects of our existing corporate culture, which we believe fosters innovation, teamwork and a passion for our products and clients. In addition, our revenue may not grow at the same rate as the expansion of our business. There can be no assurance that our current and planned personnel, systems, procedures and controls will be adequate to support our future operations or that management will be able to hire, train, retrain, motivate and manage required personnel. If we are unable to manage our growth effectively, the quality of our platform, efficiency of our operations, and management of our expenses could suffer, which could negatively impact our brand, business, profitability and operating results.</w:t>
      </w:r>
    </w:p>
    <w:p>
      <w:pPr>
        <w:spacing w:after="0" w:line="1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If we are unable to recruit, train, retain and motivate key personnel, we may not achieve our business objectives.</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Our future success depends on our ability to recruit, train, retain and motivate key personnel, including Christopher Beals, our Chief Executive Officer; Brian Camire, our General Counsel; Justin Dean, our Chief Technology Officer and Chief Information Officer; Juanjo Feijoo, our Chief Operating Officer; and Arden Lee, our Chief Financial Officer. Competition for qualified personnel in the technology industry is intense, particularly in Southern California, where we are headquartered. Additionally, we face additional challenges in attracting, retaining and motivating highly qualified personnel due to our relationship to the cannabis industry, which is rapidly evolving and has varying levels of social acceptance. We generally do not maintain fixed term employment contracts or key man life insurance with any of our employees. Any failure to attract, train, retain and motivate qualified personnel could materially harm our operating results and growth prospects.</w:t>
      </w:r>
    </w:p>
    <w:p>
      <w:pPr>
        <w:spacing w:after="0" w:line="181"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b w:val="1"/>
          <w:bCs w:val="1"/>
          <w:i w:val="1"/>
          <w:iCs w:val="1"/>
          <w:color w:val="auto"/>
        </w:rPr>
        <w:t>We rely on search engine placement, syndicated content, paid digital advertising, and social media marketing to attract a meaningful portion of our clients and consumers. If we are not able to generate traffic to our website through search engines and paid digital advertising, or increase the profile of our company brand through social media engagement, our ability to attract new clients may be impaired.</w:t>
      </w:r>
    </w:p>
    <w:p>
      <w:pPr>
        <w:spacing w:after="0" w:line="63"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Many consumers locate our website through internet search engines, like Google, and paid digital advertisements in certain jurisdictions. The prominence of our website in response to internet searches is a critical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factor in the attractiveness of our advertising placements, and our digital marketing efforts, such as search engine optimization, are intended to improve our search result rankings and draw additional traffic to our website. Visits to our website could decline significantly if we are listed less prominently or fail to appear in search results for any reason, including ineffective implementation of our digital marketing strategies or any change by a search engine to its ranking algorithms or advertising policies.</w:t>
      </w:r>
    </w:p>
    <w:p>
      <w:pPr>
        <w:spacing w:after="0" w:line="8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Visits to our website could also decline if our accounts on Facebook, Instagram or Twitter are shut down or restricted. We work across these social networks to increase brand awareness of our company by consumers and clients, and to promote client acquisition. Our engagement on these social media platforms is subject to their respective terms of service and community guidelines, which generally restrict the promotion, sale and, often, depiction of cannabis. While we do not directly promote the sale of cannabis or cannabis-related products by our clients on these social media platforms, the perception that we may be engaging in such promotion or our inadvertent violation of other aspects of these platforms’ terms of service or community guidelines may result in our accounts being shut down or restricted. For example, our Instagram account was suspended in 2015, and it was recently suspended again in December 2021 until February 2022. Our accounts might also be suspended or restricted due to changes in the rules and regulations of such social media platforms. Any such suspension or restriction could result in reduced traffic to our website and diminished demand for our products, which could adversely affect our business and operating results.</w:t>
      </w:r>
    </w:p>
    <w:p>
      <w:pPr>
        <w:spacing w:after="0" w:line="17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If our current marketing model is not effective in attracting new clients, we may need to employ higher-cost sales and marketing methods to attract and retain clients, which could adversely affect our profitability.</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We use our sales team to build relationships with our client base. Our sales team builds and maintains relationships with clients primarily through phone and email contact, which is designed to allow us to cost-effectively service a large number of clients. We have significantly invested in our enterprise and field sales teams, and we may need to further employ more resource-intensive sales methods to continue to attract and retain clients, particularly as we increase the number of our clients and our client base employs more sophisticated marketing operations, strategies and processes. This could cause us to incur higher sales and marketing expenses, which could adversely affect our business and operating results.</w:t>
      </w:r>
    </w:p>
    <w:p>
      <w:pPr>
        <w:spacing w:after="0" w:line="17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If the Google Play Store or Apple iTunes App Store limit the functionality or availability of our mobile application platform, including as a result of changes or violations of terms and conditions, access to and utilization of our platform may suffer.</w:t>
      </w:r>
    </w:p>
    <w:p>
      <w:pPr>
        <w:spacing w:after="0" w:line="7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platform is available for download on iOS and Android, and is also accessible online. The availability of our platform and its various functionalities to a significant percentage of our clients is subject to standard policies and terms of service of these third-party platforms, which govern the promotion, distribution and operation generally of our platform. In addition, each platform provider has broad discretion to change and interpret its terms of service and other policies with respect to our platform and its functionalities, and those changes and interpretations may be unfavorable. A platform provider may also change its fee structure, add fees associated with access to and use of its platform, or restrict how users can access the platform, which would similarly be unfavorable.</w:t>
      </w:r>
    </w:p>
    <w:p>
      <w:pPr>
        <w:spacing w:after="0" w:line="5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For example, we have at times been unable to offer our WM Orders functionality in our iOS Weedmaps mobile application and are currently unable to offer such functionality in our Android Weedmaps mobile application due to restrictions imposed by the Apple iTunes App Store and Google Play, respectively. While our platform is still available in the Apple iTunes App Store and on Google Play for download, there can be no assurance that our platform or all of its functionalities will remain available in the immediate or longer term. To the extent that we are limited or prohibited from making some or all of our solutions available through any third-party platform, including the Apple iTunes App Store or the Google Play Store, we may need, or choose, to provide our solutions through alternative venues that may be more difficult for potential users to access. Limits on, or discontinuation of, access to our mobile platform or its various functionalities could, in turn, have a material adverse impact on utilization of our platform, our business, and our ability to attract clients and consumers.</w:t>
      </w:r>
    </w:p>
    <w:p>
      <w:pPr>
        <w:spacing w:after="0" w:line="16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We may be unable to scale and adapt our existing technology and network infrastructure in a timely or effective manner to ensure that our platform is accessible, which would harm our reputation, business and operating results.</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It is critical to our success that clients and consumers within our geographic markets be able to access our platform at all times. We have previously experienced service disruptions, and in the future, we may experience service disruptions, outages or other performance problems due to a variety of factors, including infrastructure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7" w:lineRule="auto"/>
        <w:rPr>
          <w:sz w:val="20"/>
          <w:szCs w:val="20"/>
          <w:color w:val="auto"/>
        </w:rPr>
      </w:pPr>
      <w:r>
        <w:rPr>
          <w:rFonts w:ascii="Arial" w:cs="Arial" w:eastAsia="Arial" w:hAnsi="Arial"/>
          <w:sz w:val="16"/>
          <w:szCs w:val="16"/>
          <w:color w:val="auto"/>
        </w:rPr>
        <w:t>changes, human or software errors, capacity constraints, and distributed denial of service, or DDoS, fraud or security attacks. In some instances, we may not be able to identify the cause or causes of these performance problems within an acceptable period of time. It may become increasingly difficult to maintain and improve the availability of our platform, especially during peak usage times and as our products become more complex and our traffic increases. If our platform is unavailable when consumers attempt to access it or it does not load as quickly as they expect, consumers may seek other solutions and may not return to our platform as often in the future, or at all. This would harm our ability to attract clients and decrease the frequency with which they subscribe for our advertising placements. We expect to continue to make significant investments to maintain and improve the availability of our platform and to enable rapid releases of new features and products. To the extent that we do not effectively address capacity constraints, respond adequately to service disruptions, upgrade our systems as needed or continually develop our technology and network architecture to accommodate actual and anticipated changes in technology, our business and operating results would be harmed.</w:t>
      </w:r>
    </w:p>
    <w:p>
      <w:pPr>
        <w:spacing w:after="0" w:line="6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expect to continue making significant investments in the functionality, performance, reliability, design, security and scalability of our platform. We may experience difficulties with the development of our platform that could delay or prevent the implementation of new solutions and enhancements. Software development involves a significant amount of time and resources for our product development team, and we may not be able to continue making those investments in the future.</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To the extent we are not able to continue successfully improving and enhancing our platform, our business could be adversely affected.</w:t>
      </w:r>
    </w:p>
    <w:p>
      <w:pPr>
        <w:spacing w:after="0" w:line="33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Our payment system and the payment systems of our clients depend on third-party providers and are subject to evolving laws and regulations.</w:t>
      </w:r>
    </w:p>
    <w:p>
      <w:pPr>
        <w:spacing w:after="0" w:line="62"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We have engaged third-party service providers to perform credit and debit card processing services for client’s payments to us, and we understand that some of our clients use those services, and we may engage third-party service providers in the future to provide fraud analysis services. We also may integrate with third-party service providers used by our clients to process payments made by consumers. If these service providers do not perform adequately or if our relationships, or the relationships of our clients, with these service providers were to terminate, our ability or the ability of our clients to process payments could be adversely affected and our business could be harmed. The laws and regulations related to payments are complex and are potentially impacted by tensions between federal and state treatment of the vaporization, tobacco, nicotine, cannabis, CBD and hemp, and cannabis accessories industries. These laws and regulations also vary across different jurisdictions in the United States, Canada and globally. As a result, we are required to spend significant time and effort to comply with those laws and regulations. Any failure or claim of our failure to comply, or any failure by our third-party service providers to comply, could cost us substantial resources, could result in liabilities, or could force us to stop offering our clients the ability to pay with credit cards, debit cards and bank transfers. As we expand the availability of these payment methods or offer new payment methods to our clients in the future, we may become subject to additional regulations and compliance requirements. Due to the constantly evolving and complex laws and regulations applicable to our industry, third-party merchant banks and third-party payment processors may consider our business a high risk. This could cause a third party to discontinue its services to us, and we may not be able to find a suitable replacement. If this were to occur, we would need to collect from our clients using less efficient methods, which could adversely impact our collections, revenues and financial performance. Additionally, if a third party were to discontinue its services to us or if the applicable laws and regulations were to evolve in a way that impacted us negatively, we may not be able to realize our plans of expanding our business offerings, which could have a material adverse effect on our operations and our plans for expansion. For more information, see “—We are subject to industry standards, governmental laws, regulations and other legal obligations, particularly related to privacy, data protection and information security, and any actual or perceived failure to comply with such obligations could harm our business” below.</w:t>
      </w:r>
    </w:p>
    <w:p>
      <w:pPr>
        <w:spacing w:after="0" w:line="9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Further, through our agreement with our third-party credit card processors, we are subject to payment card association operating rules and certification requirements, including restrictions on product mix and the Payment Card Industry Data Security Standard, or PCI-DSS. We are also subject to rules governing electronic funds transfers. Any change in these rules and requirements could make it difficult or impossible for us to comply. Additionally, any data breach or failure to hold certain information in accordance with PCI-DSS may have an adverse effect on our business and results of operations.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b w:val="1"/>
          <w:bCs w:val="1"/>
          <w:i w:val="1"/>
          <w:iCs w:val="1"/>
          <w:color w:val="auto"/>
        </w:rPr>
        <w:t>We track certain performance metrics with internal tools and do not independently verify such metrics. Certain of our performance metrics are subject to inherent challenges in measurement, and real or perceived inaccuracies in such metrics may harm our reputation and negatively affect our business.</w:t>
      </w:r>
    </w:p>
    <w:p>
      <w:pPr>
        <w:spacing w:after="0" w:line="4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calculate and track performance metrics with internal tools, which are not independently verified by any third-party. While we believe our metrics are reasonable estimates of our user or client base for the applicable period of measurement, the methodologies used to measure these metrics require significant judgment and may be susceptible to algorithm or other technical errors. For example, user accounts are based on email addresses, and a user could use multiple email addresses to establish multiple accounts, and clients in many instances will have multiple accounts. As a result, the data we report may not be accurate. Our internal tools and processes we use to identify multiple accounts or fraudulent accounts have a number of limitations, and our methodologies for tracking key metrics may change over time, which could result in unexpected changes to our metrics, including historical metrics. Our ability to recalculate our historical metrics may be impacted by data limitations or other factors that require us to apply different methodologies for such adjustments and we generally do not intend to update previously disclosed metrics for any such changes. Though we regularly review our processes for calculating metrics and may adjust our processes for calculating metrics to improve their accuracy, limitations or errors with respect to how we measure data (or the data that we measure) may affect our understanding of certain details of our business, which could affect our longer term strategies. If our performance metrics are not accurate representations of our business, user or client base, or traffic levels; if we discover material inaccuracies in our metrics; or if the metrics we rely on to track our performance do not provide an accurate measurement of our business, user or client base or traffic levels, we may not be able to effectively implement our business strategy, our reputation may be harmed, and our operating and financial results could be adversely affected.</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clients and investors rely on our key metrics as a representation of our performance. If these third parties do not perceive our user metrics to be accurate representations of our user base or user engagement, or if we discover material inaccuracies in our user metrics, our reputation may be harmed and retailers may be less willing to list a business on our platform, which could negatively affect our business, financial condition, or results of operations.</w:t>
      </w:r>
    </w:p>
    <w:p>
      <w:pPr>
        <w:spacing w:after="0" w:line="32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We may be unable to prevent others from aggregating or misappropriating data from our websites.</w:t>
      </w:r>
    </w:p>
    <w:p>
      <w:pPr>
        <w:spacing w:after="0" w:line="12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From time to time, third parties have misappropriated data from our website through website scraping, software robots or other means, and aggregated this data on their websites with data from other companies. Additionally, copycat websites have misappropriated data on our network and attempted to imitate our brand or the functionality of our website. We may be unable to detect all such websites in a timely manner and even timely technological and legal measures may be insufficient to halt their operations or protect us against the impact of the operation of such websites. Regardless of whether we can successfully enforce our rights against the operators of these websites, any measures that we may take could require us to expend significant financial or other resources, which could harm our business, operating results or financial condition. In addition, to the extent that such activity creates confusion among clients or consumers, decreases the likelihood that consumers use our platform to access information, or reduces the distinctiveness of our products in the marketplace, our brand and business could be harmed.</w:t>
      </w:r>
    </w:p>
    <w:p>
      <w:pPr>
        <w:spacing w:after="0" w:line="3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Real or perceived errors, failures, or bugs in our platform could adversely affect our operating results and growth prospects.</w:t>
      </w:r>
    </w:p>
    <w:p>
      <w:pPr>
        <w:spacing w:after="0" w:line="62"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We update our platform on a frequent basis. Despite efforts to test our updates, errors, failures or bugs may not be found in our platform until after it is deployed to our clients. We have discovered and expect we will continue to discover errors, failures and bugs in our platform and anticipate that certain of these errors, failures and bugs will only be discovered and remediated after deployment to clients. Real or perceived errors, failures or bugs in our platform could result in negative publicity, security incidents, such as data breaches, government inquiries, loss of or delay in market acceptance of our platform, loss of competitive position, or claims by clients for losses sustained by them. In such an event, we may be required, or may choose, for client relations or other reasons, to expend additional resources in order to help correct the problem.</w:t>
      </w:r>
    </w:p>
    <w:p>
      <w:pPr>
        <w:spacing w:after="0" w:line="70"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implement bug fixes and upgrades as part of our regular system maintenance, which may lead to system downtime. Even if we are able to implement the bug fixes and upgrades in a timely manner, any history of inaccuracies in the data we collect for our clients, or unauthorized access or damage to, or the loss, acquisition, or inadvertent release or exposure of confidential or other sensitive data could cause our reputation to be harmed and result in claims against us, and cannabis businesses may elect not to purchase our products or, in the case of existing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clients, renew their agreements with us or we may incur increased insurance costs. The costs associated with any material defects or errors in our software or other performance problems may be substantial and could harm our operating results and growth prospects.</w:t>
      </w:r>
    </w:p>
    <w:p>
      <w:pPr>
        <w:spacing w:after="0" w:line="18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distributed denial of service attack, ransomware attack, security breach or unauthorized data access could impair or incapacitate our information technology systems and delay or interrupt service to our clients and consumers, harm our reputation, or subject us to significant liability.</w:t>
      </w:r>
    </w:p>
    <w:p>
      <w:pPr>
        <w:spacing w:after="0" w:line="5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may become subject to DDoS attacks, a technique used by hackers to take an internet service offline by overloading its servers. In addition, ransomware attacks against businesses of all sizes are becoming increasingly common. Further, as a result of the COVID-19 pandemic, we may face increased cybersecurity risks due to our reliance on internet technology and the number of our employees who are working remotely, which may create additional opportunities for cybercriminals to exploit vulnerabilities. Our platform may be subject to DDoS, ransomware or other cybersecurity attacks in the future and we cannot guarantee that applicable recovery systems, security protocols, network protection mechanisms and other procedures are or will be adequate to prevent network and service interruption, system failure or data loss. Moreover, our platform could be breached if vulnerabilities in our platform are exploited by unauthorized third parties or others. Techniques used to obtain unauthorized access change frequently, and the size of DDoS attacks and the number and types of ransomware attacks are increasing. As a result, we may be unable to implement adequate preventative measures or stop such attacks while they are occurring. A DDoS attack, ransomware attack or security breach could delay or interrupt service to our clients and consumers and may deter the utilization of our platform.</w:t>
      </w:r>
    </w:p>
    <w:p>
      <w:pPr>
        <w:spacing w:after="0" w:line="6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use information technology and security systems to maintain the physical security of our facilities and to protect our proprietary and confidential information, including that of our clients, consumers, and employees. Accidental or willful security breaches or other unauthorized access to our facilities or information systems, or viruses, loggers, malware, ransomware, or other malfeasant code in our data or software, could compromise this information or render our systems and data unusable. Additionally, we rely on a number of third-party “cloud-based” providers of corporate infrastructure services relating to, among other things, human resources, electronic communication services, some financial functions, and systems used to provide solutions to our clients, and we are therefore dependent on the security systems of these providers. Any security breaches or other unauthorized access to our service providers’ facilities or systems, or viruses, loggers, malware, ransomware or other malfeasant code in their data or software, could expose us to information loss, and misappropriation of confidential information, and other security breaches. In addition, our employees, contractors, or other third parties with whom we do business may attempt to circumvent security measures in order to misappropriate personal information, confidential information or other data, or may inadvertently release or compromise such data. Because the techniques used to obtain unauthorized access to or sabotage security systems, or to obtain unauthorized access to data we or our contractors maintain, change frequently and are often not recognized until after an attack, we and our service providers may be unable to anticipate the techniques or implement adequate preventative measures.</w:t>
      </w:r>
    </w:p>
    <w:p>
      <w:pPr>
        <w:spacing w:after="0" w:line="68"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Any actual or perceived DDoS attack, ransomware attack, security breach or other unauthorized access could damage our reputation and brand, result in decreased utilization of our platform, expose us to fines and penalties, government investigations, and a risk of litigation and possible liability, require us to expend significant capital and other resources to alleviate any resulting problems and otherwise to remediate the incident, and require us to expend increased cybersecurity protection costs. We expect to incur significant costs in an effort to detect and prevent security breaches and other security related incidents. Numerous state, federal and foreign laws and regulations require companies to notify individuals and/or regulatory authorities of data security breaches involving certain types of personal data. Any disclosures of security breaches, pursuant to these laws or regulations or otherwise, could lead to regulatory investigations and enforcement and negative publicity, and may cause our clients and consumers to lose confidence in the effectiveness of our data security measures.</w:t>
      </w:r>
    </w:p>
    <w:p>
      <w:pPr>
        <w:spacing w:after="0" w:line="60"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our discovery of any security breach or other security-related incident, or our provision of any related notice, may be delayed or be perceived to have been delayed. Any of these impacts or circumstances arising from an actual or perceived attack, breach or other unauthorized access could materially and adversely affect our business, financial condition, reputation and relationships with clients and consumers.</w:t>
      </w:r>
    </w:p>
    <w:p>
      <w:pPr>
        <w:spacing w:after="0" w:line="63"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Furthermore, while our errors and omissions insurance policies include liability coverage for certain of these matters, if we experienced a significant security incident, we could be subject to claims or damages that exceed our insurance coverage. We also cannot be certain that our insurance coverage will be adequate for data handling or data security liabilities actually incurred, that insurance will continue to be available to us on economically reasonable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insurance requirements, could have a material and adverse effect on our business, including our financial condition, operating results, and reputation.</w:t>
      </w:r>
    </w:p>
    <w:p>
      <w:pPr>
        <w:spacing w:after="0" w:line="15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We rely upon cloud-based data centers, infrastructure and technologies provided by third parties, and technology systems and electronic networks supplied and managed by third parties, to operate our business, and interruptions or performance problems with these systems, technologies and networks may adversely affect our business and operating results.</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rely on data centers and other technologies and services provided by third parties in order to host our cloud-based infrastructure that operates our business. If any of these services becomes unavailable or otherwise is unable to serve our requirements due to extended outages, interruptions, or facility closure, or because it is no longer available on commercially reasonable terms, our expenses could increase, our ability to manage finances could be interrupted and our operations otherwise could be disrupted or otherwise impacted until appropriate substitute services, if available, are identified, obtained, and implemented.</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do not control, or in some cases have limited control over, the operation of the data center facilities and infrastructure we use, and they are vulnerable to damage or interruption from earthquakes, floods, fires, power loss, telecommunications failures, cyberattack, terrorism and similar other events. They may also be subject to break-ins, sabotage, intentional acts of vandalism and similar misconduct, to adverse events caused by operator error, and to interruptions, data loss or corruption, and other performance problems due to various factors, including introductions of new capabilities, technology errors, infrastructure changes, DDoS attacks, or other security-related incidents. Changes in law or regulations applicable to data centers in various jurisdictions could also cause a disruption in service. Despite precautions taken at these facilities, the occurrence of a natural disaster, an act of terrorism or other act of malfeasance, a decision to close the facilities without adequate notice or other unanticipated problems at these facilities could result in lengthy interruptions in our platform operations and the loss, corruption of, unauthorized access to or acquisition of client or consumer data.</w:t>
      </w:r>
    </w:p>
    <w:p>
      <w:pPr>
        <w:spacing w:after="0" w:line="7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Our platform also depends on our ability to communicate through the public internet and electronic networks that are owned and operated by third parties. In addition, in order to provide our solutions on-demand and promptly, our computer equipment and network servers must be functional 24 hours per day, which requires access to telecommunications facilities managed by third parties and the availability of electricity, which we do not control. A severe disruption of one or more of these networks or facilities, including as a result of utility or third-party system interruptions, could impair our ability to process information and provide our solutions to our clients and consumers.</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Any unavailability of, or failure to meet our requirements by, third-party data centers or other third-party technologies or services, or any disruption of the internet, utilities or the third-party networks or facilities that we rely upon, could impede our ability to make our platform accessible, harm our reputation, result in reduced traffic from consumers, cause us to issue refunds or credits to our clients, and subject us to potential liabilities. Any of these circumstances could adversely affect our business, reputation and operating results.</w:t>
      </w:r>
    </w:p>
    <w:p>
      <w:pPr>
        <w:spacing w:after="0" w:line="176" w:lineRule="exact"/>
        <w:rPr>
          <w:sz w:val="20"/>
          <w:szCs w:val="20"/>
          <w:color w:val="auto"/>
        </w:rPr>
      </w:pPr>
    </w:p>
    <w:p>
      <w:pPr>
        <w:jc w:val="both"/>
        <w:ind w:left="300" w:right="299" w:firstLine="360"/>
        <w:spacing w:after="0" w:line="327" w:lineRule="auto"/>
        <w:rPr>
          <w:sz w:val="20"/>
          <w:szCs w:val="20"/>
          <w:color w:val="auto"/>
        </w:rPr>
      </w:pPr>
      <w:r>
        <w:rPr>
          <w:rFonts w:ascii="Arial" w:cs="Arial" w:eastAsia="Arial" w:hAnsi="Arial"/>
          <w:sz w:val="15"/>
          <w:szCs w:val="15"/>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or anywhere else we operates, and the business or operations of our clients, consumers, partners or other third parties with whom we conduct business.</w:t>
      </w:r>
    </w:p>
    <w:p>
      <w:pPr>
        <w:spacing w:after="0" w:line="3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In connection with the COVID-19 pandemic, governments have implemented significant measures intended to control the spread of the virus, including closures, quarantines, travel restrictions and other social distancing directives, and fiscal stimulus, and legislation designed to deliver monetary aid and other relief.</w:t>
      </w:r>
    </w:p>
    <w:p>
      <w:pPr>
        <w:spacing w:after="0" w:line="5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To the extent that restrictions or prevention and mitigation measures are implemented in the future, there may be an adverse impact on global economic conditions and consumer confidence and spending, which could materially and adversely affect our operations as well as our relationships with clients and consumers. For instance, despite the overall increases in demand described below, some of our clients’ operations were initially significantly disrupted in certain jurisdictions, causing a temporary significant decrease in activity on our platform in those jurisdictions.</w:t>
      </w:r>
    </w:p>
    <w:p>
      <w:pPr>
        <w:spacing w:after="0" w:line="53"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Beginning in the first quarter of fiscal 2020, we experienced a significant increase in demand from retailers, including storefronts and delivery services, for our technology solutions (such as clients using WM Orders functionality to enable reservation of products by consumers for curbside pickup), which resulted in increased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revenue (including from technology services fees relating to product reservation orders submitted prior to December 31, 2020, although such per order fee has been eliminated effective January 1, 2021). Although we experienced increased consumer demand in the form of increases in MAU, we cannot determine what, if any, impact the pandemic had on our MAU growth in 2020. While we believe, like other industries, the pandemic accelerated existing trends towards consumer adoption of online platforms, we cannot be certain to what impact, if any, the end of the pandemic will have on our MAUs or MAU growth. To the extent the circumstances that accelerated the initial growth of our business stemmed from the effects of the COVID-19 pandemic, this may not continue in the future, and the growth rates in revenue and increases in MAUs may decline in future periods.</w:t>
      </w:r>
    </w:p>
    <w:p>
      <w:pPr>
        <w:spacing w:after="0" w:line="5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Shelter-in-place orders and similar regulations impact our client’s ability to operate their businesses, consumers’ ability to pick up orders, and our client’s ability to make deliveries. Such events have in the past caused, and may in the future cause, a temporary closure of our clients’ businesses, either due to government mandate or voluntary preventative measures, and many of our clients may not be able to withstand prolonged interruptions to their businesses, and may be forced to go out of business. Even if our clients are able to continue to operate their businesses, many may operate with limited hours and capacity and other limitations. Any limitations on or disruptions or closures of our clients’ businesses could adversely affect our business. Further, we may experience a decrease in new clients due to a lack of financial resources or a decline in new markets as businesses and financial markets deal with the impact of COVID-19. Further, these conditions may impact our ability to access financial markets to obtain the necessary funding to expand our business as currently contemplated, which may adversely affect our liquidity and working capital.</w:t>
      </w:r>
    </w:p>
    <w:p>
      <w:pPr>
        <w:spacing w:after="0" w:line="7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Even if a virus or other disease does not spread significantly and such measures are not implemented, the perceived risk of infection or significant health risk may adversely affect our business. Our clients may be perceived as unsafe during such public health threats, even for order delivery or pickup. If the services offered through our platform or at other businesses in our industry become a significant risk for transmitting COVID-19 or similar public health threats, or if there is a public perception that such risk exists, demand for the use of our platform would be adversely affected.</w:t>
      </w:r>
    </w:p>
    <w:p>
      <w:pPr>
        <w:spacing w:after="0" w:line="8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addition, the CARES Act and FFCRA were enacted to provide economic relief to businesses in response to the COVID-19 pandemic. Pursuant to the relief related to federal employment taxes provided in such legislation, we have (i) elected to defer eligible payroll taxes, which will be due in two equal installments in 2021 and 2022, and</w:t>
      </w:r>
    </w:p>
    <w:p>
      <w:pPr>
        <w:spacing w:after="0" w:line="2" w:lineRule="exact"/>
        <w:rPr>
          <w:sz w:val="20"/>
          <w:szCs w:val="20"/>
          <w:color w:val="auto"/>
        </w:rPr>
      </w:pPr>
    </w:p>
    <w:p>
      <w:pPr>
        <w:jc w:val="both"/>
        <w:ind w:left="300" w:right="299" w:hanging="8"/>
        <w:spacing w:after="0" w:line="269" w:lineRule="auto"/>
        <w:tabs>
          <w:tab w:leader="none" w:pos="573"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claimed certain employment-related tax credits under the legislation. While we may be eligible to receive some economic relief pursuant to the CARES Act, FFCRA or other legislation related to the COVID-19 pandemic, cannabis businesses may not be eligible to take full advantage of the government-sponsored COVID-19 relief packages. As a result, we may not benefit from these relief efforts to the same extent other businesses do in different industries. These relief measures, including the CARES Act, may be beneficial to us in one or more reporting periods but may adversely affect us on a going-forward basis. As of December 31, 2020, we had deferred payroll taxes of $1.8 million, all of which was paid during the second quarter of 2021.</w:t>
      </w:r>
    </w:p>
    <w:p>
      <w:pPr>
        <w:spacing w:after="0" w:line="72" w:lineRule="exact"/>
        <w:rPr>
          <w:sz w:val="20"/>
          <w:szCs w:val="20"/>
          <w:color w:val="auto"/>
        </w:rPr>
      </w:pPr>
    </w:p>
    <w:p>
      <w:pPr>
        <w:jc w:val="both"/>
        <w:ind w:left="300" w:right="319" w:firstLine="360"/>
        <w:spacing w:after="0" w:line="273" w:lineRule="auto"/>
        <w:rPr>
          <w:sz w:val="20"/>
          <w:szCs w:val="20"/>
          <w:color w:val="auto"/>
        </w:rPr>
      </w:pPr>
      <w:r>
        <w:rPr>
          <w:rFonts w:ascii="Arial" w:cs="Arial" w:eastAsia="Arial" w:hAnsi="Arial"/>
          <w:sz w:val="17"/>
          <w:szCs w:val="17"/>
          <w:color w:val="auto"/>
        </w:rPr>
        <w:t>The extent of COVID-19’s effect on our operational and financial performance will depend on future developments, including the duration, spread and intensity of the pandemic, the rate of vaccinations, all of which are uncertain and difficult to predict considering the rapidly evolving landscape. As a result, it is not currently possible to ascertain the overall impact of COVID-19 on our business. However, if the pandemic continues to persist as a severe worldwide health crisis, the disease may harm our business, and may also have the effect of heightening many of the other risks described in this “Risk Factors” section.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Fluctuations in our quarterly and annual operating results may adversely affect our business and prospects.</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You should consider our business and prospects in light of the risks and difficulties we encounter in the uncertain and rapidly evolving market for our solutions. Because the cannabis information market is new and evolving, predicting its future growth rate and size is difficult. This reduces our ability to accurately evaluate our future prospects and forecast quarterly or annual performance. In addition to the other risk factors discussed in this section, factors that may contribute to the variability of our quarterly and annual results include:</w:t>
      </w:r>
    </w:p>
    <w:p>
      <w:pPr>
        <w:spacing w:after="0" w:line="68" w:lineRule="exact"/>
        <w:rPr>
          <w:sz w:val="20"/>
          <w:szCs w:val="20"/>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new clients and consumers and retain existing clients and consumers;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accurately forecast revenue and appropriately plan our expenses;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changes in search engine placement and prominence;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increased competition on our business;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successfully expand in existing markets and successfully enter new markets;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global, regional or economic conditions;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ability of licensed cannabis markets to successfully grow and outcompete illegal cannabis markets;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effectively manage an adequate rate of growth;</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increase traffic to our platform;</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associated with defending claims, including intellectual property infringement claims and related judgments or settlements;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governmental or other regulation affecting our business;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interruptions in platform availability and any related impact on our business, reputation or brand;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attraction and retention of qualified personnel;</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natural or man-made catastrophic events;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effectiveness of our internal controls.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improve our products and solutions in ways that forego short-term gains.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seek to provide the best experience for the clients and consumers who use our platform. Some of our changes may have the effect of reducing our short-term revenue or profitability if we believe that the benefits will ultimately improve our business and financial performance over the long term. Any short-term reductions in revenue or profitability could be greater than planned or the changes mentioned above may not produce the long-term benefits that we expect, in which case our business and operating results could be adversely affected.</w:t>
      </w:r>
    </w:p>
    <w:p>
      <w:pPr>
        <w:spacing w:after="0" w:line="53"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are subject to risks inherent in foreign operations, including social, political and economic flux and compliance with additional U.S. and foreign laws, including those related to anti-bribery and anti-corruption, and may not be able to successfully maintain or expand our foreign operations.</w:t>
      </w:r>
    </w:p>
    <w:p>
      <w:pPr>
        <w:spacing w:after="0" w:line="7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sell our WM Business offering in the United States, currently offer some of our WM Business solutions in Canada and have a limited number of non-monetized listings in several other countries including Austria, Germany, the Netherlands, Spain, and Switzerland. We anticipate growing our business, in part, by continuing to expand our foreign operations. As we continue our expansion, we may enter new foreign markets where we have limited or no experience marketing and deploying our platform. If we fail to launch or manage our foreign operations successfully, our business may suffer. Additionally, as our foreign operations expand, or more of our expenses are denominated in currencies other than the U.S. dollar, our operating results may be more greatly affected by fluctuations in the exchange rates of the currencies in which we do business. In addition, as our foreign operations continue to grow, we are subject to a variety of risks inherent in doing business internationally, including:</w:t>
      </w:r>
    </w:p>
    <w:p>
      <w:pPr>
        <w:spacing w:after="0" w:line="58" w:lineRule="exact"/>
        <w:rPr>
          <w:sz w:val="20"/>
          <w:szCs w:val="20"/>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social, and economic instability;</w:t>
      </w:r>
    </w:p>
    <w:p>
      <w:pPr>
        <w:spacing w:after="0" w:line="117"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related to the legal and regulatory environment in foreign jurisdictions, including with respect to privacy and data protection, and unexpected changes in laws, regulatory requirements, and enforcement;</w:t>
      </w:r>
    </w:p>
    <w:p>
      <w:pPr>
        <w:spacing w:after="0" w:line="15" w:lineRule="exact"/>
        <w:rPr>
          <w:rFonts w:ascii="Arial" w:cs="Arial" w:eastAsia="Arial" w:hAnsi="Arial"/>
          <w:sz w:val="16"/>
          <w:szCs w:val="16"/>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higher levels of credit risk and payment fraud;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tax requirements of multiple jurisdictions;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enhanced difficulties of integrating any foreign acquisitions;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ability to present our content effectively in foreign languages;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complying with a variety of foreign laws, including certain employment laws requiring national collective bargaining agreements that set minimum salaries, benefits, working conditions, and termination requirements;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some countries;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staffing and managing global operations and the increased travel, infrastructure, and compliance costs associated with multiple foreign locations;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regulations that might add difficulties in repatriating cash earned outside the United States and otherwise preventing us from freely moving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import and export restrictions and changes in trade regulation;</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complying with statutory equity requirements;</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complying with the U.S. Foreign Corrupt Practices Act of 1977, as amended, the U.K. Bribery Act 2010, the Corruption of Public Officials Act (Canada), and similar laws in other jurisdictions; and</w:t>
      </w:r>
    </w:p>
    <w:p>
      <w:pPr>
        <w:spacing w:after="0" w:line="3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export controls and economic sanctions administered by the U.S. Department of Commerce Bureau of Industry and Security and the U.S. Treasury Department’s Office of Foreign Assets Control.</w:t>
      </w:r>
    </w:p>
    <w:p>
      <w:pPr>
        <w:spacing w:after="0" w:line="14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subject to industry standards, governmental laws, regulations and other legal obligations, particularly related to privacy, data protection and information security, and any actual or perceived failure to comply with such obligations could harm our business.</w:t>
      </w:r>
    </w:p>
    <w:p>
      <w:pPr>
        <w:spacing w:after="0" w:line="76"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We are subject to regulation by various federal, state, provincial, local and foreign governmental authorities, including those responsible for monitoring and enforcing employment and labor laws, antibribery laws, lobbying and election laws, securities laws and tax laws. These laws and regulations are subject to change over time and thus we must continue to monitor and dedicate resources to ensure continued compliance.</w:t>
      </w:r>
    </w:p>
    <w:p>
      <w:pPr>
        <w:spacing w:after="0" w:line="49"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our business is subject to regulation by various federal, state, provincial and foreign governmental agencies responsible for monitoring and enforcing privacy and data protection laws and regulations. 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the Health Insurance Portability and Accountability Act of 1996, or HIPAA; and European and other foreign data protection laws.</w:t>
      </w:r>
    </w:p>
    <w:p>
      <w:pPr>
        <w:spacing w:after="0" w:line="5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receive, store, process, and use personal information and other user content. The regulatory framework for privacy issues worldwide, including in the United States, is rapidly evolving and is likely to remain uncertain for the foreseeable future, as many new laws and regulations regarding the collection, use and disclosure of personally identifiable information, or PII, and other data have been adopted or are under consideration and existing laws and regulations may be subject to new and changing interpretations. In the United States, the Federal Trade Commission and many state attorneys general are applying federal and state consumer protection laws to impose standards for the online collection, use and dissemination of data. The California Consumer Privacy Act of 2018, or CCPA, which became effective January 1, 2020, imposes significant additional requirements with respect to the collection of personal information from California residents.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It remains unclear what, if any, modifications will be made to this legislation or how it will be interpreted. Additionally, a new privacy law, the California Privacy Rights Act, or CPRA, significantly modified the CCPA, potentially resulting in further uncertainty and requiring us to incur additional costs and expenses. The CPRA created a new California state agency charged with enforcing state privacy laws, and there is uncertainty about potential enforcement actions that the new agency may take in the future. The effects of the CCPA and the CPRA remain far-reaching, and depending on final regulatory guidance and related developments, may require us to modify our data processing practices and policies and to incur substantial costs and expenses in an effort to comply.</w:t>
      </w:r>
    </w:p>
    <w:p>
      <w:pPr>
        <w:spacing w:after="0" w:line="6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Many foreign countries and governmental bodies, including Canada and the European Union, or E.U., and other relevant jurisdictions where we conduct business, have laws and regulations concerning the collection and use of PII and other data obtained from their residents or by businesses operating within their jurisdiction. These laws and regulations often are more restrictive than those in the United States Laws and regulations in these jurisdictions apply broadly to the collection, use, storage, disclosure and security of data that identifies or may be used to identify or locate an individual, such as names, email addresses and, in some jurisdictions, internet protocol addresses and other types of data. In Canada, the federal Personal Information Protection and Electronic Documents Act, or PIPEDA, governs the collection, use and disclosure of PII in many provinces in Canada, and though it is silent with respect to territorial reach, the Federal Court of Canada has found that PIPEDA will apply to businesses established in other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9" w:name="page30"/>
    <w:bookmarkEnd w:id="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jurisdictions if there is a “real and substantial connection” between the organization’s activities and Canada. Provincial privacy commissioners take a similar approach to the interpretation and application of provincial private-sector privacy laws equivalent to PIPEDA. Further, Canada has robust anti-spam legislation. Organizations sending commercial electronic messages to individuals must either have express consent from the individual in the prescribed form or the situation must qualify as an instance of implied consent or other authorization set out in Canada’s Anti-Spam Legislation, or CASL. The penalties for non-compliance under CASL are significant and the regulator, the Canadian Radio Television and Telecommunications Commission, is active with respect to enforcement. In addition, the E.U.’s General Data Protection Regulation, or the GDPR, which went into effect in May 2018, requires subject companies to implement and maintain comprehensive information privacy and security protections with respect to personal data (data that relates to an identified or identifiable individual) about persons in the E.U. that is collected or processed by such companies. The GDPR provides for substantial penalties for noncompliance.</w:t>
      </w:r>
    </w:p>
    <w:p>
      <w:pPr>
        <w:spacing w:after="0" w:line="7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Although we are working to comply with those federal, state, provincial and foreign laws and regulations, industry standards, governmental standards, contractual obligations and other legal obligations that apply to us, those laws, regulations, standards and obligations are evolving and may be modified, interpreted and applied in an inconsistent manner from one jurisdiction to another, and may conflict with one another, other requirements or legal obligations, our practices or the features of our applications or platform. Any failure or perceived failure by us or our contractors to comply with federal, state, provincial or foreign laws or regulations, industry standards, contractual obligations or other legal obligations, or any actual or suspected security incident, whether or not resulting in loss of, unauthorized access to, or acquisition, alteration, destruction, release or transfer of PII or other data, may result in governmental enforcement actions and prosecutions, private litigation, fines and penalties or adverse publicity and could cause employees, clients and consumers to lose trust in us, which could have an adverse effect on our reputation and business. Any inability or perceived inability (even if unfounded) on our part to adequately address privacy, data protection, and information security concerns, or comply with applicable laws, regulations, policies, industry standards, governmental standards, contractual obligations, or other legal obligations, could result in additional cost and liability to us, damage our reputation, inhibit sales, and adversely affect our business.</w:t>
      </w:r>
    </w:p>
    <w:p>
      <w:pPr>
        <w:spacing w:after="0" w:line="6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also expect that there will continue to be new proposed laws, regulations and industry standards concerning privacy, data protection and information security in the United States, Canada, the E.U. and other jurisdictions, and we cannot yet determine the impact such future laws, regulations and standards may have on our business. Future laws, regulations, standards and other obligations, or amendments or changes in the interpretation of existing laws, regulations, standards and other obligations, could impair our or our clients’ ability to collect, use, disclose or otherwise process information relating to employees or consumers, which could decrease demand for our applications, increase our costs and impair our ability to maintain and grow our client and consumer bases and increase revenue. Such laws and regulations may require us to implement privacy and security policies, permit users to access, correct and delete personal information stored or maintained by such companies, inform individuals of security breaches that affect their personal information, and, in some cases, obtain individuals’ consent to use PII or other data for certain purposes. In addition, a foreign government could require that any data collected in a country not be transferred or disseminated outside of that country, or impose restrictions or conditions upon such dissemination, and we may face difficulty in complying with any such requirements for certain geographic regions. Indeed, many privacy laws, such as those in force in Canada and the E.U., already impose these requirements. If we fail to comply with federal, state, provincial and foreign data privacy laws and regulations, our ability to successfully operate our business and pursue our business goals could be harmed. Furthermore, due to our acceptance of credit cards, we are subject to the PCI- DSS, which is designed to protect the information of credit card users.</w:t>
      </w:r>
    </w:p>
    <w:p>
      <w:pPr>
        <w:spacing w:after="0" w:line="66"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have had security incidents in the past, which we do not believe reached the level of a breach that would be reportable under applicable state laws or our other obligations; however, there can be no assurance that our determinations were correct. In the event our determinations are challenged and found to have been incorrect, we may be subject to unfavorable publicity or claims by one or more state attorneys general, federal regulators, or private plaintiffs, any of which could damage our reputation, inhibit sales and adversely affect our business.</w:t>
      </w:r>
    </w:p>
    <w:p>
      <w:pPr>
        <w:spacing w:after="0" w:line="16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Governmental regulation of the internet continues to develop, and unfavorable changes could substantially harm our business and operating results.</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subject to general business regulations and laws as well as federal, state, provincial and foreign laws specifically governing the internet. Existing and future laws and regulations, narrowing of any existing legal safe harbors, or previous or future court decisions may impede the growth of the internet or online products and solutions,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0" w:name="page31"/>
    <w:bookmarkEnd w:id="3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and increase the cost of providing online products and solutions. These laws may govern, among other issues, taxation, tariffs, user privacy, data protection, pricing, content, copyrights, distribution, electronic contracts and other communications, consumer protection, broadband residential internet access and the characteristics and quality of offerings. It is not clear how existing laws governing issues such as property ownership, sales, use and other taxes, libel and personal privacy apply to the internet or online services. There is also a risk that these laws may be interpreted and applied in conflicting ways across jurisdictions, and in a manner that is not consistent with our current practices. Unfavorable resolution of these issues may limit our business activities, expose us to potential legal claims or cause us to spend significant resources on ensuring compliance, any of which could harm our business and operating results.</w:t>
      </w:r>
    </w:p>
    <w:p>
      <w:pPr>
        <w:spacing w:after="0" w:line="3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provide educational information regarding the use and potential effects of various types of cannabis products through our platform, including information regarding therapeutic uses for cannabis. If our content, or content we obtain from third parties, contains inaccuracies, it is possible that consumers or others may sue us for various causes of action. Although our website and mobile applications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that provide the terms and conditions for use of our websites and mobile applications are unenforceable. A finding by a court that these agreements are invalid and that we are subject to liability could harm our business and require costly changes to our business.</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For content that we publish or provide ourselves, 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time-consuming and could divert management’s attention away from our operations. In addition, our business is based on establishing the reputation of our platform as trustworthy and dependable sources of educational information. Allegations of impropriety or inaccuracy, even if unfounded, could harm our reputation and business.</w:t>
      </w:r>
    </w:p>
    <w:p>
      <w:pPr>
        <w:spacing w:after="0" w:line="31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be subject to legal claims based on the content published to our platform.</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may be subject to legal claims relating to information made available through our platform, including claims for defamation, libel, negligence and copyright or trademark infringement, among others. These claims or allegations could divert management time and attention away from our business and result in significant costs to investigate and defend, regardless of the merits of the claims or allegations. In some instances, we may elect or be compelled to remove content, or may be forced to pay substantial damages or administrative monetary penalties, if we are unsuccessful in our efforts to defend against these claims or allegations. If we elect, or are compelled, to remove valuable content from our platform, our platform or services may become less useful to consumers, which could have a negative impact on our business and financial performance. This risk may also be greater in certain jurisdictions outside of the United States where our protections from such liability may be unclear.</w:t>
      </w:r>
    </w:p>
    <w:p>
      <w:pPr>
        <w:spacing w:after="0" w:line="28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Future investments in alternative revenue streams or acquisitions could disrupt our business and adversely affect our operating results, financial condition and cash flows.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believe that our long-term growth depends in part on our ability to develop and monetize additional aspects of our platform. Developing new products and solutions may involve significant investments of capital, time, resources and managerial attention. We have limited experience with developing, implementing and managing revenue streams other than our core listing business, and there can be no assurance that we will successfully implement any new products or solutions. External factors, such as additional regulatory compliance obligations, may also affect the successful implementation of new products and solutions through our platform.</w:t>
      </w:r>
    </w:p>
    <w:p>
      <w:pPr>
        <w:spacing w:after="0" w:line="5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Additionally, we may make acquisitions that could be material to our business, operating results, financial condition and cash flows. Our ability as an organization to successfully acquire and integrate technologies or businesses is unproven. Acquisitions involve many risks, including the following:</w:t>
      </w:r>
    </w:p>
    <w:p>
      <w:pPr>
        <w:spacing w:after="0" w:line="76" w:lineRule="exact"/>
        <w:rPr>
          <w:sz w:val="20"/>
          <w:szCs w:val="20"/>
          <w:color w:val="auto"/>
        </w:rPr>
      </w:pPr>
    </w:p>
    <w:p>
      <w:pPr>
        <w:ind w:left="1000" w:right="319" w:hanging="348"/>
        <w:spacing w:after="0" w:line="308"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an acquisition may negatively affect our operating results, financial condition or cash flows because it may require us to incur charges or assume substantial debt or other liabilities, may cause adverse tax</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1" w:name="page32"/>
    <w:bookmarkEnd w:id="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020" w:right="299"/>
        <w:spacing w:after="0" w:line="263" w:lineRule="auto"/>
        <w:rPr>
          <w:sz w:val="20"/>
          <w:szCs w:val="20"/>
          <w:color w:val="auto"/>
        </w:rPr>
      </w:pPr>
      <w:r>
        <w:rPr>
          <w:rFonts w:ascii="Arial" w:cs="Arial" w:eastAsia="Arial" w:hAnsi="Arial"/>
          <w:sz w:val="18"/>
          <w:szCs w:val="18"/>
          <w:color w:val="auto"/>
        </w:rPr>
        <w:t>consequences or unfavorable accounting treatment, may expose us to claims and disputes by third parties, including intellectual property claims and disputes, or may not generate sufficient financial return to offset additional costs and expenses related to the acquisition;</w:t>
      </w:r>
    </w:p>
    <w:p>
      <w:pPr>
        <w:spacing w:after="0" w:line="76" w:lineRule="exact"/>
        <w:rPr>
          <w:sz w:val="20"/>
          <w:szCs w:val="20"/>
          <w:color w:val="auto"/>
        </w:rPr>
      </w:pPr>
    </w:p>
    <w:p>
      <w:pPr>
        <w:jc w:val="both"/>
        <w:ind w:left="1000" w:right="299" w:hanging="348"/>
        <w:spacing w:after="0" w:line="259"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or unforeseen expenditures in integrating the business, technologies, products, personnel or operations of any company that we acquire, particularly if key personnel of the acquired company decide not to work for us, and potentially across different cultures and languages in the event of a foreign acquisition;</w:t>
      </w:r>
    </w:p>
    <w:p>
      <w:pPr>
        <w:spacing w:after="0" w:line="78"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disrupt our ongoing business, divert resources, increase our expenses and distract our management;</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an acquisition may result in a delay or reduction of sales for both us and the company we acquired due to uncertainty about continuity and effectiveness of products or support from either company;</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encounter difficulties in, or may be unable to, successfully sell any acquired products;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acquisition may involve the entry into geographic or business markets in which we have little or no prior experience or where competitors have stronger market positions;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strain on our financial and managerial controls and reporting systems and procedures;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known and unknown liabilities associated with an acquired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incur debt to fund such acquisitions, such debt may subject us to material restrictions on our ability to conduct our business as well as financial maintenance covenants;</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risk of impairment charges related to potential write-downs of acquired assets or goodwill in future acquisitions;</w:t>
      </w:r>
    </w:p>
    <w:p>
      <w:pPr>
        <w:spacing w:after="0" w:line="62" w:lineRule="exact"/>
        <w:rPr>
          <w:rFonts w:ascii="Arial" w:cs="Arial" w:eastAsia="Arial" w:hAnsi="Arial"/>
          <w:sz w:val="18"/>
          <w:szCs w:val="18"/>
          <w:color w:val="auto"/>
        </w:rPr>
      </w:pPr>
    </w:p>
    <w:p>
      <w:pPr>
        <w:ind w:left="1000" w:right="319" w:hanging="348"/>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the extent that we issue a significant amount of equity or convertible debt securities in connection with future acquisitions, existing equity holders may be diluted and earnings per share may decrease; and</w:t>
      </w:r>
    </w:p>
    <w:p>
      <w:pPr>
        <w:spacing w:after="0" w:line="15"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managing the varying intellectual property protection strategies and other activities of an acquired company.</w:t>
      </w:r>
    </w:p>
    <w:p>
      <w:pPr>
        <w:spacing w:after="0" w:line="62"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We may not succeed in addressing these or other risks or any other problems encountered in connection with the integration of any acquired business. The inability to integrate successfully the business, technologies, products, personnel or operations of any acquired business, or any significant delay in achieving integration, could have a material adverse effect on our business, operating results, financial condition and cash flows.</w:t>
      </w:r>
    </w:p>
    <w:p>
      <w:pPr>
        <w:spacing w:after="0" w:line="171"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We may need to raise additional capital, which may not be available on favorable terms, if at all, causing dilution to our stockholders, restricting our operations or adversely affecting our ability to operate our business.</w:t>
      </w:r>
    </w:p>
    <w:p>
      <w:pPr>
        <w:spacing w:after="0" w:line="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the course of running our business, we may need to raise capital, certain forms of which may cause dilution to our stockholders. If our need is due to unforeseen circumstances or material expenditures or if our operating results are worse than expected, then we cannot be certain that we will be able to obtain additional financing on favorable terms, if at all, and these additional financings could cause further dilution to our stockholders. Due to the current legal status of cannabis under U.S. federal law, we have experienced, and may in the future experience, difficulty attracting additional debt or equity financing. In addition, the current legal status of cannabis may increase the cost of capital now and in the future. Debt financing, if available, may involve agreements that include equity conversion rights, covenants limiting or restricting our ability to take specific actions, such as incurring additional debt, expending capital, or declaring dividends, or that impose financial covenants on us that limit our ability to achieve our business objectives. Debt financings may contain provisions, which, if breached, may entitle lenders to accelerate repayment of loans, and there is no assurance that we would be able to repay such loans in such an event or prevent the foreclosure of security interests granted pursuant to such debt financing. If we need but cannot raise additional capital on acceptable terms, then we may not be able to meet our business objectives, our stock price may fall, and you may lose some or all of your investment.</w:t>
      </w:r>
    </w:p>
    <w:p>
      <w:pPr>
        <w:spacing w:after="0" w:line="171"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Our business and operating results may be harmed if we are deemed responsible for the collection and remittance of state sales taxes or other indirect taxes for clients using our order functionality.</w:t>
      </w:r>
    </w:p>
    <w:p>
      <w:pPr>
        <w:spacing w:after="0" w:line="38"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do not collect sales and value-added tax as part of our client agreements in the United States or Canada, based on our determination that such tax is not applicable to our platform. Sales and use, value-added, and similar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2" w:name="page33"/>
    <w:bookmarkEnd w:id="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tax laws and rates vary greatly by jurisdiction. If we are deemed an agent for the clients on our platform under state or other applicable tax law, we may be deemed responsible for collecting and remitting sales taxes directly to certain states or jurisdictions. It is possible that one or more states could seek to impose sales, use or other tax obligations on us with regard to the ordering functionality that we offer our clients. These taxes may be applicable to past sales. In addition, the U.S. Supreme Court’s ruling in South Dakota v. Wayfair that a U.S. state may require an online retailer with no in-state property or personnel to collect and remit sales tax on sales to the state’s residents may permit wider enforcement of sales tax collection requirements, which may increase the jurisdictions in which we may be required to collect and/or remit taxes. A successful assertion that we should be collecting additional sales, use or other taxes or remitting such taxes directly to states or other jurisdictions could result in substantial tax liabilities for past sales and additional administrative expenses and increase the cost of our products and solutions, which could harm our business and operating results.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be subject to potential adverse tax consequences both domestically and in foreign jurisdictions.</w:t>
      </w:r>
    </w:p>
    <w:p>
      <w:pPr>
        <w:spacing w:after="0" w:line="14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are subject to taxes, such as income, payroll, sales, use, value-added, property and goods and services taxes, in both the United States and various foreign jurisdictions. Our domestic and foreign tax liabilities are subject to various jurisdictional rules regarding the timing and allocation of revenue and expenses. Additionally, the amount of income taxes paid is subject to our interpretation of applicable tax laws in the jurisdictions in which we file and to changes in tax laws. Significant judgment is required in determining our worldwide provision for income taxes and other tax liabilities. From time to time, we may be subject to income and non-income tax audits. While we believe we have complied with all applicable income tax laws, there can be no assurance that a governing tax authority will not have a different interpretation of the law and assess us with additional taxes. Should we be assessed with additional taxes, there could be a material adverse effect on our business, results of operations, and financial condition. In addition, audits may require ongoing time and attention from our management, which could limit their ability to focus on other aspects of our business and impact our business in the future.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Changes in accounting standards or other factors could negatively impact our future effective tax rate.</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future effective tax rate may be affected by such factors as changing interpretation of existing laws or regulations, the impact of accounting for equity-based compensation, the impact of accounting for business combinations, changes in our international organization, and changes in overall levels of income before tax. In addition, in the ordinary course of our global business, there are many intercompany transactions and calculations where the ultimate tax determination is uncertain. Although we believe that our tax estimates are reasonable, we cannot ensure that the final determination of tax audits or tax disputes will not be different from what is reflected in our historical income tax provisions and accruals.</w:t>
      </w:r>
    </w:p>
    <w:p>
      <w:pPr>
        <w:spacing w:after="0" w:line="19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and compliance in multiple jurisdictions may have a material adverse effect on our business, cash flow, financial condition or operating results.</w:t>
      </w:r>
    </w:p>
    <w:p>
      <w:pPr>
        <w:spacing w:after="0" w:line="62"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We are subject to the income tax laws of the United States, Canada, and several other foreign jurisdictions. New income, sales, use or other tax laws, statutes, rules, regulations, or ordinances could be enacted at any time, which could affect the tax treatment of our U.S. and foreign earnings. Any new taxes could adversely affect our domestic and foreign business operations, and our business and financial performance. In addition, existing tax laws, statutes, rules, regulations, or ordinances, such as Section 280E of the Code, discussed below, could be interpreted, changed, modified or applied adversely to us. Furthermore, changes to the taxation of undistributed foreign earnings could change our future intentions regarding reinvestment of such earnings. The foregoing items could have a material adverse effect on our business, cash flow, financial condition or operating results.</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Requirements as to taxation vary substantially among jurisdictions. Complying with the tax laws of these jurisdictions can be time consuming and expensive and could potentially subject us to penalties and fees in the future if we were to inadvertently fail to comply. If we were to inadvertently fail to comply with applicable tax laws, this could have a material adverse effect on our business, results of operations and financial condition.</w:t>
      </w:r>
    </w:p>
    <w:p>
      <w:pPr>
        <w:spacing w:after="0" w:line="17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a holding company and our only material asset is our interest in WMH LLC, and WMH LLC is accordingly dependent upon distributions made by its subsidiaries to pay taxes, make payments under the tax receivable agreement and pay dividends.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are a holding company with no material assets other than our ownership of Units and our managing member interest in WMH LLC. As a result, we have no independent means of generating revenue or cash flow. Our ability to pay taxes, make payments under the tax receivable agreement and pay dividends will depend on the financial</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33" w:name="page34"/>
    <w:bookmarkEnd w:id="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results and cash flows of WMH LLC and its subsidiaries and the distributions we receive from WMH LLC. Deterioration in the financial condition, earnings or cash flow of WMH LLC and its subsidiaries, for any reason could limit or impair WMH LLC’s ability to pay such distributions. Additionally, to the extent that we need funds and WMH LLC and/or any of its subsidiaries are restricted from making such distributions under applicable law or regulation or under the terms of any financing arrangements, or WMH LLC is otherwise unable to provide such funds, it could materially adversely affect our liquidity and financial condition.</w:t>
      </w:r>
    </w:p>
    <w:p>
      <w:pPr>
        <w:spacing w:after="0" w:line="7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WMH LLC will continue to be treated as a partnership for U.S. federal income tax purposes and, as such, generally will not be subject to any entity-level U.S. federal income tax. Instead, WMH LLC’s taxable income will be allocated to holders of Units, including us. Accordingly, we will be required to pay income taxes on our allocable share of any net taxable income of WMH LLC. Under the terms of the amended operating agreement, WMH LLC is obligated to make tax distributions to holders of Units (including us) calculated at certain assumed tax rates. In addition to tax expenses, we will also incur expenses related to our operations, including payment obligations under the tax receivable agreement (and the cost of administering such payment obligations), which could be significant. We intend to cause WMH LLC to make distributions to holders of Units in amounts sufficient to cover all applicable taxes (calculated at assumed tax rates), relevant operating expenses, payments under the tax receivable agreement and dividends, if any, declared by us. However, as discussed below, WMH LLC’s ability to make such distributions may be subject to various limitations and restrictions including, but not limited to, restrictions on distributions that would either violate any contract or agreement to which WMH LLC is then a party, including debt agreements, or any applicable law, or that would have the effect of rendering WMH LLC insolvent. If our cash resources are insufficient to meet our obligations under the tax receivable agreement and to fund our obligations, we may be required to incur additional indebtedness to provide the liquidity needed to make such payments, which could materially adversely affect its liquidity and financial condition and subject us to various restrictions imposed by any such lenders. To the extent that we are unable to make payments under the tax receivable agreement for any reason, such payments will be deferred and will accrue interest until paid; provided, however, that nonpayment for a specified period may constitute a material breach of a material obligation under the tax receivable agreement and therefore accelerate payments due under the tax receivable agreement.</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Additionally, although WMH LLC generally will not be subject to any entity-level U.S. federal income tax, it may be liable under recent federal tax legislation for adjustments to its tax return, absent an election to the contrary. In the event WMH LLC’s calculations of taxable income are incorrect, its members, including us, in later years may be subject to material liabilities pursuant to this federal legislation and its related guidance.</w:t>
      </w:r>
    </w:p>
    <w:p>
      <w:pPr>
        <w:spacing w:after="0" w:line="63"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on our Class A Common Stock, if any, will be paid at the discretion of our board of directors, which will consider, among other things, our business, operating results, financial condition, current and expected cash needs, plans for expansion and any legal or contractual limitations on its ability to pay such dividends. Financing arrangements may include restrictive covenants that restrict our ability to pay dividends or make other distributions to our stockholders. In addition, WMH LLC is generally prohibited under Delaware law from making a distribution to a member to the extent that, at the time of the distribution, after giving effect to the distribution, liabilities of WMH LLC (with certain exceptions) exceed the fair value of its assets. WMH LLC’s subsidiaries are generally subject to similar legal limitations on their ability to make distributions to WMH LLC. If WMH LLC does not have sufficient funds to make distributions, our ability to declare and pay cash dividends may also be restricted or impaired.</w:t>
      </w:r>
    </w:p>
    <w:p>
      <w:pPr>
        <w:spacing w:after="0" w:line="194"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In certain circumstances, WMH LLC will be required to make distributions to us and the other holders of WMH Units, and the distributions that WMH LLC will be required to make may be substantial.</w:t>
      </w:r>
    </w:p>
    <w:p>
      <w:pPr>
        <w:spacing w:after="0" w:line="3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As discussed above, WMH LLC will generally be required from time to time to make pro rata distributions in cash to us and the other holders of WMH Units at certain assumed tax rates in amounts that are intended to be sufficient to cover the taxes on our and the other WMH equity holders’ respective allocable shares of the taxable income of WMH LLC. As a result of (i) potential differences in the amount of net taxable income allocable to us and the other holders of WMH Units, (ii) the lower tax rate applicable to corporations than individuals and (iii) the use of an assumed tax rate (based on the tax rate applicable to individuals) in calculating WMH LLC’s distribution obligations, we may receive tax distributions significantly in excess of our tax liabilities and obligations to make payments under the tax receivable agreement. We will determine in our sole discretion the appropriate uses for any excess cash so accumulated, which may include, among other uses, dividends, the payment of obligations under the tax receivable agreement and the payment of other expenses. We will have no obligation to distribute such excess cash (or other available cash other than any declared dividend) to the holders of Class A Common Stock. No</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4" w:name="page35"/>
    <w:bookmarkEnd w:id="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adjustments to the redemption or exchange ratio of WMH Units for shares of Class A Common Stock will be made as a result of either (i) any cash dividend by us or (ii) any cash that we retain and do not distribute to our stockholders. To the extent that we do not distribute such excess cash as dividends on Class A Common Stock and instead, for example, holds such cash balances or lends them to WMH LLC, WMH LLC equity holders would benefit from any value attributable to such cash balances as a result of their ownership of Class A Common Stock following a redemption or exchange of their WMH Units.</w:t>
      </w:r>
    </w:p>
    <w:p>
      <w:pPr>
        <w:spacing w:after="0" w:line="32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will be required to pay the WMH LLC Class A equity holders and any other persons that become parties to the tax receivable agreement for certain tax benefits we may receive and the amounts payable may be substantial.</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Acquisitions by us of common units in the Business Combination and future taxable redemptions or exchanges of the Class A Units by the WMH LLC equity holders for shares of Class A Common Stock or cash pursuant to the exchange agreement are expected to result in favorable tax attributes for us.</w:t>
      </w:r>
    </w:p>
    <w:p>
      <w:pPr>
        <w:spacing w:after="0" w:line="76"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Upon the Closing, we, the holder representative and the WMH Class A equity holders entered into the tax receivable agreement. Under the tax receivable agreement, we generally will be required to pay to the WMH LLC Class A equity holders, in the aggregate, 85% of the amount of cash savings, if any, in U.S. federal, state and local income tax or franchise tax that we actually realize as a result of (i) increases to the tax basis of WMH LLC’s assets resulting from acquisitions by us of common units for cash in the Business Combination and future taxable redemptions or exchanges of Class A Units for shares of Class A Common Stock or cash pursuant to the exchange agreement, (ii) tax benefits related to imputed interest or (iii) tax attributes resulting from payments made under the tax receivable agreement. The payment obligations under the tax receivable agreement are our obligations and not obligations of WMH LLC.</w:t>
      </w:r>
    </w:p>
    <w:p>
      <w:pPr>
        <w:spacing w:after="0" w:line="73"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WMH LLC Class A equity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WMH LLC Class A equity holders’ continued ownership of us.</w:t>
      </w:r>
    </w:p>
    <w:p>
      <w:pPr>
        <w:spacing w:after="0" w:line="30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b w:val="1"/>
          <w:bCs w:val="1"/>
          <w:i w:val="1"/>
          <w:iCs w:val="1"/>
          <w:color w:val="auto"/>
        </w:rPr>
        <w:t>In certain cases, payments under the tax receivable agreement may be accelerated and/or significantly exceed the actual benefits we realize in respect of the tax attributes subject to the tax receivable agreement.</w:t>
      </w:r>
    </w:p>
    <w:p>
      <w:pPr>
        <w:spacing w:after="0" w:line="1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 authority may challenge all or a part of the existing tax basis, tax basis increases, or other tax 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69"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5" w:name="page36"/>
    <w:bookmarkEnd w:id="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from the tax deductions, tax basis and other tax attributes subject to the tax receivable agreement. The tax receivable agreement also provides that, upon certain mergers, asset sales or other forms of business combination, or certain other changes of control, (x) our obligations under the tax receivable agreement with respect to Class A Units that have been exchanged or redeemed prior to or in connection with such change of control transaction would accelerate and become payable in a lump sum as described above and (y) with respect to Class A Units that have not been exchanged as of such change of control transaction, our or our successor’s obligations under the tax receivable agreement would be based on certain assumptions, including that we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our liquidity. The change of control provisions in the tax receivable agreement may also result in situations where the WMH LLC Class A equity holders have interests that differ from or are in addition to those of the Class A equity holders.</w:t>
      </w:r>
    </w:p>
    <w:p>
      <w:pPr>
        <w:spacing w:after="0" w:line="6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it.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Additional Risks Related to the Cannabis Industry</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Cannabis remains illegal under federal law, and therefore, strict enforcement of federal laws regarding cannabis would likely result in our inability to execute our business plan.</w:t>
      </w:r>
    </w:p>
    <w:p>
      <w:pPr>
        <w:spacing w:after="0" w:line="6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 xml:space="preserve">Cannabis, other than hemp (defined by the U.S. government as </w:t>
      </w:r>
      <w:r>
        <w:rPr>
          <w:rFonts w:ascii="Arial" w:cs="Arial" w:eastAsia="Arial" w:hAnsi="Arial"/>
          <w:sz w:val="16"/>
          <w:szCs w:val="16"/>
          <w:i w:val="1"/>
          <w:iCs w:val="1"/>
          <w:color w:val="auto"/>
        </w:rPr>
        <w:t>Cannabis sativa</w:t>
      </w:r>
      <w:r>
        <w:rPr>
          <w:rFonts w:ascii="Arial" w:cs="Arial" w:eastAsia="Arial" w:hAnsi="Arial"/>
          <w:sz w:val="16"/>
          <w:szCs w:val="16"/>
          <w:color w:val="auto"/>
        </w:rPr>
        <w:t xml:space="preserve"> L. with a THC concentration of not more than 0.3% on a dry weight basis), is a Schedule I controlled substance under the Controlled Substances Act (“CSA”). Even in states or territories that have legalized cannabis to some extent, the cultivation, possession, and sale of cannabis all violate the CSA and are punishable by imprisonment, substantial fines and forfeiture. Moreover, individuals and entities may violate federal law if they aid and abet another in violating the CSA, or conspire with another to violate the law, and violating the CSA is a predicate for certain other crimes, including money laundering laws and the Racketeer Influenced and Corrupt Organizations Act. The U.S. Supreme Court has ruled that the federal government has the authority to regulate and criminalize the sale, possession and use of cannabis, even for individual medical purposes, regardless of whether it is legal under state law. For over five years, however, the U.S. government has not prioritized the enforcement of those laws against cannabis companies complying with state law and their vendors. No reversal of that policy of prosecutorial discretion is expected under a Biden administration given his campaign’s position on cannabis, and recent statements of Attorney General Merrick Garland discussed further below, although prosecutions against state-legal entities cannot be ruled out entirely at this time.</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January 4, 2018, then U.S. Attorney General Jeff Sessions issued a memorandum for all U.S. Attorneys (the “Sessions Memo”) rescinding certain past DOJ memoranda on cannabis law enforcement, including the Memorandum by former Deputy Attorney General James Michael Cole (the “Cole Memo”) issued on August 29, 2013, under the Obama administration. Describing the criminal enforcement of federal cannabis prohibitions against those complying with state cannabis regulatory systems as an inefficient use of federal investigative and prosecutorial resources, the Cole Memo gave federal prosecutors discretion not to prosecute state law compliant cannabis companies in states that were regulating cannabis, unless one or more of eight federal priorities were implicated, including use of cannabis by minors, violence, or the use of federal lands for cultivation. The Sessions Memo, which remains in effect, states that each U.S. Attorney’s Office should follow established principles that govern all federal prosecutions when deciding which cannabis activities to prosecute. As a result, federal prosecutors could and still can use their prosecutorial discretion to decide to prosecute even state legal cannabis activities. Since the Sessions Memo was issued over four years ago, however, U.S. Attorneys have generally not prioritized the targeting of state law compliant entities.</w:t>
      </w:r>
    </w:p>
    <w:p>
      <w:pPr>
        <w:spacing w:after="0" w:line="7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We cannot assure that each U.S. Attorney’s Office in each judicial district where we operate will not choose to enforce federal laws governing cannabis sales against state-legal companies like our business clients. The basis for the federal government’s lack of recent enforcement with respect to the cannabis industry extends beyond the strong public sentiment and ongoing prosecutorial discretion. Since 2014, versions of the U.S. omnibus spending bill have included a provision prohibiting the DOJ, which includes the Drug Enforcement Administration, from using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6" w:name="page37"/>
    <w:bookmarkEnd w:id="3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appropriated funds to prevent states from implementing their medical-use cannabis laws (formerly known as the Rohrabacher-Bluemnauer Amendment, and now known as the Joyce Amendment). In 2021, President Joe Biden became the first president to propose a budget with the Rohrabacher–Farr amendment included. On February 18, 2022, the amendment was renewed through a stopgap spending bill, with the most recent extension effective through March 11, 2022. There is no assurance that Congress will approve inclusion of a similar prohibition on DOJ spending in the appropriations bills for future years.</w:t>
      </w:r>
    </w:p>
    <w:p>
      <w:pPr>
        <w:spacing w:after="0" w:line="70"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 xml:space="preserve">In </w:t>
      </w:r>
      <w:r>
        <w:rPr>
          <w:rFonts w:ascii="Arial" w:cs="Arial" w:eastAsia="Arial" w:hAnsi="Arial"/>
          <w:sz w:val="16"/>
          <w:szCs w:val="16"/>
          <w:i w:val="1"/>
          <w:iCs w:val="1"/>
          <w:color w:val="auto"/>
        </w:rPr>
        <w:t>USA vs. McIntosh</w:t>
      </w:r>
      <w:r>
        <w:rPr>
          <w:rFonts w:ascii="Arial" w:cs="Arial" w:eastAsia="Arial" w:hAnsi="Arial"/>
          <w:sz w:val="16"/>
          <w:szCs w:val="16"/>
          <w:color w:val="auto"/>
        </w:rPr>
        <w:t>, the U.S. Court of Appeals for the Ninth Circuit held that the provision prohibits the DOJ from spending funds to prosecute individuals who engage in conduct permitted by state medical-use cannabis laws and who strictly comply with such laws. The court noted that, if the spending bill provision were not continued, prosecutors could enforce against conduct occurring during the statute of limitations even while the provision was previously in force. Other courts that have considered the issue have ruled similarly, although courts disagree about which party bears the burden of proof of showing compliance or noncompliance with state law. Our policies do not prohibit our state-licensed cannabis retailers from engaging in the cannabis business for adult use that is permissible under state and local laws. Consequently, certain of our retailers currently (and may in the future) sell adult-use cannabis, if permitted by such state and local laws now or in the future, and therefore may be outside any protections extended to medical-use cannabis under the spending bill provision. This could subject our clients to greater and/or different federal legal and other risks as compared to businesses where cannabis is sold exclusively for medical use, which could in turn materially adversely affect our business. Furthermore, any change in the federal government’s enforcement posture with respect to state licensed cannabis sales, including the enforcement postures of individual federal prosecutors in judicial districts where we operate, would result in our inability to execute our business plan, and we would likely suffer significant losses with respect to client base, which would adversely affect our operations, cash flow and financial condition.</w:t>
      </w:r>
    </w:p>
    <w:p>
      <w:pPr>
        <w:spacing w:after="0" w:line="6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Additionally, financial transactions involving proceeds generated by cannabis-related conduct can form the basis for prosecution under the federal money laundering statutes, unlicensed money transmitter statutes and the Bank Secrecy Act of 1970, as amended (the “Bank Secrecy Act”). The penalties for violation of these laws include imprisonment, substantial fines and forfeiture. Prior to the DOJ’s rescission of the Cole Memo, supplemental guidance from the DOJ issued under the Obama Administration directed federal prosecutors to consider the federal enforcement priorities enumerated in the Cole Memo when determining whether to charge institutions or individuals with any of the financial crimes described above based upon cannabis-related activity. With the rescission of the Cole Memo, there is increased uncertainty and added risk that federal law enforcement authorities could seek to pursue money laundering charges against entities or individuals engaged in supporting the cannabis industry.</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Federal prosecutors have significant discretion and no assurance can be given that the federal prosecutor in each judicial district where we operate will not choose to strictly enforce the federal laws governing cannabis production or distribution. Any change in the federal government’s enforcement posture with respect to state-licensed cultivation of cannabis, including the enforcement postures of individual federal prosecutors in judicial districts where we operate, would result in our inability to execute our business plan, and we would likely suffer significant losses with respect to our investment in cannabis facilities in the United States. Furthermore, following any such change in the federal government’s enforcement position, we could be subject to prosecution, which could lead to imprisonment and/or the imposition of penalties, fines, or forfeiture.</w:t>
      </w:r>
    </w:p>
    <w:p>
      <w:pPr>
        <w:spacing w:after="0" w:line="7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While President Biden’s campaign position on cannabis falls short of full legalization, he has campaigned on a platform of relaxing enforcement of cannabis proscriptions, including decriminalization generally. According to the Biden campaign website: “A Biden Administration will support the legalization of cannabis for medical purposes and reschedule cannabis as a CSA Schedule II drug so researchers can study its positive and negative impacts. This will include allowing the VA to research the use of medical cannabis to treat veteran-specific health needs.” He has pledged to “decriminalize” cannabis, which could prompt his U.S. Attorney General to issue policy guidance to U.S. Attorneys that they should not enforce federal cannabis prohibition against state law compliant entities and others legally transacting business with them. Indeed, the Biden-Sanders Unity Platform, which was released at the time President Biden won the Democratic Party nomination for President, affirmed that his administration would seek to “[d]ecriminalize marijuana use and legalize marijuana for medical purposes at the federal level;” “allow states to make their own decisions about legalizing recreational use;” and “automatically expunge all past marijuana convictions for use and possession.” Vice President Harris echoed these intentions during the vice presidential debate, saying that “[w]e will decriminalize marijuana and we will expunge the records of those who have been convicted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7" w:name="page38"/>
    <w:bookmarkEnd w:id="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of marijuana[-related offenses].” While President Biden’s promise to decriminalize likely would mean that the federal government would not criminally enforce the Schedule II status against state legal entities, and would expand opportunities for cannabis research in the U.S., the implications of the potential re-scheduling are not entirely clear for state legal commercial cannabis operators.</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Although the U.S. Attorney General could issue policy guidance to federal prosecutors that they should not interfere with cannabis businesses operating in compliance with states’ laws, any such guidance would not have the force of law, and could not be enforced by the courts. The President alone cannot legalize medical cannabis, and as states have demonstrated, legalizing medical cannabis can take many different forms. While rescheduling cannabis to the CSA’s Schedule II would ease certain research restrictions, it would not make the state medical or adult-use programs federally legal.</w:t>
      </w:r>
    </w:p>
    <w:p>
      <w:pPr>
        <w:spacing w:after="0" w:line="8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On January 20, 2021, President Biden formally nominated Merrick Garland to his cabinet as the U.S. Attorney General. Confirmation hearings for Attorney General Garland began on February 22, 2021. On the first date of his confirmation hearing, Attorney General Garland stated that he did not see enforcement of federal cannabis law as a high priority use of resources for the DOJ: “This is a question of the prioritization of our resources and prosecutorial discretion. It does not seem to me a useful use of limited resources that we have, to be pursuing prosecutions in states that have legalized and that are regulating the use of marijuana, either medically or otherwise. I don’t think that’s a useful use. I do think we need to be sure there are no end-runs around the state laws that criminal enterprises are doing. So that kind of enforcement should be continued. But I don’t think it’s a good use of our resources, where states have already authorized. That only confuses people, obviously, within the state.” While the statement is not a promise to avoid federal interference with state cannabis laws, it does signal that the enforcement priorities of DOJ lie elsewhere.</w:t>
      </w:r>
    </w:p>
    <w:p>
      <w:pPr>
        <w:spacing w:after="0" w:line="74"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Furthermore, while industry observers are hopeful that a Democrat-controlled Senate, along with a Biden presidency, will increase the chances of federal cannabis policy reform, such as the Marijuana Opportunity Reinvestment and Expungement Act (“MORE Act”), which was originally co-sponsored by now Vice President Harris in the Senate, or banking reform, such as the SAFE Banking Act, which passed the House of Representatives but has not yet passed the Senate, we cannot provide assurances about the content, timing or chances of passage of a bill legalizing cannabis. Accordingly, we cannot predict the timing of any change in federal law or possible changes in federal enforcement. In the unlikely event that the federal government were to reverse its long-standing hands-off approach to the state legal cannabis markets and start more broadly enforcing federal law regarding cannabis, we would likely be unable to execute our business plan, and our business and financial results would be adversely affected.</w:t>
      </w:r>
    </w:p>
    <w:p>
      <w:pPr>
        <w:spacing w:after="0" w:line="19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business and our clients are subject to a variety of U.S. and foreign laws regarding financial transactions related to cannabis, which could subject our clients to legal claims or otherwise adversely affect our business.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and our clients are subject to a variety of laws and regulations in the United States regarding financial transactions. Violations of the U.S. anti-money laundering (“AML”) laws require proceeds from enumerated criminal activity, which includes trafficking in cannabis in violation of the CSA. Financial institutions that both we and our clients rely on are subject to the Bank Secrecy Act, as amended by Title III of the USA Patriot Act. In Canada, the Proceeds of Crime (Money Laundering) and Terrorist Financing Act (Canada), as amended and the rules and regulations thereunder and the Criminal Code (Canada) apply. The penalties for violation of these laws include imprisonment, substantial fines and forfeiture.</w:t>
      </w:r>
    </w:p>
    <w:p>
      <w:pPr>
        <w:spacing w:after="0" w:line="8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2014, the DOJ under the Obama administration directed federal prosecutors to exercise restraint in prosecuting AML violations arising in the state legal cannabis programs and to consider the federal enforcement priorities enumerated in the Cole Memo when determining whether to charge institutions or individuals based upon cannabis-related activity. Around the same time, the Treasury Department issued guidance that clarified how financial institutions can provide services to cannabis-related businesses, consistent with financial institutions’ obligations under the Bank Secrecy Act. Then-Attorney General Sessions’s rescission of the DOJ’s guidance on the state cannabis programs in early 2018 increased uncertainty and heighted the risk that federal law enforcement authorities could seek to pursue money laundering charges against entities, or individuals, engaged in supporting the cannabis industry. On January 31, 2018, the Treasury Department issued additional guidance that the 2014 Guidance would remain in place until further notice, despite the rescission of the DOJ’s earlier guidance memoranda. A detailed description of current U.S. policy and the legal status of cannabis, including President Biden’s stance on cannabis enforcement and current and foreseeable decriminalization and legalization initiatives, can be found in the “U.S. and Territories”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8" w:name="page39"/>
    <w:bookmarkEnd w:id="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are subject to a variety of laws and regulations in the United States, Canada and elsewhere that prohibit money laundering, including the Proceeds of Crime and Terrorist Financing Act (Canada) and the Money Laundering Control Act (U.S.), as amended, and the rules and regulations thereunder and any related or similar rules, regulations or guidelines issued, administered or enforced by governmental authorities in the United States, Canada or any other jurisdiction in which we have business operations or to which we export our offerings. If any of our clients’ business activities, any dividends or distributions therefrom, or any profits or revenue accruing thereby are found to be in violation of money laundering statutes, our clients could be subject to criminal liability and significant penalties and fines. Any violations of these laws, or allegations of such violations, by our clients could disrupt our operations and involve significant management distraction and expenses. As a result, a significant number of our clients facing money laundering charges could materially affect our business, operations and financial condition. Additionally, proceeds from our clients’ business activities, including payments we have received from those clients, could be subject to seizure or forfeiture if they are found to be illegal proceeds of a crime transmitted in violation of anti-money laundering laws, which could have a material adverse effect on our business. Finally, if any of our clients are found to be violating the above statutes, this could have a material adverse effect on their ability to access or maintain financial services, as discussed in detail below, which could, in turn, have a material adverse effect on our business.</w:t>
      </w:r>
    </w:p>
    <w:p>
      <w:pPr>
        <w:spacing w:after="0" w:line="342"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b w:val="1"/>
          <w:bCs w:val="1"/>
          <w:i w:val="1"/>
          <w:iCs w:val="1"/>
          <w:color w:val="auto"/>
        </w:rPr>
        <w:t>We are dependent on our banking relations, and we may have difficulty accessing or consistently maintaining banking or other financial services due to our connection with the cannabis industry.</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Although we do not grow or sell cannabis products, our general connection with the cannabis industry may hamper our efforts to do business or establish collaborative relationships with others that may fear disruption or increased regulatory scrutiny of their own activities.</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are dependent on the banking industry to support the financial functions of our products and solutions. Our business operating functions including payroll for our employees and other expenses are handled which are reliant on traditional banking. Additionally, many of our clients pay us via wire transfer to our bank accounts, or via checks that we deposit into our banks. We require access to banking services for both us and our clients to receive payments in a timely manner. Lastly, to the extent we rely on any lines of credit, these could be affected by our relationships with financial institutions and could be jeopardized if we lose access to a bank account. Important components of our offerings depend on client accounts and relationships, which in turn depend on banking functions. Most federal and federally-insured state banks currently do not serve businesses that grow and sell cannabis products on the stated ground that growing and selling cannabis is illegal under federal law, even though the Treasury Department’s Financial Crimes Enforcement Network (“FinCEN”), issued guidelines to banks in February 2014 that clarified how financial institutions can provide services to cannabis-related businesses, consistent with financial institutions’ obligations under the Bank Secrecy Act. While the federal government has generally not initiated financial crimes prosecutions against state-law compliant cannabis companies or their vendors, the government theoretically could, at least against companies in the adult-use markets. The continued uncertainty surrounding financial transactions related to cannabis activities and the subsequent risks this uncertainty presents to financial institutions may result in their discontinuing services to the cannabis industry or limit their ability to provide services to the cannabis industry or ancillary businesses providing services to the cannabis industry.</w:t>
      </w:r>
    </w:p>
    <w:p>
      <w:pPr>
        <w:spacing w:after="0" w:line="6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a result of federal-level illegality and the risk that providing services to state-licensed cannabis businesses poses to banks, cannabis-related businesses face difficulties accessing banks that will provide services to them. When cannabis businesses are able to find a bank that will provide services, they face extensive client due diligence in light of complex state regulatory requirements and guidance from FinCEN, and these reviews may be time-consuming and costly, potentially creating additional barriers to financial services for, and imposing additional compliance requirements on, us and our clients. FinCEN requires a party in trade or business to file with the U.S. Internal Revenue Service (“IRS”), a Form 8300 report within 15 days of receiving a cash payment of over $10,000. While we receive very few cash payments for the products we sell, if we fail to comply with these laws and regulations, the imposition of a substantial penalty could have a material adverse effect on our business, results of operations and financial condition. We cannot assure that our strategies and techniques for designing our products and solutions for our clients will operate effectively and efficiently and not be adversely impacted by any refusal or reluctance of banks to serve businesses that grow and sell cannabis products. A change in banking regulations or a change in the position of the banking industry that permits banks to serve businesses that grow and sell cannabis products may increase competition for us, facilitate new entrants into the industry offering products or solutions similar to those that we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9" w:name="page40"/>
    <w:bookmarkEnd w:id="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offer, or otherwise adversely affect our results of operations. Also, the inability of potential clients in our target market to open accounts and otherwise use the services of banks or other financial institutions may make it difficult for us to conduct business, including receiving payments in a timely manner.</w:t>
      </w:r>
    </w:p>
    <w:p>
      <w:pPr>
        <w:spacing w:after="0" w:line="7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do not sell cannabis, or products that contain cannabis; accordingly, our company is not part of the cannabis industry that would be restricted from using federal and federally insured banks. However, because of “weed” in our name and the fact that our revenue is generated largely from companies licensed as operators in the cannabis industry, banks have and may continue to consider us to be part of the cannabis industry that is subject to banking restrictions. If we were to lose any of our banking relationships or fail to secure additional banking relationships in the future, we could experience difficulty and incur increased costs in the administration of our business, paying our employees, accepting payments from clients, each of which may adversely affect our reputation or results of operations. Additionally, the closure of many or one of our bank accounts due to a bank’s reluctance to provide services to a business working with state legal cannabis businesses would require significant management attention from us and could materially adversely affect our business and operations. In addition to banks and financial institutions, merchant processors may take a similar view of the risks of working with us since we provide services to cannabis businesses, and loss of any of our merchant processor relationships could have similar results. Moreover, Visa reportedly prohibits processing of transactions involving cannabis on its network, and Mastercard has reportedly stated that it is evaluating the inconsistency between U.S. state and federal cannabis law. In October 2020, we responded to an inquiry from certain of our merchant processors on behalf of Mastercard relating to the applicability of U.S. state and federal law to our services, including our WM Orders services. Although consumers cannot currently purchase products on the Weedmaps marketplace and we do not currently use, nor have we historically used, any of our merchant processing relationships to process payments for cannabis transactions, to the extent Visa or Mastercard extend these restrictions to cannabis-related businesses, our merchant processing relationships could be terminated, or we could be prevented from processing any Visa or Mastercard transactions, which could have a material adverse effect on our business and results of operations.</w:t>
      </w:r>
    </w:p>
    <w:p>
      <w:pPr>
        <w:spacing w:after="0" w:line="1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Participating in transactions involving proceeds derived from cannabis may constitute criminal money laundering.</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Participating in transactions involving proceeds derived from cannabis may constitute criminal money laundering. It is a federal crime to engage in certain transactions involving the proceeds of a “specified unlawful activity” (a “SUA”) when those transactions are designed to promote an underlying SUA, or conceal the source of the funds. Violations of the CSA and violations of a state’s laws may be deemed to be SUAs. In the event that any of our investments, or any proceeds thereof, any dividends or distributions therefrom, or any profits or revenues were found to be in violation of anti-money laundering legislation or otherwise, such transactions may be viewed as proceeds of crime under one or more of statutes of the United States or any other applicable jurisdiction. This could restrict or otherwise jeopardize our ability to declare or pay dividends, effect other distributions, or subsequently require us to repatriate such funds back to the United States from Canada or other foreign jurisdictions.</w:t>
      </w:r>
    </w:p>
    <w:p>
      <w:pPr>
        <w:spacing w:after="0" w:line="5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If any of our clients’ business activities, any dividends or distributions therefrom, or any profits or revenue accruing thereby are found to be in violation of money laundering statutes, we and our investors could be subject to criminal liability and significant penalties and fines. Any violations of these laws, or allegations of such violations could disrupt our operations and involve significant management distraction and expenses. Facing money laundering charges could materially affect our business, operations and financial condition. Additionally, proceeds from our clients’ business activities, if found to be in violation of anti-money laundering laws, could subject payments we have received from those clients to seizure or forfeiture, if they are found to be illegal proceeds of a crime committed by a client, which could have a material adverse effect on our business and our investors. Finally, if we or any of our clients are found to be violating the above statutes, this could have a material adverse effect on our ability to access or maintain financial services, as discussed in detail below, which could, in turn, have a material adverse effect on our business.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5"/>
          <w:szCs w:val="15"/>
          <w:b w:val="1"/>
          <w:bCs w:val="1"/>
          <w:i w:val="1"/>
          <w:iCs w:val="1"/>
          <w:color w:val="auto"/>
        </w:rPr>
        <w:t>We may have difficulty using bankruptcy courts due to our involvement in the regulated cannabis industry.</w:t>
      </w:r>
    </w:p>
    <w:p>
      <w:pPr>
        <w:spacing w:after="0" w:line="152"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currently have no need or plans to seek bankruptcy protection. U.S. courts have held that debtors whose income is derived from cannabis or cannabis assets in violation of the CSA cannot seek federal bankruptcy protections. Although we are not in the business of growing or processing cannabis or selling or even possessing cannabis or cannabis products, a U.S. court could determine that our revenue is derived from cannabis or cannabis assets and prevent us from obtaining bankruptcy protections if necessary.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0" w:name="page41"/>
    <w:bookmarkEnd w:id="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conduct of third parties may jeopardize our business.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cannot guarantee that our systems, protocols, and practices will prevent all unauthorized or illegal activities by our clients. Our success depends in part on our clients’ ability to operate consistently with the regulatory and licensing requirements of each state, local, and regional jurisdiction in which they operate. We have a dedicated Trust and Safety team that reviews cannabis license information for operational cannabis retail clients, both on submission and on an ongoing basis, to ensure validity and accuracy. We require all operational cannabis retailer clients, including storefronts and delivery services, to display on their WMH listing a valid, unexpired state-issued license number. For certain of our products or services, we request additional verification and documentation. We cannot ensure that the conduct of our clients, who are third parties, and their actions could expose them to legal sanctions and costs, which would in turn, adversely affect our business and operations.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conduct of third parties may jeopardize our regulatory compliance.</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While we are a technology company, not a cannabis licensee, and as such, are not subject to commercial cannabis regulations that apply to cannabis operators, we cannot guarantee that our systems, protocols, and practices will prevent any and all unauthorized or illegal activities by our clients. Our success depends in part on our clients’ ability to operate consistently with the regulatory and licensing requirements of each state, local, and regional jurisdiction in which they operate. Despite the procedures and protocols in place for license verification by our Trust</w:t>
      </w:r>
    </w:p>
    <w:p>
      <w:pPr>
        <w:spacing w:after="0" w:line="2" w:lineRule="exact"/>
        <w:rPr>
          <w:sz w:val="20"/>
          <w:szCs w:val="20"/>
          <w:color w:val="auto"/>
        </w:rPr>
      </w:pPr>
    </w:p>
    <w:p>
      <w:pPr>
        <w:jc w:val="both"/>
        <w:ind w:left="300" w:right="299" w:hanging="8"/>
        <w:spacing w:after="0" w:line="302" w:lineRule="auto"/>
        <w:tabs>
          <w:tab w:leader="none" w:pos="488" w:val="left"/>
        </w:tabs>
        <w:numPr>
          <w:ilvl w:val="0"/>
          <w:numId w:val="20"/>
        </w:numPr>
        <w:rPr>
          <w:rFonts w:ascii="Arial" w:cs="Arial" w:eastAsia="Arial" w:hAnsi="Arial"/>
          <w:sz w:val="16"/>
          <w:szCs w:val="16"/>
          <w:color w:val="auto"/>
        </w:rPr>
      </w:pPr>
      <w:r>
        <w:rPr>
          <w:rFonts w:ascii="Arial" w:cs="Arial" w:eastAsia="Arial" w:hAnsi="Arial"/>
          <w:sz w:val="16"/>
          <w:szCs w:val="16"/>
          <w:color w:val="auto"/>
        </w:rPr>
        <w:t>Safety team, any non-compliance by our clients could put our business at risk, as discussed herein, and could also subject us to potential actions by state regulators, to the extent they could be applied to technology service providers, which could materially adversely affect our business, operations, financial condition, brand, and reputation.</w:t>
      </w:r>
    </w:p>
    <w:p>
      <w:pPr>
        <w:spacing w:after="0" w:line="155"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FDA regulation of adult-use and medical-use cannabis, as well as e-cigarettes and other vaping products, could negatively affect the cannabis industry, which would directly affect our financial condition.</w:t>
      </w:r>
    </w:p>
    <w:p>
      <w:pPr>
        <w:spacing w:after="0" w:line="1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Should the federal government legalize cannabis for adult-use and/or medical-use, it is possible that the U.S. Food and Drug Administration (the “FDA”) would seek to regulate it under the Food, Drug and Cosmetics Act of 1938, as it has with federally legal hemp. Additionally, the FDA may issue rules and regulations including certified good manufacturing practices related to the growth, cultivation, harvesting and processing of adult-use and medical-use cannabis. Clinical trials may be needed to verify efficacy and safety. It is also possible that the FDA would require that facilities where adult-use and medical-use cannabis is grown register with the FDA and comply with certain federally prescribed regulations.</w:t>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as a result of the recent lung injuries and deaths associated with e-cigarettes and other vaping products, the FDA and the U.S. Centers for Disease Control and Prevention (the “CDC”) have warned consumers not to use vaping products containing tetrahydrocannabinol (“THC”). While the FDA and the CDC continue to conduct ongoing investigations, it is currently unknown when and whether the FDA will impose additional rules and regulations on e-cigarettes and other vaping products.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the event that some or all of these regulations are imposed, we do not know what the impact would be on the adult-use and medical-use cannabis industry, including what costs, requirements and possible prohibitions may be enforced. If our clients are unable to comply with any new rules, regulations or registration as prescribed by the FDA, or are unable to do so in a cost-effective manner, our clients may be unable to continue to operate their respective business in its current form, or at all, which may also result in our clients being unable to continue engaging our technology services.</w:t>
      </w:r>
    </w:p>
    <w:p>
      <w:pPr>
        <w:spacing w:after="0" w:line="19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believe that Section 230(c)(1) of the Communications Decency Act (“CDA”) provides immunity from civil and state criminal liability, but it is possible that it does not.</w:t>
      </w:r>
    </w:p>
    <w:p>
      <w:pPr>
        <w:spacing w:after="0" w:line="62"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We believe that Section 230(c)(1)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except in limited circumstances related to descriptions of certain cannabis strains. For additional information about Section 230, see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1" w:name="page42"/>
    <w:bookmarkEnd w:id="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section captioned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Despite our belief that we are protected by Section 230, it is possible that we are not, which would subject us to legal, business, and operational risks. In addition, there have been various Congressional efforts to restrict the scope of the protections available to online platforms under Section 230 of the CDA, and our current protections from liability for third-party content in the United States could decrease or change. We could incur significant costs investigating and defending such claims and, if we are found liable, significant damages. We could also face fines or orders restricting or blocking our services in particular geographies as a result of content hosted on our services. For example, recently enacted legislation in Germany may impose significant fines for failure to comply with certain content removal and disclosure obligations.</w:t>
      </w:r>
    </w:p>
    <w:p>
      <w:pPr>
        <w:spacing w:after="0" w:line="30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may continue to be subject to constraints on marketing our products.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Certain of the states in which we operate have enacted strict regulations regarding marketing and sales activities on cannabis products, which could affect our cannabis retail clients’ demand for our listing and marketing services. There may be restrictions on sales and marketing activities of cannabis businesses imposed by government regulatory bodies that can hinder the development of our business and operating results because of the restrictions our clients face. If our clients are unable to effectively market our products and compete for market share, or if the costs of compliance with government legislation and regulation cannot be absorbed through increased selling prices for our products for our clients, this could hamper demand for our products and services from licensed cannabis retailers, which could result in a loss of revenue.</w:t>
      </w:r>
    </w:p>
    <w:p>
      <w:pPr>
        <w:spacing w:after="0" w:line="30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Cannabis businesses are subject to unfavorable U.S. tax treatment.</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Section 280E of the Internal Revenue Code (“Code”) does not allow any deduction or credit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beyond costs of goods sold and asserting assessments and penalties for additional taxes owed. Section 280E may have a lesser impact on cannabis cultivation and manufacturing operations than on sales operations, which directly affects our clients, who are cannabis retailers. However, Section 280E and related IRS enforcement activity have had a significant impact on the operations of all cannabis companies. While the Section does not directly affect our Company, it lowers our clients’ profitability, and could result in decreased demand for our listing and marketing services. An otherwise profitable cannabis business may operate at a loss after taking into account its U.S. income tax expenses. This affects us because our sales and operating results could be adversely affected if our clients decrease their marketing budgets and are operating on lower profit margins as a result of unfavorable treatment by the Code.</w:t>
      </w:r>
    </w:p>
    <w:p>
      <w:pPr>
        <w:spacing w:after="0" w:line="295"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Service providers to cannabis businesses may also be subject to unfavorable U.S. tax treatment.</w:t>
      </w:r>
    </w:p>
    <w:p>
      <w:pPr>
        <w:spacing w:after="0" w:line="12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above, under Section 280E of the Code, no deduction or credit is allowed for any amount paid or incurred during the taxable year in carrying on business, other than costs of goods sold, if the business (or the activities which comprise the trade or business) consists of trafficking in controlled substances (within the meaning of Schedules I and II of the CSA). The IRS has applied this provision to cannabis operations, prohibiting them from deducting expenses associated with cannabis businesses and asserting assessments and penalties for additional taxes owed. While we do believe that Section 280E does not apply to our business, or ancillary service providers that work with state-licensed cannabis businesses, if the IRS interprets the section to apply, it would significantly and materially affect our profitability and financial condition. The MORE Act, which was passed by the House of Representatives but did not become law in the 116th Congress and has not yet been reintroduced into the 117th, would remove marijuana from the CSA, which would effectively carve out state-legal cannabis businesses from Section 280E of the Code.</w:t>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MORE Act would impose two new taxes on cannabis businesses: an excise tax measured by the value of certain cannabis products and an occupational tax assessed on the enterprises engaging in cannabis production and sales. Although these novel tax provisions are included in the MORE Act passed by the House of Representatives, it is challenging to predict whether, when, and in what form the MORE Act could be enacted into law and how any such legislation would affect our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2" w:name="page43"/>
    <w:bookmarkEnd w:id="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Cannabis businesses may be subject to civil asset forfeiture.</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Any property owned by participants in the cannabis industry used in the course of conducting such business, or that represents proceeds of such business or is traceable to proceeds of such business, could be subject to seizure by law enforcement and subsequent civil asset forfeiture because of the illegality of the cannabis industry under federal law. Even if the owner of the property or the assets is never charged with a crime, the property in question could still be seized and subject to an administrative proceeding by which, with minimal due process, it could be subject to forfeiture. Forfeiture of assets of our cannabis business clients could adversely affect our revenues if it impedes their profitability or operations and our clients’ ability to continue to subscribe to our services.</w:t>
      </w:r>
    </w:p>
    <w:p>
      <w:pPr>
        <w:spacing w:after="0" w:line="166" w:lineRule="exact"/>
        <w:rPr>
          <w:sz w:val="20"/>
          <w:szCs w:val="20"/>
          <w:color w:val="auto"/>
        </w:rPr>
      </w:pPr>
    </w:p>
    <w:p>
      <w:pPr>
        <w:jc w:val="both"/>
        <w:ind w:left="300" w:right="299" w:firstLine="360"/>
        <w:spacing w:after="0" w:line="375" w:lineRule="auto"/>
        <w:rPr>
          <w:sz w:val="20"/>
          <w:szCs w:val="20"/>
          <w:color w:val="auto"/>
        </w:rPr>
      </w:pPr>
      <w:r>
        <w:rPr>
          <w:rFonts w:ascii="Arial" w:cs="Arial" w:eastAsia="Arial" w:hAnsi="Arial"/>
          <w:sz w:val="15"/>
          <w:szCs w:val="15"/>
          <w:b w:val="1"/>
          <w:bCs w:val="1"/>
          <w:i w:val="1"/>
          <w:iCs w:val="1"/>
          <w:color w:val="auto"/>
        </w:rPr>
        <w:t>Due to our involvement in the cannabis industry, we may have a difficult time obtaining the various insurances that are desired to operate our business, which may expose us to additional risk and financial liability.</w:t>
      </w:r>
    </w:p>
    <w:p>
      <w:pPr>
        <w:spacing w:after="0" w:line="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Insurance that is otherwise readily available, such as general liability and directors’ and officers’ insurance, is more difficult for us to find and is more expensive or contains significant exclusions because our clients are cannabis industry participants. There are no guarantees that we will be able to find such insurance coverage in the future or that the cost will be affordable to us. If we are forced to go without such insurance coverage, it may prevent us from entering into certain business sectors, may inhibit our growth, and may expose us to additional risk and financial liabilities. If we experience an uninsured loss, it may result in loss of anticipated cash flow and could materially adversely affect our results of operations, financial condition, and business.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There may be difficulty enforcing certain of our commercial agreements and contracts.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Courts will not enforce a contract deemed to involve a violation of law or public policy. Because cannabis remains illegal under U.S. federal law, parties to contracts involving the state legal cannabis industry have argued that the agreement was void as federally illegal or against public policy. Some courts have accepted this argument in certain cases, usually against the company trafficking in cannabis. While courts have enforced contracts related to activities by state-legal cannabis companies, and the trend is generally to enforce contracts with state-legal cannabis companies and their vendors, there remains doubt and uncertainty that we will be able to enforce our commercial agreements in court for this reason. We cannot be assured that we will have a remedy for breach of contract, which would have a material adverse effect on our business.</w:t>
      </w:r>
    </w:p>
    <w:p>
      <w:pPr>
        <w:spacing w:after="0" w:line="17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We may be subject to Telephone Consumer Protections Act (TCPA) risks for our communications with consumers.</w:t>
      </w:r>
    </w:p>
    <w:p>
      <w:pPr>
        <w:spacing w:after="0" w:line="6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Our acquisitions of Cannveya and Sprout will continue to put us directly into contact with consumers and their data. Additionally, we are exploring products for our WM Business customers that would permit them to directly contact consumers.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consumers (including on behalf of our clients) may put us at risk of a TCPA lawsuit.</w:t>
      </w:r>
    </w:p>
    <w:p>
      <w:pPr>
        <w:spacing w:after="0" w:line="16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Certain of our directors, officers, employees and investors who are not U.S. citizens may face constraints on cross-border travel into the United States.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Because cannabis remains illegal under U.S. federal law, non-U.S. citizens employed at or investing in companies doing business in the state legal cannabis industry could face detention, denial of entry or lifetime bans from the United States for their business associations with cannabis businesses. Entry to the United States happens at the sole discretion of the officers on duty of the U.S. Customs and Border Protection (“CBP”), and these officers have wide latitude to ask questions to determine the admissibility of a foreign national. The government of Canada has started warning travelers on its website that previous use of cannabis, or any substance prohibited by U.S. federal laws, could mean denial of entry to the United States. Business or financial involvement in the legal cannabis industry in Canada or in the United States could also be grounds for U.S. border guards to deny entry. On September 21, 2018, CBP released a statement outlining its current position with respect to enforcement of the laws of the United States. It stated that Canada’s legalization of cannabis will not change CBP enforcement of U.S. laws regarding controlled substances and because cannabis continues to be a controlled substance under U.S. federal law, working in 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3" w:name="page44"/>
    <w:bookmarkEnd w:id="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facilitating the proliferation of the legal marijuana industry in U.S. states where it is deemed legal or in Canada may affect admissibility to the United States. CBP updated its stated policy on October 9, 2018 to clarify that a Canadian citizen coming to the United States for reasons unrelated to the cannabis industry will generally be admissible to the United States.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As a result, CBP has affirmed that employees, directors, officers, managers and investors of companies involved in business activities related to cannabis in the United States or Canada (such as us), who are not U.S. citizens, face the risk of being barred from entry into the United States for life. On October 9, 2018, CBP released an additional policy statement indicating that Canadian citizens working in or facilitating the proliferation of the legal cannabis industry in Canada, if travelling to the United States for reasons unrelated to the cannabis industry, will generally be admissible. However, if the traveler is found to be entering into the United States for reasons related to the cannabis industry, he or she may be deemed inadmissible. Ultimately, travel restrictions imposed on our directors, officers, employees and investors could impair our ability to conduct business and to freely explore new strategic relationships.</w:t>
      </w:r>
    </w:p>
    <w:p>
      <w:pPr>
        <w:spacing w:after="0" w:line="2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Ownership of Our Securities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Concentration of ownership among our existing executive officers, directors and their respective affiliates may prevent new investors from influencing significant corporate decisions.</w:t>
      </w:r>
    </w:p>
    <w:p>
      <w:pPr>
        <w:spacing w:after="0" w:line="62"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As of December 31, 2021, our affiliates, executive officers, directors and their respective affiliates as a group beneficially own approximately 45.9% of our outstanding Common Stock. As a result, these stockholders are able to exercise a significant level of control over all matters requiring stockholder approval, including the election of directors, amendment of our Certificate of Incorporation and approval of significant corporate transactions. This control could have the effect of delaying or preventing a change of control of us or changes in management and will make the approval of certain transactions difficult or impossible without the support of these stockholders.</w:t>
      </w:r>
    </w:p>
    <w:p>
      <w:pPr>
        <w:spacing w:after="0" w:line="23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We do not expect to declare any dividends in the foreseeable future.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do not anticipate declaring any cash dividends to holders of Class A Common Stock in the foreseeable future. Consequently, investors may need to rely on sales of their shares after price appreciation, which may never occur, as the only way to realize any future gains on their investment.</w:t>
      </w:r>
    </w:p>
    <w:p>
      <w:pPr>
        <w:spacing w:after="0" w:line="184"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Our Certificate of Incorporation designates specific courts as the exclusive forum for certain stockholder litigation matters, which could limit the ability of our stockholders to obtain a favorable forum for disputes with us or our directors, officers or employees.</w:t>
      </w:r>
    </w:p>
    <w:p>
      <w:pPr>
        <w:spacing w:after="0" w:line="76"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Our Certificate of Incorporation requires, to the fullest extent permitted by law, that derivative actions brought in our name, actions against current or former directors, officers or other employees for breach of fiduciary duty, other similar actions, any other action as to which the DGCL confers jurisdiction to the Court of Chancery of the State of Delaware and any action or proceeding concerning the validity of our Certificate of Incorporation or our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 in writing to the selection of an alternative forum. This provision would not apply to suits brought to enforce a duty or liability created by the Exchange Act or any other claim for which the federal courts have exclusive jurisdiction. Our Certificate of Incorporation also provides that, unless we consent in writing to the selection of an alternative forum, the federal district courts of the U.S. shall be the exclusive forum for the resolution of any complaint asserting a cause of action arising under the Securities Act. This provision may limit our stockholder’s ability to bring a claim in a judicial forum that it finds favorable for disputes with us and our directors, officers or other employees and may have the effect of discouraging lawsuits against our directors, officers and other employees. Furthermore, our stockholders may be subject to increased costs to bring these claims, and the exclusive forum provision could have the effect of discouraging claims or limiting investors’ ability to bring claims in a judicial forum that they find favorable.</w:t>
      </w:r>
    </w:p>
    <w:p>
      <w:pPr>
        <w:spacing w:after="0" w:line="2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 In March 2020, the Delaware Supreme Court issued a decision in Salzburg et al.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4" w:name="page45"/>
    <w:bookmarkEnd w:id="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v. Sciabacucchi, which found that an exclusive forum provision providing for claims under the Securities Act to be brought in federal court is facially valid under Delaware law. We intend to enforce this provision, but we do not know whether courts in other jurisdictions will agree with this decision or enforce it. If a court were to find the exclusive forum provision contained in our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78"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There is no guarantee that the Warrants will be in the money at the time they become exercisable, and they may expire worthless.</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exercise price for our Warrants is $11.50 per share of Class A Common Stock. There is no guarantee that the Warrants will be in the money following the time they become exercisable and prior to their expiration, and as such, the warrants may expire worthless.</w:t>
      </w:r>
    </w:p>
    <w:p>
      <w:pPr>
        <w:spacing w:after="0" w:line="18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b w:val="1"/>
          <w:bCs w:val="1"/>
          <w:i w:val="1"/>
          <w:iCs w:val="1"/>
          <w:color w:val="auto"/>
        </w:rPr>
        <w:t>We may amend the terms of the Warrants in a manner that may be adverse to holders with the approval by the holders of at least 50% of the then-outstanding Public Warrants. As a result, the exercise price of your Warrants could be increased, the exercise period could be shortened and the number of shares of our Class A Common Stock purchasable upon exercise of a Warrant could be decreased, all without your approval.</w:t>
      </w:r>
    </w:p>
    <w:p>
      <w:pPr>
        <w:spacing w:after="0" w:line="49"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Our Warrants are issued in registered form under the Warrant Agreement between the Warrant Agent and us. The Warrant Agreement provides that the terms of the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Class A Common Stock purchasable upon exercise of a Warrant.</w:t>
      </w:r>
    </w:p>
    <w:p>
      <w:pPr>
        <w:spacing w:after="0" w:line="18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warrantholders, thereby making such Warrants worthless.</w:t>
      </w:r>
    </w:p>
    <w:p>
      <w:pPr>
        <w:spacing w:after="0" w:line="6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Class A Common Stock equals or exceeds $18.00 per share (as adjusted for stock splits, stock dividends, reorganizations, recapitalizations and the like) for any 20 trading days within a 30 trading-day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w:t>
      </w:r>
    </w:p>
    <w:p>
      <w:pPr>
        <w:spacing w:after="0" w:line="7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addition, we may redeem your Warrants after they become exercisable for a number of shares of Class A Common Stock determined based on the redemption date and the fair market value of our Class A Common Stock. Any such redemption may have similar consequences to a cash redemption described above. In addition, such redemption may occur at a time when the Warrants are “out-of-the-money,” in which case, you would lose any potential embedded value from a subsequent increase in the value of our Class A Common Stock had your Warrants remained outstanding.</w:t>
      </w:r>
    </w:p>
    <w:p>
      <w:pPr>
        <w:spacing w:after="0" w:line="192"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5" w:name="page46"/>
    <w:bookmarkEnd w:id="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165"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A significant portion of our total outstanding shares of our Class A Common Stock are restricted from immediate resale but may be sold into the market in the near future. This could cause the market price of our Class A Common Stock to drop significantly, even if our business is doing well.</w:t>
      </w:r>
    </w:p>
    <w:p>
      <w:pPr>
        <w:spacing w:after="0" w:line="5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Sales of a substantial number of shares of our Class A Common Stock in the public market could occur at any time. These sales, or the perception in the market that the holders of a large number of shares intend to sell shares, could reduce the market price of our Class A Common Stock. We are unable to predict the effect that sales may have on the prevailing market price of our Class A Common Stock and the Public Warrants.</w:t>
      </w:r>
    </w:p>
    <w:p>
      <w:pPr>
        <w:spacing w:after="0" w:line="63"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the extent our Warrants are exercised, additional shares of our Class A Common Stock will be issued, which will result in dilution to the holders of our Class A Common Stock and increase the number of shares eligible for resale in the public market. Sales, or the potential sales, of substantial numbers of shares in the public market by the Selling Securityholders, subject to certain restrictions on transfer until the termination of applicable lock-up periods, could increase the volatility of the market price of our Class A Common Stock or adversely affect the market price of our Class A Common Stock.</w:t>
      </w:r>
    </w:p>
    <w:p>
      <w:pPr>
        <w:spacing w:after="0" w:line="192" w:lineRule="exact"/>
        <w:rPr>
          <w:sz w:val="20"/>
          <w:szCs w:val="20"/>
          <w:color w:val="auto"/>
        </w:rPr>
      </w:pPr>
    </w:p>
    <w:p>
      <w:pPr>
        <w:jc w:val="both"/>
        <w:ind w:left="300" w:right="319" w:firstLine="360"/>
        <w:spacing w:after="0" w:line="375" w:lineRule="auto"/>
        <w:rPr>
          <w:sz w:val="20"/>
          <w:szCs w:val="20"/>
          <w:color w:val="auto"/>
        </w:rPr>
      </w:pPr>
      <w:r>
        <w:rPr>
          <w:rFonts w:ascii="Arial" w:cs="Arial" w:eastAsia="Arial" w:hAnsi="Arial"/>
          <w:sz w:val="15"/>
          <w:szCs w:val="15"/>
          <w:b w:val="1"/>
          <w:bCs w:val="1"/>
          <w:i w:val="1"/>
          <w:iCs w:val="1"/>
          <w:color w:val="auto"/>
        </w:rPr>
        <w:t>We may issue additional shares of Class A Common Stock or preferred stock, including under our equity incentive plan. Any such issuances would dilute the interest of our stockholders and likely present other risks.</w:t>
      </w:r>
    </w:p>
    <w:p>
      <w:pPr>
        <w:spacing w:after="0" w:line="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may issue a substantial number of additional shares of Class A Common Stock or preferred stock, including under our equity incentive plan. Any such issuances of additional shares of Class A Common Stock or preferred stock:</w:t>
      </w:r>
    </w:p>
    <w:p>
      <w:pPr>
        <w:spacing w:after="0" w:line="76" w:lineRule="exact"/>
        <w:rPr>
          <w:sz w:val="20"/>
          <w:szCs w:val="20"/>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17"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Common Stock if preferred stock is issued with rights senior to those afforded our Class A Common Stock;</w:t>
      </w:r>
    </w:p>
    <w:p>
      <w:pPr>
        <w:spacing w:after="0" w:line="62"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could cause a change in control if a substantial number of shares of our Class A Common Stock are issued, which may affect, among other things, our ability to use our net operating loss carry forwards, if any, and could result in the resignation or removal of our present officers and directors; and</w:t>
      </w:r>
    </w:p>
    <w:p>
      <w:pPr>
        <w:spacing w:after="0" w:line="57" w:lineRule="exact"/>
        <w:rPr>
          <w:rFonts w:ascii="Arial" w:cs="Arial" w:eastAsia="Arial" w:hAnsi="Arial"/>
          <w:sz w:val="17"/>
          <w:szCs w:val="17"/>
          <w:color w:val="auto"/>
        </w:rPr>
      </w:pPr>
    </w:p>
    <w:p>
      <w:pPr>
        <w:ind w:left="1000" w:hanging="348"/>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Common Stock and/or Warrants.</w:t>
      </w:r>
    </w:p>
    <w:p>
      <w:pPr>
        <w:spacing w:after="0" w:line="225"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trading price of our Class A Common Stock and Warrants have been, and may continue to be, volatile, and the value of our Class A Common Stock and Warrants may decline.</w:t>
      </w:r>
    </w:p>
    <w:p>
      <w:pPr>
        <w:spacing w:after="0" w:line="62" w:lineRule="exact"/>
        <w:rPr>
          <w:sz w:val="20"/>
          <w:szCs w:val="20"/>
          <w:color w:val="auto"/>
        </w:rPr>
      </w:pPr>
    </w:p>
    <w:p>
      <w:pPr>
        <w:ind w:left="300" w:right="319" w:firstLine="360"/>
        <w:spacing w:after="0" w:line="308" w:lineRule="auto"/>
        <w:rPr>
          <w:sz w:val="20"/>
          <w:szCs w:val="20"/>
          <w:color w:val="auto"/>
        </w:rPr>
      </w:pPr>
      <w:r>
        <w:rPr>
          <w:rFonts w:ascii="Arial" w:cs="Arial" w:eastAsia="Arial" w:hAnsi="Arial"/>
          <w:sz w:val="17"/>
          <w:szCs w:val="17"/>
          <w:color w:val="auto"/>
        </w:rPr>
        <w:t>The market price of our Class A Common Stock and Warrants have been and may continue to be subject to wide fluctuations in response to numerous factors, many of which are beyond our control, including:</w:t>
      </w:r>
    </w:p>
    <w:p>
      <w:pPr>
        <w:spacing w:after="0" w:line="38" w:lineRule="exact"/>
        <w:rPr>
          <w:sz w:val="20"/>
          <w:szCs w:val="20"/>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projected operational and financial results;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development, effects and enforcement of and changes to laws and regulations, including with respect to the cannabis industry;</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commencement or conclusion of legal proceedings that involve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changes in our growth rate relative to our competitors;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new products or services by us or our competitors;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joint ventures;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capital-raising activities or commitments;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issuance of new or updated research or reports by securities analysts;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use by investors or analysts of third-party data regarding our business that may not reflect our financial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6" w:name="page47"/>
    <w:bookmarkEnd w:id="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our securities, including short selling of our securities;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share price and volume fluctuations attributable to inconsistent trading volume levels of our shares;</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and market conditions;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civil unrest, war, foreign invasions, terrorism, or public health crises, or responses to such events.</w:t>
      </w:r>
    </w:p>
    <w:p>
      <w:pPr>
        <w:spacing w:after="0" w:line="62"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Furthermore, the stock markets frequently experience extreme price and volume fluctuations that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elections, interest rate changes, or international currency fluctuations, may negatively impact the market price of our Class A Common Stock and Warrants. As a result of such fluctuations, you may not realize any return on your investment in us and may lose some or all of your investment. In the past, companies that have experienced volatility in the market price of their stock have been subject to securities class action litigation or derivative litigation. For example, stockholders have filed or threatened to file derivative lawsuits, purportedly on our behalf, in the past and may do so in the future. Such litigation could result in substantial costs and divert our management’s attention from other business concerns.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b w:val="1"/>
          <w:bCs w:val="1"/>
          <w:i w:val="1"/>
          <w:iCs w:val="1"/>
          <w:color w:val="auto"/>
        </w:rPr>
        <w:t>The impact of global, regional or local economic and market conditions may adversely affect our business, operating results and financial condition.</w:t>
      </w:r>
    </w:p>
    <w:p>
      <w:pPr>
        <w:spacing w:after="0" w:line="6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performance is subject to global economic conditions and economic conditions in one or more of our key markets, which impact spending by our clients and consumers. A majority of our clients are small and medium-sized businesses that operate one or two retail locations, and their access to capital, liquidity and other financial resources is constrained due to the regulatory restrictions applicable to cannabis businesses. As a result, these clients may be disproportionately affected by economic downturns.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Clients may choose to allocate their spending to items other than our platform, especially during economic downturns. Economic conditions may also adversely impact retail sales of cannabis. Declining retail sales of cannabis could result in our clients going out of business or deciding to stop using our platform to conserve financial resources. Negative economic conditions may also affect third parties with whom we have entered into relationships and upon whom we depend in order to grow our business.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Furthermore, economic downturns could also lead to limitations on our ability to obtain debt or equity financing on favorable terms or at all, reduced liquidity, decreases in the market price of our securities, decreases in the fair market value of our financial or other assets, and write-downs of and increased credit and collectability risk on our trade receivables, any of which could have a material adverse effect on our business, operating results or financial condition.</w:t>
      </w:r>
    </w:p>
    <w:p>
      <w:pPr>
        <w:spacing w:after="0" w:line="18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b w:val="1"/>
          <w:bCs w:val="1"/>
          <w:i w:val="1"/>
          <w:iCs w:val="1"/>
          <w:color w:val="auto"/>
        </w:rPr>
        <w:t>Catastrophic events may disrupt our business and impair our ability to provide our platform to clients and consumers, resulting in costs for remediation, client and consumer dissatisfaction, and other business or financial losses.</w:t>
      </w:r>
    </w:p>
    <w:p>
      <w:pPr>
        <w:spacing w:after="0" w:line="76"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Our operations depend, in part, on our ability to protect our facilities against damage or interruption from natural disasters, power or telecommunications failures, criminal acts and similar events. Despite precautions taken at our facilities, the occurrence of a natural disaster, an act of terrorism, vandalism or sabotage, spikes in usage volume or other unanticipated problems at a facility could result in lengthy interruptions in the availability of our platform. Even with current and planned disaster recovery arrangements, our business could be harmed. Also, in the event of damage or interruption, our insurance policies may not adequately compensate us for any losses that we may incur. These factors in turn could further reduce revenue, subject us to liability and lead to decreased usage of our platform and decrease sales of our advertising placements, any of which could harm our business.</w:t>
      </w:r>
    </w:p>
    <w:p>
      <w:pPr>
        <w:spacing w:after="0" w:line="165"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b w:val="1"/>
          <w:bCs w:val="1"/>
          <w:i w:val="1"/>
          <w:iCs w:val="1"/>
          <w:color w:val="auto"/>
        </w:rPr>
        <w:t>We will incur increased costs and administrative burden as a result of operating as a public company, and our management will devote substantial time to new compliance initiatives.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and these expenses may increase even more now that we are no longer an emerging growth company, as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47" w:name="page48"/>
    <w:bookmarkEnd w:id="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defined in Section 2(a) of the Securities Act. As a public company, we are subject to the requirements of the Exchange Act, the Sarbanes-Oxley Act, the Dodd-Frank Wall Street Reform and Consumer Protection Act of 2010, and the rules and regulations promulgated and to be promulgated thereunder, Public Company Accounting Oversight Board (the “PCAOB”), as well as rules adopted, and to be adopted, by the SEC and Nasdaq. Our management and other personnel devote a substantial amount of time to these compliance initiatives. Moreover, we expect these rules and regulations to substantially increase our legal and financial compliance costs and to make some activities more time-consuming and costly. The increased costs will increase our net loss. Compliance with public company requirements will increase costs and make certain activities more time-consuming. A number of those requirements will require us to carry out activities we have not done previously. For example, we created new board committees and adopted new internal controls and disclosure controls and procedures. In addition, expenses associated with SEC reporting requirements will be incurred. Furthermore, if any issues in complying with those requirements are identified (for example, if we or our independent registered public accounting firm identifies additional material weaknesses or significant deficiency in the internal control over financial reporting), we could incur additional costs rectifying those issues, and the existence of those issues could adversely affect our reputation or investor perceptions of it. It may also be more expensive to obtain director and officer liability insurance. We cannot predict or estimate the amount or timing of additional costs it may incur to respond to these requirements. The impact of these requirements could also make it more difficult for us to attract and retain qualified persons to serve on our board of directors, our board committees or as executive officers.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0" w:lineRule="exact"/>
        <w:rPr>
          <w:sz w:val="20"/>
          <w:szCs w:val="20"/>
          <w:color w:val="auto"/>
        </w:rPr>
      </w:pPr>
    </w:p>
    <w:p>
      <w:pPr>
        <w:spacing w:after="0" w:line="32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b w:val="1"/>
          <w:bCs w:val="1"/>
          <w:i w:val="1"/>
          <w:iCs w:val="1"/>
          <w:color w:val="auto"/>
        </w:rPr>
        <w:t>We are no longer an “emerging growth company” or a “smaller reporting company” and the reduced disclosure requirements applicable to emerging growth companies and smaller reporting companies no longer apply to us.</w:t>
      </w:r>
    </w:p>
    <w:p>
      <w:pPr>
        <w:spacing w:after="0" w:line="76"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no longer an emerging growth company. As a result, we are now subject to certain disclosure requirements that are applicable to other public companies that had not been applicable to us as an emerging growth company. These requirements include:</w:t>
      </w:r>
    </w:p>
    <w:p>
      <w:pPr>
        <w:spacing w:after="0" w:line="76" w:lineRule="exact"/>
        <w:rPr>
          <w:sz w:val="20"/>
          <w:szCs w:val="20"/>
          <w:color w:val="auto"/>
        </w:rPr>
      </w:pPr>
    </w:p>
    <w:p>
      <w:pPr>
        <w:ind w:left="1000" w:right="319" w:hanging="348"/>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the auditor attestation requirements in the assessment of our internal control over financial reporting;</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compliance with any requirement that may be adopted by the PCAOB regarding mandatory audit firm rotation or a supplement to the auditor’s report providing additional information about the audit and the financial statements;</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full disclosure obligations regarding executive compensation; and</w:t>
      </w:r>
    </w:p>
    <w:p>
      <w:pPr>
        <w:spacing w:after="0" w:line="117"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the requirements of holding a nonbinding advisory vote on executive compensation and shareholder approval of any golden parachute payments not previously approved.</w:t>
      </w:r>
    </w:p>
    <w:p>
      <w:pPr>
        <w:spacing w:after="0" w:line="38"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are also no longer a smaller reporting company and are no longer permitted to rely on exemptions for smaller reporting companies from certain disclosure requirements that are applicable to other public companies that are not smaller reporting companies. Similar to emerging growth companies, smaller reporting companies are able to provide simplified executive compensation disclosure and have certain other reduced disclosure obligations, including, among other things, being required to provide only two years of audited financial statements and not being required to provide selected financial data, supplemental financial information or risk factors.</w:t>
      </w:r>
    </w:p>
    <w:p>
      <w:pPr>
        <w:spacing w:after="0" w:line="2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Our employees and independent contractors may engage in misconduct or other improper activities, which could have an adverse effect on our business, prospects, financial condition and operating results.</w:t>
      </w:r>
    </w:p>
    <w:p>
      <w:pPr>
        <w:spacing w:after="0" w:line="1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are exposed to the risk that our employees and independent contractors may engage in misconduct or other illegal activity. Misconduct by these parties could include intentional, reckless or negligent conduct or other activities that violate laws and regulations, including production standards, U.S. federal and state fraud, abuse, data privacy and security laws, other similar non-U.S. laws or laws that require the true, complete and accurate reporting of financial information or data. It is not always possible to identify and deter misconduct by employees and other third parties,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8" w:name="page49"/>
    <w:bookmarkEnd w:id="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prospects, financial condition and operating results, including, without limitation, the imposition of significant civil, criminal and administrative penalties, damages, monetary fines, disgorgement, integrity oversight and reporting obligations to resolve allegations of non-compliance, imprisonment, other sanctions, contractual damages, reputational harm, diminished profits and future earnings and curtailment of our operations, any of which could adversely affect our business, prospects, financial condition and operating results.</w:t>
      </w:r>
    </w:p>
    <w:p>
      <w:pPr>
        <w:spacing w:after="0" w:line="354"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b w:val="1"/>
          <w:bCs w:val="1"/>
          <w:i w:val="1"/>
          <w:iCs w:val="1"/>
          <w:color w:val="auto"/>
        </w:rPr>
        <w:t>If securities or industry analysts do not publish or cease publishing research or reports about us, our business or our market, or if they change their recommendations regarding our Class A Common Stock adversely, the price and trading volume of our Class A Common Stock could decline.</w:t>
      </w:r>
    </w:p>
    <w:p>
      <w:pPr>
        <w:spacing w:after="0" w:line="5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Class A Common Stock would likely decline. If any analyst who may cover us were to cease their coverage or fail to regularly publish reports on us, we could lose visibility in the financial markets, which could cause our stock price or trading volume to decline.</w:t>
      </w:r>
    </w:p>
    <w:p>
      <w:pPr>
        <w:spacing w:after="0" w:line="326"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We may not have sufficient funds to satisfy indemnification claims of our directors and executive officers.</w:t>
      </w:r>
    </w:p>
    <w:p>
      <w:pPr>
        <w:spacing w:after="0" w:line="14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agreed to indemnify our officers and directors to the fullest extent permitted by law. Accordingly, any indemnification provided will be able to be satisfied by us only if we have sufficient funds.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9" w:name="page50"/>
    <w:bookmarkEnd w:id="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0" w:name="page51"/>
    <w:bookmarkEnd w:id="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offering price of the shares of Class A Common Stock underlying the Warrants offered hereby is determined by reference to the exercise price of the Warrants of $11.50 per share. The Public Warrants are listed on Nasdaq under the symbol “MAPSW.”</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cannot currently determine the price or prices at which shares of our Class A Common Stock or Warrants may be sold by the Selling Securityholders under this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1" w:name="page52"/>
    <w:bookmarkEnd w:id="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INFORMATION FOR COMMON STOCK AND DIVIDEND POLICY</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Information</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Class A Common Stock and Public Warrants are currently listed on The Nasdaq Global Select Market under the symbols “MAPS” and “MAPSW,” respectively. Prior to the consummation of the Business Combination, our Class A Common Stock and our Public Warrants were listed on Nasdaq under the symbols “SSPKU” and “SSPKW,” respectively. As of February 18, 2022, there were 70,399,067 shares of Class A Common Stock issued and outstanding held of record by 117 holders, 65,502,347 shares of Class V Common Stock issued and outstanding held of record by 23 holders and 19,499,993 Warrants (defined below) outstanding held of record by two holders. No market exists for the Class V Common Stock.</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We have not paid any cash dividends on the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we or our subsidiaries incur. We do not anticipate declaring any cash dividends to holders of Common Stock in the foreseeable future.</w:t>
      </w:r>
    </w:p>
    <w:p>
      <w:pPr>
        <w:spacing w:after="0" w:line="30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As of June 16, 2021, we did not have any securities authorized for issuance under equity compensation plans. In connection with the Business Combination, our stockholders approved WM Technology, Inc. 2021 Equity Incentive Plan (the “2021 Plan”) on June 10, 2021, which became effective immediately upon the Closing.</w:t>
      </w:r>
    </w:p>
    <w:p>
      <w:pPr>
        <w:spacing w:after="0" w:line="41"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On August 26, 2021, we filed a registration statement on Form S-8 under the Securities Act to register the shares of Class A Common Stock issued or issuable under the 2021 Plan. The Form S-8 registration statement also covers shares of Class A Common Stock underlying the 2021 Plan, which can be sold in the public market upon issuance, subject to applicable restrictions. The Form S-8 registration statement became effective automatically upon filing.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2" w:name="page53"/>
    <w:bookmarkEnd w:id="52"/>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HISTORICAL FINANCIAL AND OPERATING DATA</w:t>
      </w:r>
    </w:p>
    <w:p>
      <w:pPr>
        <w:spacing w:after="0" w:line="121" w:lineRule="exact"/>
        <w:rPr>
          <w:sz w:val="20"/>
          <w:szCs w:val="20"/>
          <w:color w:val="auto"/>
        </w:rPr>
      </w:pPr>
    </w:p>
    <w:p>
      <w:pPr>
        <w:jc w:val="both"/>
        <w:ind w:left="1300" w:right="1300" w:firstLine="360"/>
        <w:spacing w:after="0" w:line="271" w:lineRule="auto"/>
        <w:rPr>
          <w:sz w:val="20"/>
          <w:szCs w:val="20"/>
          <w:color w:val="auto"/>
        </w:rPr>
      </w:pPr>
      <w:r>
        <w:rPr>
          <w:rFonts w:ascii="Arial" w:cs="Arial" w:eastAsia="Arial" w:hAnsi="Arial"/>
          <w:sz w:val="17"/>
          <w:szCs w:val="17"/>
          <w:color w:val="auto"/>
        </w:rPr>
        <w:t>The following tables set forth a summary of our historical consolidated financial and operating data as of, and for the periods ended on, the dates indicated. The selected historical consolidated statements of income data for the years ended December 31, 2019, 2020 and 2021, and the historical consolidated balance sheet data as of December 31, 2020 and 2021, are derived from our audited consolidated financial statements included elsewhere in this prospectus. Our historical results are not necessarily indicative of the results that may be expected in the future. You should read the following selected historical consolidated financial and operating data together with “Management’s Discussion and Analysis of Financial Condition and Results of Operations” and our consolidated financial statements and related notes included elsewhere in this prospectus.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Consolidated Statements of Income Data:</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ind w:right="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9"/>
                <w:szCs w:val="19"/>
                <w:color w:val="auto"/>
              </w:rPr>
            </w:pPr>
          </w:p>
        </w:tc>
        <w:tc>
          <w:tcPr>
            <w:tcW w:w="800" w:type="dxa"/>
            <w:vAlign w:val="bottom"/>
            <w:gridSpan w:val="2"/>
          </w:tcPr>
          <w:p>
            <w:pPr>
              <w:jc w:val="right"/>
              <w:ind w:right="5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7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120" w:type="dxa"/>
            <w:vAlign w:val="bottom"/>
            <w:gridSpan w:val="10"/>
          </w:tcPr>
          <w:p>
            <w:pPr>
              <w:jc w:val="center"/>
              <w:ind w:right="1440"/>
              <w:spacing w:after="0"/>
              <w:rPr>
                <w:sz w:val="20"/>
                <w:szCs w:val="20"/>
                <w:color w:val="auto"/>
              </w:rPr>
            </w:pPr>
            <w:r>
              <w:rPr>
                <w:rFonts w:ascii="Arial" w:cs="Arial" w:eastAsia="Arial" w:hAnsi="Arial"/>
                <w:sz w:val="14"/>
                <w:szCs w:val="14"/>
                <w:b w:val="1"/>
                <w:bCs w:val="1"/>
                <w:color w:val="auto"/>
                <w:w w:val="91"/>
              </w:rPr>
              <w:t>(in thousands, except unit and share data)</w:t>
            </w:r>
          </w:p>
        </w:tc>
        <w:tc>
          <w:tcPr>
            <w:tcW w:w="0" w:type="dxa"/>
            <w:vAlign w:val="bottom"/>
          </w:tcPr>
          <w:p>
            <w:pPr>
              <w:spacing w:after="0"/>
              <w:rPr>
                <w:sz w:val="1"/>
                <w:szCs w:val="1"/>
                <w:color w:val="auto"/>
              </w:rPr>
            </w:pPr>
          </w:p>
        </w:tc>
      </w:tr>
      <w:tr>
        <w:trPr>
          <w:trHeight w:val="53"/>
        </w:trPr>
        <w:tc>
          <w:tcPr>
            <w:tcW w:w="1300" w:type="dxa"/>
            <w:vAlign w:val="bottom"/>
          </w:tcPr>
          <w:p>
            <w:pPr>
              <w:spacing w:after="0"/>
              <w:rPr>
                <w:sz w:val="4"/>
                <w:szCs w:val="4"/>
                <w:color w:val="auto"/>
              </w:rPr>
            </w:pPr>
          </w:p>
        </w:tc>
        <w:tc>
          <w:tcPr>
            <w:tcW w:w="4080" w:type="dxa"/>
            <w:vAlign w:val="bottom"/>
            <w:tcBorders>
              <w:bottom w:val="single" w:sz="8" w:color="CCEEFF"/>
            </w:tcBorders>
          </w:tcPr>
          <w:p>
            <w:pPr>
              <w:spacing w:after="0"/>
              <w:rPr>
                <w:sz w:val="4"/>
                <w:szCs w:val="4"/>
                <w:color w:val="auto"/>
              </w:rPr>
            </w:pPr>
          </w:p>
        </w:tc>
        <w:tc>
          <w:tcPr>
            <w:tcW w:w="14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$144,232</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7,630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7,938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Sales and marketing</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39,746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30,716</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56,119</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29,497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27,142</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35,395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56,466</w:t>
            </w:r>
          </w:p>
        </w:tc>
        <w:tc>
          <w:tcPr>
            <w:tcW w:w="180" w:type="dxa"/>
            <w:vAlign w:val="bottom"/>
          </w:tcPr>
          <w:p>
            <w:pPr>
              <w:spacing w:after="0"/>
              <w:rPr>
                <w:sz w:val="23"/>
                <w:szCs w:val="23"/>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51,127</w:t>
            </w: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97,447</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w:t>
            </w:r>
          </w:p>
        </w:tc>
        <w:tc>
          <w:tcPr>
            <w:tcW w:w="1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137,945</w:t>
            </w:r>
          </w:p>
        </w:tc>
        <w:tc>
          <w:tcPr>
            <w:tcW w:w="180" w:type="dxa"/>
            <w:vAlign w:val="bottom"/>
          </w:tcPr>
          <w:p>
            <w:pPr>
              <w:spacing w:after="0"/>
              <w:rPr>
                <w:sz w:val="24"/>
                <w:szCs w:val="24"/>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8"/>
                <w:szCs w:val="18"/>
                <w:color w:val="auto"/>
              </w:rPr>
              <w:t>120,593</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201,324</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8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41,198</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(8,178)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fair value of warrant liability</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expense, net</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(5,341)</w:t>
            </w:r>
          </w:p>
        </w:tc>
        <w:tc>
          <w:tcPr>
            <w:tcW w:w="1120" w:type="dxa"/>
            <w:vAlign w:val="bottom"/>
            <w:gridSpan w:val="4"/>
          </w:tcPr>
          <w:p>
            <w:pPr>
              <w:jc w:val="right"/>
              <w:ind w:right="260"/>
              <w:spacing w:after="0"/>
              <w:rPr>
                <w:sz w:val="20"/>
                <w:szCs w:val="20"/>
                <w:color w:val="auto"/>
              </w:rPr>
            </w:pPr>
            <w:r>
              <w:rPr>
                <w:rFonts w:ascii="Arial" w:cs="Arial" w:eastAsia="Arial" w:hAnsi="Arial"/>
                <w:sz w:val="18"/>
                <w:szCs w:val="18"/>
                <w:color w:val="auto"/>
              </w:rPr>
              <w:t>(2,368)</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(6,723)</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946</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1,321</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(601)</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from continuing operations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discontinued operations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2080" w:type="dxa"/>
            <w:vAlign w:val="bottom"/>
            <w:gridSpan w:val="3"/>
          </w:tcPr>
          <w:p>
            <w:pPr>
              <w:jc w:val="right"/>
              <w:ind w:right="1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300" w:type="dxa"/>
            <w:vAlign w:val="bottom"/>
          </w:tcPr>
          <w:p>
            <w:pPr>
              <w:spacing w:after="0"/>
              <w:rPr>
                <w:sz w:val="24"/>
                <w:szCs w:val="24"/>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38,830</w:t>
            </w:r>
          </w:p>
        </w:tc>
        <w:tc>
          <w:tcPr>
            <w:tcW w:w="3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152,218</w:t>
            </w:r>
          </w:p>
        </w:tc>
        <w:tc>
          <w:tcPr>
            <w:tcW w:w="80" w:type="dxa"/>
            <w:vAlign w:val="bottom"/>
            <w:tcBorders>
              <w:bottom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3"/>
                <w:szCs w:val="23"/>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91,835</w:t>
            </w: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4"/>
              </w:rPr>
              <w:t>Net income (loss) attributable to WM Technology, Inc.</w:t>
            </w:r>
          </w:p>
        </w:tc>
        <w:tc>
          <w:tcPr>
            <w:tcW w:w="1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$ 38,830</w:t>
            </w:r>
          </w:p>
        </w:tc>
        <w:tc>
          <w:tcPr>
            <w:tcW w:w="3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00" w:type="dxa"/>
            <w:vAlign w:val="bottom"/>
          </w:tcPr>
          <w:p>
            <w:pPr>
              <w:spacing w:after="0"/>
              <w:rPr>
                <w:sz w:val="24"/>
                <w:szCs w:val="24"/>
                <w:color w:val="auto"/>
              </w:rPr>
            </w:pPr>
          </w:p>
        </w:tc>
        <w:tc>
          <w:tcPr>
            <w:tcW w:w="40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w w:val="89"/>
              </w:rPr>
              <w:t>Earnings (Loss) Per Share of Class A Common Stock</w:t>
            </w:r>
          </w:p>
        </w:tc>
        <w:tc>
          <w:tcPr>
            <w:tcW w:w="14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0.93</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8"/>
        </w:trPr>
        <w:tc>
          <w:tcPr>
            <w:tcW w:w="1300" w:type="dxa"/>
            <w:vAlign w:val="bottom"/>
          </w:tcPr>
          <w:p>
            <w:pPr>
              <w:spacing w:after="0"/>
              <w:rPr>
                <w:sz w:val="24"/>
                <w:szCs w:val="24"/>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shares outstanding</w:t>
            </w:r>
          </w:p>
        </w:tc>
        <w:tc>
          <w:tcPr>
            <w:tcW w:w="1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65,013,517</w:t>
            </w:r>
          </w:p>
        </w:tc>
        <w:tc>
          <w:tcPr>
            <w:tcW w:w="80" w:type="dxa"/>
            <w:vAlign w:val="bottom"/>
            <w:shd w:val="clear" w:color="auto" w:fill="CCEEFF"/>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1300" w:type="dxa"/>
            <w:vAlign w:val="bottom"/>
          </w:tcPr>
          <w:p>
            <w:pPr>
              <w:spacing w:after="0"/>
              <w:rPr>
                <w:sz w:val="4"/>
                <w:szCs w:val="4"/>
                <w:color w:val="auto"/>
              </w:rPr>
            </w:pPr>
          </w:p>
        </w:tc>
        <w:tc>
          <w:tcPr>
            <w:tcW w:w="408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5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7"/>
        </w:trPr>
        <w:tc>
          <w:tcPr>
            <w:tcW w:w="1300" w:type="dxa"/>
            <w:vAlign w:val="bottom"/>
          </w:tcPr>
          <w:p>
            <w:pPr>
              <w:spacing w:after="0"/>
              <w:rPr>
                <w:sz w:val="24"/>
                <w:szCs w:val="24"/>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Weighted average diluted shares outstanding</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980" w:type="dxa"/>
            <w:vAlign w:val="bottom"/>
            <w:gridSpan w:val="3"/>
          </w:tcPr>
          <w:p>
            <w:pPr>
              <w:jc w:val="right"/>
              <w:ind w:right="300"/>
              <w:spacing w:after="0"/>
              <w:rPr>
                <w:sz w:val="20"/>
                <w:szCs w:val="20"/>
                <w:color w:val="auto"/>
              </w:rPr>
            </w:pPr>
            <w:r>
              <w:rPr>
                <w:rFonts w:ascii="Arial" w:cs="Arial" w:eastAsia="Arial" w:hAnsi="Arial"/>
                <w:sz w:val="18"/>
                <w:szCs w:val="18"/>
                <w:color w:val="auto"/>
              </w:rPr>
              <w:t>N/A</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66,813,417</w:t>
            </w: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30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00" w:type="dxa"/>
            <w:vAlign w:val="bottom"/>
            <w:vMerge w:val="restart"/>
          </w:tcPr>
          <w:p>
            <w:pPr>
              <w:jc w:val="right"/>
              <w:ind w:right="1090"/>
              <w:spacing w:after="0"/>
              <w:rPr>
                <w:sz w:val="20"/>
                <w:szCs w:val="20"/>
                <w:color w:val="auto"/>
              </w:rPr>
            </w:pPr>
            <w:r>
              <w:rPr>
                <w:rFonts w:ascii="Arial" w:cs="Arial" w:eastAsia="Arial" w:hAnsi="Arial"/>
                <w:sz w:val="18"/>
                <w:szCs w:val="18"/>
                <w:color w:val="auto"/>
                <w:w w:val="99"/>
              </w:rPr>
              <w:t>49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13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-5674360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5398135</wp:posOffset>
            </wp:positionH>
            <wp:positionV relativeFrom="paragraph">
              <wp:posOffset>-5862955</wp:posOffset>
            </wp:positionV>
            <wp:extent cx="15430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4772025</wp:posOffset>
            </wp:positionH>
            <wp:positionV relativeFrom="paragraph">
              <wp:posOffset>-5862955</wp:posOffset>
            </wp:positionV>
            <wp:extent cx="15430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4305" cy="8890"/>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53" w:name="page54"/>
    <w:bookmarkEnd w:id="53"/>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769620</wp:posOffset>
            </wp:positionV>
            <wp:extent cx="5349240" cy="2228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Earnings (Loss) Per Unit</w:t>
      </w:r>
    </w:p>
    <w:p>
      <w:pPr>
        <w:spacing w:after="0" w:line="121" w:lineRule="exact"/>
        <w:rPr>
          <w:sz w:val="20"/>
          <w:szCs w:val="20"/>
          <w:color w:val="auto"/>
        </w:rPr>
      </w:pPr>
    </w:p>
    <w:p>
      <w:pPr>
        <w:ind w:left="1480" w:hanging="179"/>
        <w:spacing w:after="0" w:line="277" w:lineRule="auto"/>
        <w:rPr>
          <w:sz w:val="20"/>
          <w:szCs w:val="20"/>
          <w:color w:val="auto"/>
        </w:rPr>
      </w:pPr>
      <w:r>
        <w:rPr>
          <w:rFonts w:ascii="Arial" w:cs="Arial" w:eastAsia="Arial" w:hAnsi="Arial"/>
          <w:sz w:val="18"/>
          <w:szCs w:val="18"/>
          <w:color w:val="auto"/>
        </w:rPr>
        <w:t>Basic and diluted earnings (loss) per Class A-1, A-2 and A-3 units from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40005</wp:posOffset>
            </wp:positionV>
            <wp:extent cx="5349240"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349240" cy="394335"/>
                    </a:xfrm>
                    <a:prstGeom prst="rect">
                      <a:avLst/>
                    </a:prstGeom>
                    <a:noFill/>
                  </pic:spPr>
                </pic:pic>
              </a:graphicData>
            </a:graphic>
          </wp:anchor>
        </w:drawing>
      </w:r>
    </w:p>
    <w:p>
      <w:pPr>
        <w:spacing w:after="0" w:line="123" w:lineRule="exact"/>
        <w:rPr>
          <w:sz w:val="20"/>
          <w:szCs w:val="20"/>
          <w:color w:val="auto"/>
        </w:rPr>
      </w:pPr>
    </w:p>
    <w:p>
      <w:pPr>
        <w:ind w:left="1480" w:right="460" w:hanging="179"/>
        <w:spacing w:after="0" w:line="277" w:lineRule="auto"/>
        <w:rPr>
          <w:sz w:val="20"/>
          <w:szCs w:val="20"/>
          <w:color w:val="auto"/>
        </w:rPr>
      </w:pPr>
      <w:r>
        <w:rPr>
          <w:rFonts w:ascii="Arial" w:cs="Arial" w:eastAsia="Arial" w:hAnsi="Arial"/>
          <w:sz w:val="18"/>
          <w:szCs w:val="18"/>
          <w:color w:val="auto"/>
        </w:rPr>
        <w:t>Basic and diluted earnings per Class A-1, A-2 and A-3 units from discontinued operations</w:t>
      </w:r>
    </w:p>
    <w:p>
      <w:pPr>
        <w:spacing w:after="0" w:line="143" w:lineRule="exact"/>
        <w:rPr>
          <w:sz w:val="20"/>
          <w:szCs w:val="20"/>
          <w:color w:val="auto"/>
        </w:rPr>
      </w:pPr>
    </w:p>
    <w:p>
      <w:pPr>
        <w:ind w:left="1300" w:right="400"/>
        <w:spacing w:after="0" w:line="588" w:lineRule="auto"/>
        <w:rPr>
          <w:sz w:val="20"/>
          <w:szCs w:val="20"/>
          <w:color w:val="auto"/>
        </w:rPr>
      </w:pPr>
      <w:r>
        <w:rPr>
          <w:rFonts w:ascii="Arial" w:cs="Arial" w:eastAsia="Arial" w:hAnsi="Arial"/>
          <w:sz w:val="16"/>
          <w:szCs w:val="16"/>
          <w:color w:val="auto"/>
        </w:rPr>
        <w:t>Basic and diluted earnings (loss) per Class A-1, A-2 and A-3 units Basic and diluted weighted-average number of units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-365760</wp:posOffset>
            </wp:positionV>
            <wp:extent cx="5349240" cy="2317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22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Balance Sheet Data:</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49530</wp:posOffset>
            </wp:positionV>
            <wp:extent cx="5349240" cy="2228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349240" cy="222885"/>
                    </a:xfrm>
                    <a:prstGeom prst="rect">
                      <a:avLst/>
                    </a:prstGeom>
                    <a:noFill/>
                  </pic:spPr>
                </pic:pic>
              </a:graphicData>
            </a:graphic>
          </wp:anchor>
        </w:drawing>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Cash</w:t>
      </w:r>
    </w:p>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-6985</wp:posOffset>
            </wp:positionV>
            <wp:extent cx="5349240" cy="2057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assets</w:t>
      </w:r>
    </w:p>
    <w:p>
      <w:pPr>
        <w:spacing w:after="0" w:line="10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48895</wp:posOffset>
            </wp:positionV>
            <wp:extent cx="5349240" cy="2057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liabilities</w:t>
      </w:r>
    </w:p>
    <w:p>
      <w:pPr>
        <w:spacing w:after="0" w:line="11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203200</wp:posOffset>
            </wp:positionV>
            <wp:extent cx="8229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49" w:lineRule="exact"/>
        <w:rPr>
          <w:sz w:val="20"/>
          <w:szCs w:val="20"/>
          <w:color w:val="auto"/>
        </w:rPr>
      </w:pPr>
    </w:p>
    <w:p>
      <w:pPr>
        <w:ind w:left="1640" w:hanging="348"/>
        <w:spacing w:after="0"/>
        <w:tabs>
          <w:tab w:leader="none" w:pos="16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Working capital is defined as current assets less current liabilities.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39370</wp:posOffset>
            </wp:positionV>
            <wp:extent cx="17748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00" w:lineRule="exact"/>
        <w:rPr>
          <w:sz w:val="20"/>
          <w:szCs w:val="20"/>
          <w:color w:val="auto"/>
        </w:rPr>
      </w:pPr>
    </w:p>
    <w:p>
      <w:pPr>
        <w:ind w:left="220"/>
        <w:spacing w:after="0"/>
        <w:tabs>
          <w:tab w:leader="none" w:pos="1160" w:val="left"/>
          <w:tab w:leader="none" w:pos="218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49530</wp:posOffset>
            </wp:positionV>
            <wp:extent cx="17748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74825" cy="825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(in thousands, except unit and share data)</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561"/>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1"/>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4"/>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260"/>
              <w:spacing w:after="0"/>
              <w:rPr>
                <w:sz w:val="20"/>
                <w:szCs w:val="20"/>
                <w:color w:val="auto"/>
              </w:rPr>
            </w:pPr>
            <w:r>
              <w:rPr>
                <w:rFonts w:ascii="Arial" w:cs="Arial" w:eastAsia="Arial" w:hAnsi="Arial"/>
                <w:sz w:val="18"/>
                <w:szCs w:val="18"/>
                <w:color w:val="auto"/>
              </w:rPr>
              <w:t>(0.42)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43.18</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r>
        <w:trPr>
          <w:trHeight w:val="345"/>
        </w:trPr>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899,160</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899,160</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w w:val="99"/>
              </w:rPr>
              <w:t>N/A</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As of the</w:t>
      </w:r>
    </w:p>
    <w:p>
      <w:pPr>
        <w:spacing w:after="0" w:line="4"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39370</wp:posOffset>
            </wp:positionV>
            <wp:extent cx="16973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6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2021</w:t>
            </w:r>
          </w:p>
        </w:tc>
      </w:tr>
      <w:tr>
        <w:trPr>
          <w:trHeight w:val="53"/>
        </w:trPr>
        <w:tc>
          <w:tcPr>
            <w:tcW w:w="660" w:type="dxa"/>
            <w:vAlign w:val="bottom"/>
            <w:tcBorders>
              <w:bottom w:val="single" w:sz="8" w:color="auto"/>
            </w:tcBorders>
          </w:tcPr>
          <w:p>
            <w:pPr>
              <w:spacing w:after="0"/>
              <w:rPr>
                <w:sz w:val="4"/>
                <w:szCs w:val="4"/>
                <w:color w:val="auto"/>
              </w:rPr>
            </w:pPr>
          </w:p>
        </w:tc>
        <w:tc>
          <w:tcPr>
            <w:tcW w:w="36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77"/>
        </w:trPr>
        <w:tc>
          <w:tcPr>
            <w:tcW w:w="660" w:type="dxa"/>
            <w:vAlign w:val="bottom"/>
          </w:tcPr>
          <w:p>
            <w:pPr>
              <w:jc w:val="right"/>
              <w:spacing w:after="0"/>
              <w:rPr>
                <w:sz w:val="20"/>
                <w:szCs w:val="20"/>
                <w:color w:val="auto"/>
              </w:rPr>
            </w:pPr>
            <w:r>
              <w:rPr>
                <w:rFonts w:ascii="Arial" w:cs="Arial" w:eastAsia="Arial" w:hAnsi="Arial"/>
                <w:sz w:val="18"/>
                <w:szCs w:val="18"/>
                <w:color w:val="auto"/>
                <w:w w:val="93"/>
              </w:rPr>
              <w:t>$ 4,968</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$19,919</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1"/>
              </w:rPr>
              <w:t>$ 67,777</w:t>
            </w:r>
          </w:p>
        </w:tc>
      </w:tr>
      <w:tr>
        <w:trPr>
          <w:trHeight w:val="364"/>
        </w:trPr>
        <w:tc>
          <w:tcPr>
            <w:tcW w:w="660" w:type="dxa"/>
            <w:vAlign w:val="bottom"/>
          </w:tcPr>
          <w:p>
            <w:pPr>
              <w:jc w:val="right"/>
              <w:spacing w:after="0"/>
              <w:rPr>
                <w:sz w:val="20"/>
                <w:szCs w:val="20"/>
                <w:color w:val="auto"/>
              </w:rPr>
            </w:pPr>
            <w:r>
              <w:rPr>
                <w:rFonts w:ascii="Arial" w:cs="Arial" w:eastAsia="Arial" w:hAnsi="Arial"/>
                <w:sz w:val="18"/>
                <w:szCs w:val="18"/>
                <w:color w:val="auto"/>
              </w:rPr>
              <w:t>(9,970)</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10,918</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61,134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33,754</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53,894</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365,144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20,955</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24,623</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233,204</w:t>
            </w:r>
          </w:p>
        </w:tc>
      </w:tr>
      <w:tr>
        <w:trPr>
          <w:trHeight w:val="324"/>
        </w:trPr>
        <w:tc>
          <w:tcPr>
            <w:tcW w:w="660" w:type="dxa"/>
            <w:vAlign w:val="bottom"/>
          </w:tcPr>
          <w:p>
            <w:pPr>
              <w:jc w:val="right"/>
              <w:spacing w:after="0"/>
              <w:rPr>
                <w:sz w:val="20"/>
                <w:szCs w:val="20"/>
                <w:color w:val="auto"/>
              </w:rPr>
            </w:pPr>
            <w:r>
              <w:rPr>
                <w:rFonts w:ascii="Arial" w:cs="Arial" w:eastAsia="Arial" w:hAnsi="Arial"/>
                <w:sz w:val="18"/>
                <w:szCs w:val="18"/>
                <w:color w:val="auto"/>
              </w:rPr>
              <w:t>12,799</w:t>
            </w:r>
          </w:p>
        </w:tc>
        <w:tc>
          <w:tcPr>
            <w:tcW w:w="3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29,271</w:t>
            </w:r>
          </w:p>
        </w:tc>
        <w:tc>
          <w:tcPr>
            <w:tcW w:w="3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131,940</w:t>
            </w:r>
          </w:p>
        </w:tc>
      </w:tr>
    </w:tbl>
    <w:p>
      <w:pPr>
        <w:spacing w:after="0" w:line="706" w:lineRule="exact"/>
        <w:rPr>
          <w:sz w:val="20"/>
          <w:szCs w:val="20"/>
          <w:color w:val="auto"/>
        </w:rPr>
      </w:pPr>
    </w:p>
    <w:p>
      <w:pPr>
        <w:sectPr>
          <w:pgSz w:w="11900" w:h="16838" w:orient="portrait"/>
          <w:cols w:equalWidth="0" w:num="2">
            <w:col w:w="6460" w:space="460"/>
            <w:col w:w="4100"/>
          </w:cols>
          <w:pgMar w:left="440" w:top="265" w:right="439" w:bottom="1440" w:gutter="0" w:footer="0" w:header="0"/>
        </w:sectPr>
      </w:pP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Historical Cash Flow: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3"/>
          </w:tcPr>
          <w:p>
            <w:pPr>
              <w:jc w:val="center"/>
              <w:ind w:left="39"/>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86"/>
        </w:trPr>
        <w:tc>
          <w:tcPr>
            <w:tcW w:w="13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80" w:type="dxa"/>
            <w:vAlign w:val="bottom"/>
            <w:gridSpan w:val="3"/>
          </w:tcPr>
          <w:p>
            <w:pPr>
              <w:jc w:val="center"/>
              <w:ind w:left="59"/>
              <w:spacing w:after="0"/>
              <w:rPr>
                <w:sz w:val="20"/>
                <w:szCs w:val="20"/>
                <w:color w:val="auto"/>
              </w:rPr>
            </w:pPr>
            <w:r>
              <w:rPr>
                <w:rFonts w:ascii="Arial" w:cs="Arial" w:eastAsia="Arial" w:hAnsi="Arial"/>
                <w:sz w:val="14"/>
                <w:szCs w:val="14"/>
                <w:b w:val="1"/>
                <w:bCs w:val="1"/>
                <w:color w:val="auto"/>
                <w:w w:val="90"/>
              </w:rPr>
              <w:t>December 31,</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300" w:type="dxa"/>
            <w:vAlign w:val="bottom"/>
          </w:tcPr>
          <w:p>
            <w:pPr>
              <w:spacing w:after="0"/>
              <w:rPr>
                <w:sz w:val="4"/>
                <w:szCs w:val="4"/>
                <w:color w:val="auto"/>
              </w:rPr>
            </w:pPr>
          </w:p>
        </w:tc>
      </w:tr>
      <w:tr>
        <w:trPr>
          <w:trHeight w:val="225"/>
        </w:trPr>
        <w:tc>
          <w:tcPr>
            <w:tcW w:w="130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1060" w:type="dxa"/>
            <w:vAlign w:val="bottom"/>
            <w:gridSpan w:val="2"/>
          </w:tcPr>
          <w:p>
            <w:pPr>
              <w:jc w:val="center"/>
              <w:ind w:left="27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300" w:type="dxa"/>
            <w:vAlign w:val="bottom"/>
          </w:tcPr>
          <w:p>
            <w:pPr>
              <w:spacing w:after="0"/>
              <w:rPr>
                <w:sz w:val="19"/>
                <w:szCs w:val="19"/>
                <w:color w:val="auto"/>
              </w:rPr>
            </w:pPr>
          </w:p>
        </w:tc>
      </w:tr>
      <w:tr>
        <w:trPr>
          <w:trHeight w:val="53"/>
        </w:trPr>
        <w:tc>
          <w:tcPr>
            <w:tcW w:w="1300" w:type="dxa"/>
            <w:vAlign w:val="bottom"/>
          </w:tcPr>
          <w:p>
            <w:pPr>
              <w:spacing w:after="0"/>
              <w:rPr>
                <w:sz w:val="4"/>
                <w:szCs w:val="4"/>
                <w:color w:val="auto"/>
              </w:rPr>
            </w:pPr>
          </w:p>
        </w:tc>
        <w:tc>
          <w:tcPr>
            <w:tcW w:w="386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6,295</w:t>
            </w:r>
          </w:p>
        </w:tc>
        <w:tc>
          <w:tcPr>
            <w:tcW w:w="10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$ 38,620</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$ 23,092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color w:val="auto"/>
              </w:rPr>
              <w:t>(5,129)</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(1,311)</w:t>
            </w:r>
          </w:p>
        </w:tc>
        <w:tc>
          <w:tcPr>
            <w:tcW w:w="220" w:type="dxa"/>
            <w:vAlign w:val="bottom"/>
          </w:tcPr>
          <w:p>
            <w:pPr>
              <w:spacing w:after="0"/>
              <w:rPr>
                <w:sz w:val="23"/>
                <w:szCs w:val="23"/>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(30,435)</w:t>
            </w:r>
          </w:p>
        </w:tc>
        <w:tc>
          <w:tcPr>
            <w:tcW w:w="1300" w:type="dxa"/>
            <w:vAlign w:val="bottom"/>
          </w:tcPr>
          <w:p>
            <w:pPr>
              <w:spacing w:after="0"/>
              <w:rPr>
                <w:sz w:val="23"/>
                <w:szCs w:val="23"/>
                <w:color w:val="auto"/>
              </w:rPr>
            </w:pPr>
          </w:p>
        </w:tc>
      </w:tr>
      <w:tr>
        <w:trPr>
          <w:trHeight w:val="54"/>
        </w:trPr>
        <w:tc>
          <w:tcPr>
            <w:tcW w:w="130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300" w:type="dxa"/>
            <w:vAlign w:val="bottom"/>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cash provided by (used in) financing activities</w:t>
            </w:r>
          </w:p>
        </w:tc>
        <w:tc>
          <w:tcPr>
            <w:tcW w:w="2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(21,969)</w:t>
            </w:r>
          </w:p>
        </w:tc>
        <w:tc>
          <w:tcPr>
            <w:tcW w:w="10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(22,358)</w:t>
            </w:r>
          </w:p>
        </w:tc>
        <w:tc>
          <w:tcPr>
            <w:tcW w:w="2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55,201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700" w:type="dxa"/>
            <w:vAlign w:val="bottom"/>
          </w:tcPr>
          <w:p>
            <w:pPr>
              <w:jc w:val="right"/>
              <w:ind w:right="1174"/>
              <w:spacing w:after="0"/>
              <w:rPr>
                <w:sz w:val="20"/>
                <w:szCs w:val="20"/>
                <w:color w:val="auto"/>
              </w:rPr>
            </w:pPr>
            <w:r>
              <w:rPr>
                <w:rFonts w:ascii="Arial" w:cs="Arial" w:eastAsia="Arial" w:hAnsi="Arial"/>
                <w:sz w:val="18"/>
                <w:szCs w:val="18"/>
                <w:color w:val="auto"/>
              </w:rPr>
              <w:t>50</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-1045210</wp:posOffset>
            </wp:positionV>
            <wp:extent cx="22288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4815205</wp:posOffset>
            </wp:positionH>
            <wp:positionV relativeFrom="paragraph">
              <wp:posOffset>-1045210</wp:posOffset>
            </wp:positionV>
            <wp:extent cx="22288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4249420</wp:posOffset>
            </wp:positionH>
            <wp:positionV relativeFrom="paragraph">
              <wp:posOffset>-1045210</wp:posOffset>
            </wp:positionV>
            <wp:extent cx="1117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type w:val="continuous"/>
        </w:sectPr>
      </w:pPr>
    </w:p>
    <w:bookmarkStart w:id="54" w:name="page55"/>
    <w:bookmarkEnd w:id="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0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notes to those statements included in this prospectus. Certain information contained in the discussion and analysis set forth below contains forward-looking statements that involve risks and uncertainties. Our actual results may differ materially from those anticipated in these forward-looking statements as a result of many factors. Please see the sections entitled “Cautionary Statement Regarding Forward-Looking Statements” and “Risk Factors” and elsewhere in this prospectus.</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prospectus, unless the context requires otherwise, references to the “Company,” “we,” “us,” and “our,” and similar references refer to WM Technology, Inc, and its subsidiaries following the Business Combination and to Legacy WMH prior to the Business Combination.</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72"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We were founded in 2008 and operate a leading online marketplace with a comprehensive set of eCommerce and compliance software solutions sold to retailers and brands in the U.S. state-legal and Canadian cannabis markets. Our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 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7" w:lineRule="exact"/>
        <w:rPr>
          <w:sz w:val="20"/>
          <w:szCs w:val="20"/>
          <w:color w:val="auto"/>
        </w:rPr>
      </w:pPr>
    </w:p>
    <w:p>
      <w:pPr>
        <w:jc w:val="both"/>
        <w:ind w:left="300" w:right="319" w:firstLine="360"/>
        <w:spacing w:after="0" w:line="296" w:lineRule="auto"/>
        <w:rPr>
          <w:sz w:val="20"/>
          <w:szCs w:val="20"/>
          <w:color w:val="auto"/>
        </w:rPr>
      </w:pPr>
      <w:r>
        <w:rPr>
          <w:rFonts w:ascii="Arial" w:cs="Arial" w:eastAsia="Arial" w:hAnsi="Arial"/>
          <w:sz w:val="16"/>
          <w:szCs w:val="16"/>
          <w:color w:val="auto"/>
        </w:rPr>
        <w:t>We have grown the Weedmaps marketplace to become the premier destination for cannabis consumers to discover and browse information regarding cannabis and cannabis products, with 15.7 million monthly active users (“MAUs”) as of December 31, 2021 on the demand-side and 4,337 average monthly paying business clients during the year ended December 31, 2021 on the supply-side of our marketplace. These paying clients include retailers, brands and other client types (such as doctors). Further, these clients, who can choose to purchase multiple listings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5" w:name="page56"/>
    <w:bookmarkEnd w:id="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solutions for each business, had purchased approximately 9,500 listing pages as of December 31, 2021 (of the over 18,600 listing pages on the marketplace). The Weedmaps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our iOS Weedmaps mobile application and our Android Weedmaps mobile application also have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Business Combination and Public Company Costs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78"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 Legacy WMH. The net assets of Silver Spike were recognized at historical cost (which are consistent with carrying value), with no goodwill or other intangible assets recorded.</w:t>
      </w:r>
    </w:p>
    <w:p>
      <w:pPr>
        <w:spacing w:after="0" w:line="6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Key Operating and Financial Metrics</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w:t>
      </w:r>
    </w:p>
    <w:p>
      <w:pPr>
        <w:spacing w:after="0" w:line="1" w:lineRule="exact"/>
        <w:rPr>
          <w:sz w:val="20"/>
          <w:szCs w:val="20"/>
          <w:color w:val="auto"/>
        </w:rPr>
      </w:pPr>
    </w:p>
    <w:p>
      <w:pPr>
        <w:jc w:val="both"/>
        <w:ind w:left="300" w:right="299" w:hanging="8"/>
        <w:spacing w:after="0" w:line="253" w:lineRule="auto"/>
        <w:tabs>
          <w:tab w:leader="none" w:pos="553"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6" w:name="page57"/>
    <w:bookmarkEnd w:id="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and 2019 using our modified definitions, as well as a comparison to what the results were using our prior definitions, please refer to our earnings release included as Exhibit 99.1 in our Current Report on Form 8-K, filed August 12, 2021.</w:t>
      </w:r>
    </w:p>
    <w:p>
      <w:pPr>
        <w:spacing w:after="0" w:line="143"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12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740" w:type="dxa"/>
            <w:vAlign w:val="bottom"/>
          </w:tcPr>
          <w:p>
            <w:pPr>
              <w:spacing w:after="0"/>
              <w:rPr>
                <w:sz w:val="19"/>
                <w:szCs w:val="19"/>
                <w:color w:val="auto"/>
              </w:rPr>
            </w:pPr>
          </w:p>
        </w:tc>
        <w:tc>
          <w:tcPr>
            <w:tcW w:w="1120" w:type="dxa"/>
            <w:vAlign w:val="bottom"/>
          </w:tcPr>
          <w:p>
            <w:pPr>
              <w:jc w:val="center"/>
              <w:ind w:right="633"/>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9"/>
                <w:szCs w:val="19"/>
                <w:color w:val="auto"/>
              </w:rPr>
            </w:pPr>
          </w:p>
        </w:tc>
        <w:tc>
          <w:tcPr>
            <w:tcW w:w="780" w:type="dxa"/>
            <w:vAlign w:val="bottom"/>
          </w:tcPr>
          <w:p>
            <w:pPr>
              <w:jc w:val="right"/>
              <w:ind w:right="353"/>
              <w:spacing w:after="0"/>
              <w:rPr>
                <w:sz w:val="20"/>
                <w:szCs w:val="20"/>
                <w:color w:val="auto"/>
              </w:rPr>
            </w:pPr>
            <w:r>
              <w:rPr>
                <w:rFonts w:ascii="Arial" w:cs="Arial" w:eastAsia="Arial" w:hAnsi="Arial"/>
                <w:sz w:val="14"/>
                <w:szCs w:val="14"/>
                <w:b w:val="1"/>
                <w:bCs w:val="1"/>
                <w:color w:val="auto"/>
              </w:rPr>
              <w:t>2019</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900" w:type="dxa"/>
            <w:vAlign w:val="bottom"/>
            <w:tcBorders>
              <w:bottom w:val="single" w:sz="8" w:color="auto"/>
            </w:tcBorders>
            <w:gridSpan w:val="6"/>
          </w:tcPr>
          <w:p>
            <w:pPr>
              <w:spacing w:after="0"/>
              <w:rPr>
                <w:sz w:val="4"/>
                <w:szCs w:val="4"/>
                <w:color w:val="auto"/>
              </w:rPr>
            </w:pPr>
          </w:p>
        </w:tc>
      </w:tr>
      <w:tr>
        <w:trPr>
          <w:trHeight w:val="224"/>
        </w:trPr>
        <w:tc>
          <w:tcPr>
            <w:tcW w:w="12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90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(dollars in thousands, except for revenue per paying client)</w:t>
            </w:r>
          </w:p>
        </w:tc>
      </w:tr>
      <w:tr>
        <w:trPr>
          <w:trHeight w:val="53"/>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1860" w:type="dxa"/>
            <w:vAlign w:val="bottom"/>
            <w:gridSpan w:val="2"/>
          </w:tcPr>
          <w:p>
            <w:pPr>
              <w:spacing w:after="0"/>
              <w:rPr>
                <w:sz w:val="4"/>
                <w:szCs w:val="4"/>
                <w:color w:val="auto"/>
              </w:rPr>
            </w:pPr>
          </w:p>
        </w:tc>
        <w:tc>
          <w:tcPr>
            <w:tcW w:w="1020" w:type="dxa"/>
            <w:vAlign w:val="bottom"/>
            <w:gridSpan w:val="2"/>
          </w:tcPr>
          <w:p>
            <w:pPr>
              <w:spacing w:after="0"/>
              <w:rPr>
                <w:sz w:val="4"/>
                <w:szCs w:val="4"/>
                <w:color w:val="auto"/>
              </w:rPr>
            </w:pPr>
          </w:p>
        </w:tc>
      </w:tr>
      <w:tr>
        <w:trPr>
          <w:trHeight w:val="318"/>
        </w:trPr>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$193,146</w:t>
            </w:r>
          </w:p>
        </w:tc>
        <w:tc>
          <w:tcPr>
            <w:tcW w:w="1860" w:type="dxa"/>
            <w:vAlign w:val="bottom"/>
            <w:tcBorders>
              <w:bottom w:val="single" w:sz="8" w:color="CCEEFF"/>
            </w:tcBorders>
            <w:gridSpan w:val="2"/>
            <w:shd w:val="clear" w:color="auto" w:fill="CCEEFF"/>
          </w:tcPr>
          <w:p>
            <w:pPr>
              <w:jc w:val="right"/>
              <w:ind w:right="493"/>
              <w:spacing w:after="0"/>
              <w:rPr>
                <w:sz w:val="20"/>
                <w:szCs w:val="20"/>
                <w:color w:val="auto"/>
              </w:rPr>
            </w:pPr>
            <w:r>
              <w:rPr>
                <w:rFonts w:ascii="Arial" w:cs="Arial" w:eastAsia="Arial" w:hAnsi="Arial"/>
                <w:sz w:val="18"/>
                <w:szCs w:val="18"/>
                <w:color w:val="auto"/>
              </w:rPr>
              <w:t>$161,791</w:t>
            </w:r>
          </w:p>
        </w:tc>
        <w:tc>
          <w:tcPr>
            <w:tcW w:w="1020" w:type="dxa"/>
            <w:vAlign w:val="bottom"/>
            <w:tcBorders>
              <w:bottom w:val="single" w:sz="8" w:color="CCEEFF"/>
            </w:tcBorders>
            <w:gridSpan w:val="2"/>
            <w:shd w:val="clear" w:color="auto" w:fill="CCEEFF"/>
          </w:tcPr>
          <w:p>
            <w:pPr>
              <w:jc w:val="right"/>
              <w:ind w:right="153"/>
              <w:spacing w:after="0"/>
              <w:rPr>
                <w:sz w:val="20"/>
                <w:szCs w:val="20"/>
                <w:color w:val="auto"/>
              </w:rPr>
            </w:pPr>
            <w:r>
              <w:rPr>
                <w:rFonts w:ascii="Arial" w:cs="Arial" w:eastAsia="Arial" w:hAnsi="Arial"/>
                <w:sz w:val="18"/>
                <w:szCs w:val="18"/>
                <w:color w:val="auto"/>
              </w:rPr>
              <w:t>$144,232</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20" w:type="dxa"/>
            <w:vAlign w:val="bottom"/>
            <w:gridSpan w:val="2"/>
          </w:tcPr>
          <w:p>
            <w:pPr>
              <w:jc w:val="right"/>
              <w:ind w:right="14"/>
              <w:spacing w:after="0"/>
              <w:rPr>
                <w:sz w:val="20"/>
                <w:szCs w:val="20"/>
                <w:color w:val="auto"/>
              </w:rPr>
            </w:pPr>
            <w:r>
              <w:rPr>
                <w:rFonts w:ascii="Arial" w:cs="Arial" w:eastAsia="Arial" w:hAnsi="Arial"/>
                <w:sz w:val="18"/>
                <w:szCs w:val="18"/>
                <w:color w:val="auto"/>
              </w:rPr>
              <w:t>$152,218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38,830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93"/>
              <w:spacing w:after="0"/>
              <w:rPr>
                <w:sz w:val="20"/>
                <w:szCs w:val="20"/>
                <w:color w:val="auto"/>
              </w:rPr>
            </w:pPr>
            <w:r>
              <w:rPr>
                <w:rFonts w:ascii="Arial" w:cs="Arial" w:eastAsia="Arial" w:hAnsi="Arial"/>
                <w:sz w:val="18"/>
                <w:szCs w:val="18"/>
                <w:color w:val="auto"/>
              </w:rPr>
              <w:t>(375)</w:t>
            </w:r>
          </w:p>
        </w:tc>
      </w:tr>
      <w:tr>
        <w:trPr>
          <w:trHeight w:val="54"/>
        </w:trPr>
        <w:tc>
          <w:tcPr>
            <w:tcW w:w="12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102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29"/>
                <w:szCs w:val="29"/>
                <w:color w:val="auto"/>
                <w:vertAlign w:val="superscript"/>
              </w:rPr>
              <w:t>(1)</w:t>
            </w:r>
          </w:p>
        </w:tc>
        <w:tc>
          <w:tcPr>
            <w:tcW w:w="1020" w:type="dxa"/>
            <w:vAlign w:val="bottom"/>
            <w:gridSpan w:val="2"/>
            <w:shd w:val="clear" w:color="auto" w:fill="CCEEFF"/>
          </w:tcPr>
          <w:p>
            <w:pPr>
              <w:jc w:val="right"/>
              <w:ind w:right="14"/>
              <w:spacing w:after="0"/>
              <w:rPr>
                <w:sz w:val="20"/>
                <w:szCs w:val="20"/>
                <w:color w:val="auto"/>
              </w:rPr>
            </w:pPr>
            <w:r>
              <w:rPr>
                <w:rFonts w:ascii="Arial" w:cs="Arial" w:eastAsia="Arial" w:hAnsi="Arial"/>
                <w:sz w:val="18"/>
                <w:szCs w:val="18"/>
                <w:color w:val="auto"/>
              </w:rPr>
              <w:t>$156,042</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6,232</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29"/>
                <w:szCs w:val="29"/>
                <w:color w:val="auto"/>
                <w:vertAlign w:val="superscript"/>
              </w:rPr>
              <w:t>(1)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4"/>
              <w:spacing w:after="0"/>
              <w:rPr>
                <w:sz w:val="20"/>
                <w:szCs w:val="20"/>
                <w:color w:val="auto"/>
              </w:rPr>
            </w:pPr>
            <w:r>
              <w:rPr>
                <w:rFonts w:ascii="Arial" w:cs="Arial" w:eastAsia="Arial" w:hAnsi="Arial"/>
                <w:sz w:val="18"/>
                <w:szCs w:val="18"/>
                <w:color w:val="auto"/>
                <w:w w:val="94"/>
              </w:rPr>
              <w:t>31,698</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493"/>
              <w:spacing w:after="0"/>
              <w:rPr>
                <w:sz w:val="20"/>
                <w:szCs w:val="20"/>
                <w:color w:val="auto"/>
              </w:rPr>
            </w:pPr>
            <w:r>
              <w:rPr>
                <w:rFonts w:ascii="Arial" w:cs="Arial" w:eastAsia="Arial" w:hAnsi="Arial"/>
                <w:sz w:val="18"/>
                <w:szCs w:val="18"/>
                <w:color w:val="auto"/>
                <w:w w:val="94"/>
              </w:rPr>
              <w:t>42,808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3"/>
              <w:spacing w:after="0"/>
              <w:rPr>
                <w:sz w:val="20"/>
                <w:szCs w:val="20"/>
                <w:color w:val="auto"/>
              </w:rPr>
            </w:pPr>
            <w:r>
              <w:rPr>
                <w:rFonts w:ascii="Arial" w:cs="Arial" w:eastAsia="Arial" w:hAnsi="Arial"/>
                <w:sz w:val="18"/>
                <w:szCs w:val="18"/>
                <w:color w:val="auto"/>
                <w:w w:val="94"/>
              </w:rPr>
              <w:t>13,828</w:t>
            </w:r>
          </w:p>
        </w:tc>
      </w:tr>
      <w:tr>
        <w:trPr>
          <w:trHeight w:val="365"/>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r>
              <w:rPr>
                <w:rFonts w:ascii="Arial" w:cs="Arial" w:eastAsia="Arial" w:hAnsi="Arial"/>
                <w:sz w:val="29"/>
                <w:szCs w:val="29"/>
                <w:color w:val="auto"/>
                <w:vertAlign w:val="superscript"/>
              </w:rPr>
              <w:t>(2)</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3,711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rPr>
              <w:t>3,256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2,558</w:t>
            </w:r>
          </w:p>
        </w:tc>
      </w:tr>
      <w:tr>
        <w:trPr>
          <w:trHeight w:val="364"/>
        </w:trPr>
        <w:tc>
          <w:tcPr>
            <w:tcW w:w="4520" w:type="dxa"/>
            <w:vAlign w:val="bottom"/>
            <w:gridSpan w:val="2"/>
          </w:tcPr>
          <w:p>
            <w:pPr>
              <w:spacing w:after="0"/>
              <w:rPr>
                <w:sz w:val="20"/>
                <w:szCs w:val="20"/>
                <w:color w:val="auto"/>
              </w:rPr>
            </w:pPr>
            <w:r>
              <w:rPr>
                <w:rFonts w:ascii="Arial" w:cs="Arial" w:eastAsia="Arial" w:hAnsi="Arial"/>
                <w:sz w:val="18"/>
                <w:szCs w:val="18"/>
                <w:color w:val="auto"/>
              </w:rPr>
              <w:t>Average monthly paying clients</w:t>
            </w:r>
            <w:r>
              <w:rPr>
                <w:rFonts w:ascii="Arial" w:cs="Arial" w:eastAsia="Arial" w:hAnsi="Arial"/>
                <w:sz w:val="29"/>
                <w:szCs w:val="29"/>
                <w:color w:val="auto"/>
                <w:vertAlign w:val="superscript"/>
              </w:rPr>
              <w:t>(3)</w:t>
            </w:r>
          </w:p>
        </w:tc>
        <w:tc>
          <w:tcPr>
            <w:tcW w:w="380" w:type="dxa"/>
            <w:vAlign w:val="bottom"/>
          </w:tcPr>
          <w:p>
            <w:pPr>
              <w:spacing w:after="0"/>
              <w:rPr>
                <w:sz w:val="24"/>
                <w:szCs w:val="24"/>
                <w:color w:val="auto"/>
              </w:rPr>
            </w:pPr>
          </w:p>
        </w:tc>
        <w:tc>
          <w:tcPr>
            <w:tcW w:w="640" w:type="dxa"/>
            <w:vAlign w:val="bottom"/>
          </w:tcPr>
          <w:p>
            <w:pPr>
              <w:jc w:val="right"/>
              <w:ind w:right="14"/>
              <w:spacing w:after="0"/>
              <w:rPr>
                <w:sz w:val="20"/>
                <w:szCs w:val="20"/>
                <w:color w:val="auto"/>
              </w:rPr>
            </w:pPr>
            <w:r>
              <w:rPr>
                <w:rFonts w:ascii="Arial" w:cs="Arial" w:eastAsia="Arial" w:hAnsi="Arial"/>
                <w:sz w:val="18"/>
                <w:szCs w:val="18"/>
                <w:color w:val="auto"/>
              </w:rPr>
              <w:t>4,337</w:t>
            </w:r>
          </w:p>
        </w:tc>
        <w:tc>
          <w:tcPr>
            <w:tcW w:w="740" w:type="dxa"/>
            <w:vAlign w:val="bottom"/>
          </w:tcPr>
          <w:p>
            <w:pPr>
              <w:spacing w:after="0"/>
              <w:rPr>
                <w:sz w:val="24"/>
                <w:szCs w:val="24"/>
                <w:color w:val="auto"/>
              </w:rPr>
            </w:pPr>
          </w:p>
        </w:tc>
        <w:tc>
          <w:tcPr>
            <w:tcW w:w="1120" w:type="dxa"/>
            <w:vAlign w:val="bottom"/>
          </w:tcPr>
          <w:p>
            <w:pPr>
              <w:jc w:val="right"/>
              <w:ind w:right="493"/>
              <w:spacing w:after="0"/>
              <w:rPr>
                <w:sz w:val="20"/>
                <w:szCs w:val="20"/>
                <w:color w:val="auto"/>
              </w:rPr>
            </w:pPr>
            <w:r>
              <w:rPr>
                <w:rFonts w:ascii="Arial" w:cs="Arial" w:eastAsia="Arial" w:hAnsi="Arial"/>
                <w:sz w:val="18"/>
                <w:szCs w:val="18"/>
                <w:color w:val="auto"/>
              </w:rPr>
              <w:t>4,140</w:t>
            </w:r>
          </w:p>
        </w:tc>
        <w:tc>
          <w:tcPr>
            <w:tcW w:w="240" w:type="dxa"/>
            <w:vAlign w:val="bottom"/>
          </w:tcPr>
          <w:p>
            <w:pPr>
              <w:spacing w:after="0"/>
              <w:rPr>
                <w:sz w:val="24"/>
                <w:szCs w:val="24"/>
                <w:color w:val="auto"/>
              </w:rPr>
            </w:pPr>
          </w:p>
        </w:tc>
        <w:tc>
          <w:tcPr>
            <w:tcW w:w="780" w:type="dxa"/>
            <w:vAlign w:val="bottom"/>
          </w:tcPr>
          <w:p>
            <w:pPr>
              <w:jc w:val="right"/>
              <w:ind w:right="153"/>
              <w:spacing w:after="0"/>
              <w:rPr>
                <w:sz w:val="20"/>
                <w:szCs w:val="20"/>
                <w:color w:val="auto"/>
              </w:rPr>
            </w:pPr>
            <w:r>
              <w:rPr>
                <w:rFonts w:ascii="Arial" w:cs="Arial" w:eastAsia="Arial" w:hAnsi="Arial"/>
                <w:sz w:val="18"/>
                <w:szCs w:val="18"/>
                <w:color w:val="auto"/>
              </w:rPr>
              <w:t>4,699</w:t>
            </w:r>
          </w:p>
        </w:tc>
      </w:tr>
      <w:tr>
        <w:trPr>
          <w:trHeight w:val="364"/>
        </w:trPr>
        <w:tc>
          <w:tcPr>
            <w:tcW w:w="4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MAUs (in thousands)</w:t>
            </w:r>
            <w:r>
              <w:rPr>
                <w:rFonts w:ascii="Arial" w:cs="Arial" w:eastAsia="Arial" w:hAnsi="Arial"/>
                <w:sz w:val="29"/>
                <w:szCs w:val="29"/>
                <w:color w:val="auto"/>
                <w:vertAlign w:val="superscript"/>
              </w:rPr>
              <w:t>(4)</w:t>
            </w:r>
          </w:p>
        </w:tc>
        <w:tc>
          <w:tcPr>
            <w:tcW w:w="3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4"/>
              </w:rPr>
              <w:t>15,734</w:t>
            </w:r>
          </w:p>
        </w:tc>
        <w:tc>
          <w:tcPr>
            <w:tcW w:w="74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493"/>
              <w:spacing w:after="0"/>
              <w:rPr>
                <w:sz w:val="20"/>
                <w:szCs w:val="20"/>
                <w:color w:val="auto"/>
              </w:rPr>
            </w:pPr>
            <w:r>
              <w:rPr>
                <w:rFonts w:ascii="Arial" w:cs="Arial" w:eastAsia="Arial" w:hAnsi="Arial"/>
                <w:sz w:val="18"/>
                <w:szCs w:val="18"/>
                <w:color w:val="auto"/>
                <w:w w:val="94"/>
              </w:rPr>
              <w:t>10,000</w:t>
            </w: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8,009</w:t>
            </w:r>
          </w:p>
        </w:tc>
      </w:tr>
      <w:tr>
        <w:trPr>
          <w:trHeight w:val="149"/>
        </w:trPr>
        <w:tc>
          <w:tcPr>
            <w:tcW w:w="1280" w:type="dxa"/>
            <w:vAlign w:val="bottom"/>
            <w:tcBorders>
              <w:bottom w:val="single" w:sz="8" w:color="auto"/>
            </w:tcBorders>
          </w:tcPr>
          <w:p>
            <w:pPr>
              <w:spacing w:after="0"/>
              <w:rPr>
                <w:sz w:val="12"/>
                <w:szCs w:val="12"/>
                <w:color w:val="auto"/>
              </w:rPr>
            </w:pPr>
          </w:p>
        </w:tc>
        <w:tc>
          <w:tcPr>
            <w:tcW w:w="3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4677410</wp:posOffset>
            </wp:positionH>
            <wp:positionV relativeFrom="paragraph">
              <wp:posOffset>-1868170</wp:posOffset>
            </wp:positionV>
            <wp:extent cx="12890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3803015</wp:posOffset>
            </wp:positionH>
            <wp:positionV relativeFrom="paragraph">
              <wp:posOffset>-1868170</wp:posOffset>
            </wp:positionV>
            <wp:extent cx="137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5" w:lineRule="exact"/>
        <w:rPr>
          <w:sz w:val="20"/>
          <w:szCs w:val="20"/>
          <w:color w:val="auto"/>
        </w:rPr>
      </w:pPr>
    </w:p>
    <w:p>
      <w:pPr>
        <w:ind w:left="640" w:right="299" w:hanging="348"/>
        <w:spacing w:after="0" w:line="25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further information about how we calculate EBITDA and Adjusted EBITDA as well as limitations of its use and a reconciliation of EBITDA and Adjusted EBITDA to net income, see “—EBITDA and Adjusted EBITDA” below.</w:t>
      </w:r>
    </w:p>
    <w:p>
      <w:pPr>
        <w:spacing w:after="0" w:line="11" w:lineRule="exact"/>
        <w:rPr>
          <w:rFonts w:ascii="Arial" w:cs="Arial" w:eastAsia="Arial" w:hAnsi="Arial"/>
          <w:sz w:val="14"/>
          <w:szCs w:val="14"/>
          <w:color w:val="auto"/>
        </w:rPr>
      </w:pPr>
    </w:p>
    <w:p>
      <w:pPr>
        <w:jc w:val="both"/>
        <w:ind w:left="640" w:right="319" w:hanging="348"/>
        <w:spacing w:after="0" w:line="233" w:lineRule="auto"/>
        <w:tabs>
          <w:tab w:leader="none" w:pos="6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spacing w:after="0" w:line="22" w:lineRule="exact"/>
        <w:rPr>
          <w:rFonts w:ascii="Arial" w:cs="Arial" w:eastAsia="Arial" w:hAnsi="Arial"/>
          <w:sz w:val="14"/>
          <w:szCs w:val="14"/>
          <w:color w:val="auto"/>
        </w:rPr>
      </w:pPr>
    </w:p>
    <w:p>
      <w:pPr>
        <w:jc w:val="both"/>
        <w:ind w:left="640" w:right="299" w:hanging="348"/>
        <w:spacing w:after="0" w:line="264"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spacing w:after="0" w:line="6" w:lineRule="exact"/>
        <w:rPr>
          <w:rFonts w:ascii="Arial" w:cs="Arial" w:eastAsia="Arial" w:hAnsi="Arial"/>
          <w:sz w:val="13"/>
          <w:szCs w:val="13"/>
          <w:color w:val="auto"/>
        </w:rPr>
      </w:pPr>
    </w:p>
    <w:p>
      <w:pPr>
        <w:jc w:val="both"/>
        <w:ind w:left="640" w:right="319" w:hanging="348"/>
        <w:spacing w:after="0" w:line="264" w:lineRule="auto"/>
        <w:tabs>
          <w:tab w:leader="none" w:pos="6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76" w:lineRule="exact"/>
        <w:rPr>
          <w:sz w:val="20"/>
          <w:szCs w:val="20"/>
          <w:color w:val="auto"/>
        </w:rPr>
      </w:pPr>
    </w:p>
    <w:p>
      <w:pPr>
        <w:jc w:val="both"/>
        <w:ind w:left="1000" w:right="319" w:hanging="348"/>
        <w:spacing w:after="0" w:line="311" w:lineRule="auto"/>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7" w:name="page58"/>
    <w:bookmarkEnd w:id="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changes in, or cash requirements for, our working capital needs; and</w:t>
      </w:r>
    </w:p>
    <w:p>
      <w:pPr>
        <w:spacing w:after="0" w:line="62"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EBITDA and Adjusted EBITDA do not reflect tax payments that may represent a reduction in cash available to us.</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Because of these limitations, you should consider EBITDA and Adjusted EBITDA alongside other financial performance measures, including net income and our other GAAP results.</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net income (loss) to non-GAAP EBITDA and Adjusted EBITDA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ind w:right="11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8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9"/>
                <w:szCs w:val="19"/>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4"/>
        </w:trPr>
        <w:tc>
          <w:tcPr>
            <w:tcW w:w="44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(in thousands)</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3"/>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152,218</w:t>
            </w: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$38,830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(Benefit from) provision for income taxes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(601)</w:t>
            </w: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1,321</w:t>
            </w:r>
          </w:p>
        </w:tc>
        <w:tc>
          <w:tcPr>
            <w:tcW w:w="80" w:type="dxa"/>
            <w:vAlign w:val="bottom"/>
          </w:tcPr>
          <w:p>
            <w:pPr>
              <w:spacing w:after="0"/>
              <w:rPr>
                <w:sz w:val="23"/>
                <w:szCs w:val="23"/>
                <w:color w:val="auto"/>
              </w:rPr>
            </w:pP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and amortization expenses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5,162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EBITDA</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156,042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42,808</w:t>
            </w:r>
          </w:p>
        </w:tc>
        <w:tc>
          <w:tcPr>
            <w:tcW w:w="3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6,232</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29,324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21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(166,518)</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Warrant transaction costs</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 of right-of-use asset</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Transaction related bonus expense</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Transaction costs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180"/>
              <w:spacing w:after="0"/>
              <w:rPr>
                <w:sz w:val="20"/>
                <w:szCs w:val="20"/>
                <w:color w:val="auto"/>
              </w:rPr>
            </w:pPr>
            <w:r>
              <w:rPr>
                <w:rFonts w:ascii="Arial" w:cs="Arial" w:eastAsia="Arial" w:hAnsi="Arial"/>
                <w:sz w:val="18"/>
                <w:szCs w:val="18"/>
                <w:color w:val="auto"/>
              </w:rPr>
              <w:t>Legal settlement</w:t>
            </w: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44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4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Financing fees</w:t>
            </w:r>
          </w:p>
        </w:tc>
        <w:tc>
          <w:tcPr>
            <w:tcW w:w="13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3,394</w:t>
            </w:r>
          </w:p>
        </w:tc>
        <w:tc>
          <w:tcPr>
            <w:tcW w:w="80" w:type="dxa"/>
            <w:vAlign w:val="bottom"/>
            <w:tcBorders>
              <w:bottom w:val="single" w:sz="8" w:color="CCEEFF"/>
            </w:tcBorders>
            <w:shd w:val="clear" w:color="auto" w:fill="CCEEFF"/>
          </w:tcPr>
          <w:p>
            <w:pPr>
              <w:spacing w:after="0"/>
              <w:rPr>
                <w:sz w:val="24"/>
                <w:szCs w:val="24"/>
                <w:color w:val="auto"/>
              </w:rPr>
            </w:pPr>
          </w:p>
        </w:tc>
      </w:tr>
      <w:tr>
        <w:trPr>
          <w:trHeight w:val="257"/>
        </w:trPr>
        <w:tc>
          <w:tcPr>
            <w:tcW w:w="4480" w:type="dxa"/>
            <w:vAlign w:val="bottom"/>
          </w:tcPr>
          <w:p>
            <w:pPr>
              <w:ind w:left="180"/>
              <w:spacing w:after="0"/>
              <w:rPr>
                <w:sz w:val="20"/>
                <w:szCs w:val="20"/>
                <w:color w:val="auto"/>
              </w:rPr>
            </w:pPr>
            <w:r>
              <w:rPr>
                <w:rFonts w:ascii="Arial" w:cs="Arial" w:eastAsia="Arial" w:hAnsi="Arial"/>
                <w:sz w:val="18"/>
                <w:szCs w:val="18"/>
                <w:color w:val="auto"/>
              </w:rPr>
              <w:t>Reduction in force</w:t>
            </w: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4,202</w:t>
            </w:r>
          </w:p>
        </w:tc>
        <w:tc>
          <w:tcPr>
            <w:tcW w:w="80" w:type="dxa"/>
            <w:vAlign w:val="bottom"/>
          </w:tcPr>
          <w:p>
            <w:pPr>
              <w:spacing w:after="0"/>
              <w:rPr>
                <w:sz w:val="22"/>
                <w:szCs w:val="22"/>
                <w:color w:val="auto"/>
              </w:rPr>
            </w:pPr>
          </w:p>
        </w:tc>
      </w:tr>
      <w:tr>
        <w:trPr>
          <w:trHeight w:val="61"/>
        </w:trPr>
        <w:tc>
          <w:tcPr>
            <w:tcW w:w="44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29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31,698</w:t>
            </w:r>
          </w:p>
        </w:tc>
        <w:tc>
          <w:tcPr>
            <w:tcW w:w="100" w:type="dxa"/>
            <w:vAlign w:val="bottom"/>
            <w:shd w:val="clear" w:color="auto" w:fill="CCEEFF"/>
          </w:tcPr>
          <w:p>
            <w:pPr>
              <w:spacing w:after="0"/>
              <w:rPr>
                <w:sz w:val="24"/>
                <w:szCs w:val="24"/>
                <w:color w:val="auto"/>
              </w:rPr>
            </w:pPr>
          </w:p>
        </w:tc>
        <w:tc>
          <w:tcPr>
            <w:tcW w:w="11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42,808</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13,828</w:t>
            </w:r>
          </w:p>
        </w:tc>
      </w:tr>
      <w:tr>
        <w:trPr>
          <w:trHeight w:val="27"/>
        </w:trPr>
        <w:tc>
          <w:tcPr>
            <w:tcW w:w="44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auto"/>
            </w:tcBorders>
            <w:shd w:val="clear" w:color="auto" w:fill="000000"/>
          </w:tcPr>
          <w:p>
            <w:pPr>
              <w:spacing w:after="0"/>
              <w:rPr>
                <w:sz w:val="2"/>
                <w:szCs w:val="2"/>
                <w:color w:val="auto"/>
              </w:rPr>
            </w:pPr>
          </w:p>
        </w:tc>
        <w:tc>
          <w:tcPr>
            <w:tcW w:w="62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auto"/>
            </w:tcBorders>
            <w:shd w:val="clear" w:color="auto" w:fill="000000"/>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auto"/>
            </w:tcBorders>
            <w:shd w:val="clear" w:color="auto" w:fill="000000"/>
          </w:tcPr>
          <w:p>
            <w:pPr>
              <w:spacing w:after="0"/>
              <w:rPr>
                <w:sz w:val="2"/>
                <w:szCs w:val="2"/>
                <w:color w:val="auto"/>
              </w:rPr>
            </w:pPr>
          </w:p>
        </w:tc>
        <w:tc>
          <w:tcPr>
            <w:tcW w:w="40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4934585</wp:posOffset>
            </wp:positionH>
            <wp:positionV relativeFrom="paragraph">
              <wp:posOffset>-3316605</wp:posOffset>
            </wp:positionV>
            <wp:extent cx="188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-3316605</wp:posOffset>
            </wp:positionV>
            <wp:extent cx="188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Revenue Per Paying Client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313"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2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46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25"/>
        </w:trPr>
        <w:tc>
          <w:tcPr>
            <w:tcW w:w="4640" w:type="dxa"/>
            <w:vAlign w:val="bottom"/>
          </w:tcPr>
          <w:p>
            <w:pPr>
              <w:spacing w:after="0"/>
              <w:rPr>
                <w:sz w:val="19"/>
                <w:szCs w:val="19"/>
                <w:color w:val="auto"/>
              </w:rPr>
            </w:pPr>
          </w:p>
        </w:tc>
        <w:tc>
          <w:tcPr>
            <w:tcW w:w="2040" w:type="dxa"/>
            <w:vAlign w:val="bottom"/>
            <w:gridSpan w:val="3"/>
          </w:tcPr>
          <w:p>
            <w:pPr>
              <w:jc w:val="center"/>
              <w:ind w:left="147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2019</w:t>
            </w:r>
          </w:p>
        </w:tc>
      </w:tr>
      <w:tr>
        <w:trPr>
          <w:trHeight w:val="53"/>
        </w:trPr>
        <w:tc>
          <w:tcPr>
            <w:tcW w:w="4640" w:type="dxa"/>
            <w:vAlign w:val="bottom"/>
            <w:tcBorders>
              <w:bottom w:val="single" w:sz="8" w:color="CCEEFF"/>
            </w:tcBorders>
          </w:tcPr>
          <w:p>
            <w:pPr>
              <w:spacing w:after="0"/>
              <w:rPr>
                <w:sz w:val="4"/>
                <w:szCs w:val="4"/>
                <w:color w:val="auto"/>
              </w:rPr>
            </w:pPr>
          </w:p>
        </w:tc>
        <w:tc>
          <w:tcPr>
            <w:tcW w:w="154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2040" w:type="dxa"/>
            <w:vAlign w:val="bottom"/>
            <w:tcBorders>
              <w:bottom w:val="single" w:sz="8" w:color="CCEEFF"/>
            </w:tcBorders>
            <w:gridSpan w:val="3"/>
            <w:shd w:val="clear" w:color="auto" w:fill="CCEEFF"/>
          </w:tcPr>
          <w:p>
            <w:pPr>
              <w:jc w:val="center"/>
              <w:ind w:left="1459"/>
              <w:spacing w:after="0"/>
              <w:rPr>
                <w:sz w:val="20"/>
                <w:szCs w:val="20"/>
                <w:color w:val="auto"/>
              </w:rPr>
            </w:pPr>
            <w:r>
              <w:rPr>
                <w:rFonts w:ascii="Arial" w:cs="Arial" w:eastAsia="Arial" w:hAnsi="Arial"/>
                <w:sz w:val="18"/>
                <w:szCs w:val="18"/>
                <w:color w:val="auto"/>
                <w:w w:val="90"/>
              </w:rPr>
              <w:t>$3,711</w:t>
            </w:r>
          </w:p>
        </w:tc>
        <w:tc>
          <w:tcPr>
            <w:tcW w:w="4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$3,256</w:t>
            </w:r>
          </w:p>
        </w:tc>
        <w:tc>
          <w:tcPr>
            <w:tcW w:w="2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353"/>
        </w:trPr>
        <w:tc>
          <w:tcPr>
            <w:tcW w:w="4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gridSpan w:val="9"/>
          </w:tcPr>
          <w:p>
            <w:pPr>
              <w:ind w:left="280"/>
              <w:spacing w:after="0"/>
              <w:rPr>
                <w:sz w:val="20"/>
                <w:szCs w:val="20"/>
                <w:color w:val="auto"/>
              </w:rPr>
            </w:pPr>
            <w:r>
              <w:rPr>
                <w:rFonts w:ascii="Arial" w:cs="Arial" w:eastAsia="Arial" w:hAnsi="Arial"/>
                <w:sz w:val="14"/>
                <w:szCs w:val="14"/>
                <w:b w:val="1"/>
                <w:bCs w:val="1"/>
                <w:color w:val="auto"/>
              </w:rPr>
              <w:t>Years Ended December 31,</w:t>
            </w:r>
          </w:p>
        </w:tc>
      </w:tr>
      <w:tr>
        <w:trPr>
          <w:trHeight w:val="52"/>
        </w:trPr>
        <w:tc>
          <w:tcPr>
            <w:tcW w:w="4640" w:type="dxa"/>
            <w:vAlign w:val="bottom"/>
          </w:tcPr>
          <w:p>
            <w:pPr>
              <w:spacing w:after="0"/>
              <w:rPr>
                <w:sz w:val="4"/>
                <w:szCs w:val="4"/>
                <w:color w:val="auto"/>
              </w:rPr>
            </w:pPr>
          </w:p>
        </w:tc>
        <w:tc>
          <w:tcPr>
            <w:tcW w:w="1560" w:type="dxa"/>
            <w:vAlign w:val="bottom"/>
            <w:gridSpan w:val="2"/>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r>
      <w:tr>
        <w:trPr>
          <w:trHeight w:val="225"/>
        </w:trPr>
        <w:tc>
          <w:tcPr>
            <w:tcW w:w="4640" w:type="dxa"/>
            <w:vAlign w:val="bottom"/>
          </w:tcPr>
          <w:p>
            <w:pPr>
              <w:spacing w:after="0"/>
              <w:rPr>
                <w:sz w:val="19"/>
                <w:szCs w:val="19"/>
                <w:color w:val="auto"/>
              </w:rPr>
            </w:pPr>
          </w:p>
        </w:tc>
        <w:tc>
          <w:tcPr>
            <w:tcW w:w="2040" w:type="dxa"/>
            <w:vAlign w:val="bottom"/>
            <w:gridSpan w:val="3"/>
          </w:tcPr>
          <w:p>
            <w:pPr>
              <w:jc w:val="center"/>
              <w:ind w:left="1519"/>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2019</w:t>
            </w:r>
          </w:p>
        </w:tc>
      </w:tr>
      <w:tr>
        <w:trPr>
          <w:trHeight w:val="53"/>
        </w:trPr>
        <w:tc>
          <w:tcPr>
            <w:tcW w:w="4640" w:type="dxa"/>
            <w:vAlign w:val="bottom"/>
            <w:tcBorders>
              <w:bottom w:val="single" w:sz="8" w:color="CCEEFF"/>
            </w:tcBorders>
          </w:tcPr>
          <w:p>
            <w:pPr>
              <w:spacing w:after="0"/>
              <w:rPr>
                <w:sz w:val="4"/>
                <w:szCs w:val="4"/>
                <w:color w:val="auto"/>
              </w:rPr>
            </w:pPr>
          </w:p>
        </w:tc>
        <w:tc>
          <w:tcPr>
            <w:tcW w:w="1560" w:type="dxa"/>
            <w:vAlign w:val="bottom"/>
            <w:tcBorders>
              <w:bottom w:val="single" w:sz="8" w:color="CCEEFF"/>
            </w:tcBorders>
            <w:gridSpan w:val="2"/>
          </w:tcPr>
          <w:p>
            <w:pPr>
              <w:spacing w:after="0"/>
              <w:rPr>
                <w:sz w:val="4"/>
                <w:szCs w:val="4"/>
                <w:color w:val="auto"/>
              </w:rPr>
            </w:pPr>
          </w:p>
        </w:tc>
        <w:tc>
          <w:tcPr>
            <w:tcW w:w="520" w:type="dxa"/>
            <w:vAlign w:val="bottom"/>
            <w:tcBorders>
              <w:bottom w:val="single" w:sz="8" w:color="auto"/>
            </w:tcBorders>
            <w:gridSpan w:val="2"/>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gridSpan w:val="2"/>
          </w:tcPr>
          <w:p>
            <w:pPr>
              <w:spacing w:after="0"/>
              <w:rPr>
                <w:sz w:val="4"/>
                <w:szCs w:val="4"/>
                <w:color w:val="auto"/>
              </w:rPr>
            </w:pPr>
          </w:p>
        </w:tc>
        <w:tc>
          <w:tcPr>
            <w:tcW w:w="360" w:type="dxa"/>
            <w:vAlign w:val="bottom"/>
            <w:tcBorders>
              <w:bottom w:val="single" w:sz="8" w:color="CCEEFF"/>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277"/>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2080" w:type="dxa"/>
            <w:vAlign w:val="bottom"/>
            <w:gridSpan w:val="4"/>
            <w:shd w:val="clear" w:color="auto" w:fill="CCEEFF"/>
          </w:tcPr>
          <w:p>
            <w:pPr>
              <w:jc w:val="center"/>
              <w:ind w:left="1459"/>
              <w:spacing w:after="0"/>
              <w:rPr>
                <w:sz w:val="20"/>
                <w:szCs w:val="20"/>
                <w:color w:val="auto"/>
              </w:rPr>
            </w:pPr>
            <w:r>
              <w:rPr>
                <w:rFonts w:ascii="Arial" w:cs="Arial" w:eastAsia="Arial" w:hAnsi="Arial"/>
                <w:sz w:val="18"/>
                <w:szCs w:val="18"/>
                <w:color w:val="auto"/>
                <w:w w:val="90"/>
              </w:rPr>
              <w:t>$3,781</w:t>
            </w:r>
          </w:p>
        </w:tc>
        <w:tc>
          <w:tcPr>
            <w:tcW w:w="320" w:type="dxa"/>
            <w:vAlign w:val="bottom"/>
            <w:shd w:val="clear" w:color="auto" w:fill="CCEEFF"/>
          </w:tcPr>
          <w:p>
            <w:pPr>
              <w:spacing w:after="0"/>
              <w:rPr>
                <w:sz w:val="24"/>
                <w:szCs w:val="24"/>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$3,609</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$2,888</w:t>
            </w:r>
          </w:p>
        </w:tc>
      </w:tr>
      <w:tr>
        <w:trPr>
          <w:trHeight w:val="54"/>
        </w:trPr>
        <w:tc>
          <w:tcPr>
            <w:tcW w:w="4640" w:type="dxa"/>
            <w:vAlign w:val="bottom"/>
            <w:shd w:val="clear" w:color="auto" w:fill="CCEEFF"/>
          </w:tcPr>
          <w:p>
            <w:pPr>
              <w:spacing w:after="0"/>
              <w:rPr>
                <w:sz w:val="4"/>
                <w:szCs w:val="4"/>
                <w:color w:val="auto"/>
              </w:rPr>
            </w:pPr>
          </w:p>
        </w:tc>
        <w:tc>
          <w:tcPr>
            <w:tcW w:w="15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-890905</wp:posOffset>
            </wp:positionV>
            <wp:extent cx="2228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4437380</wp:posOffset>
            </wp:positionH>
            <wp:positionV relativeFrom="paragraph">
              <wp:posOffset>-890905</wp:posOffset>
            </wp:positionV>
            <wp:extent cx="22288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-890905</wp:posOffset>
            </wp:positionV>
            <wp:extent cx="11112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-222250</wp:posOffset>
            </wp:positionV>
            <wp:extent cx="22288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-222250</wp:posOffset>
            </wp:positionV>
            <wp:extent cx="22288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-222250</wp:posOffset>
            </wp:positionV>
            <wp:extent cx="12001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272" w:lineRule="exact"/>
        <w:rPr>
          <w:sz w:val="20"/>
          <w:szCs w:val="20"/>
          <w:color w:val="auto"/>
        </w:rPr>
      </w:pPr>
    </w:p>
    <w:p>
      <w:pPr>
        <w:jc w:val="both"/>
        <w:ind w:left="560" w:right="299" w:hanging="268"/>
        <w:spacing w:after="0" w:line="207" w:lineRule="auto"/>
        <w:tabs>
          <w:tab w:leader="none" w:pos="560" w:val="left"/>
        </w:tabs>
        <w:numPr>
          <w:ilvl w:val="0"/>
          <w:numId w:val="30"/>
        </w:numPr>
        <w:rPr>
          <w:rFonts w:ascii="Arial" w:cs="Arial" w:eastAsia="Arial" w:hAnsi="Arial"/>
          <w:sz w:val="22"/>
          <w:szCs w:val="22"/>
          <w:color w:val="auto"/>
          <w:vertAlign w:val="superscript"/>
        </w:rPr>
      </w:pPr>
      <w:r>
        <w:rPr>
          <w:rFonts w:ascii="Arial" w:cs="Arial" w:eastAsia="Arial" w:hAnsi="Arial"/>
          <w:sz w:val="14"/>
          <w:szCs w:val="14"/>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-521335</wp:posOffset>
            </wp:positionV>
            <wp:extent cx="8229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8" w:name="page59"/>
    <w:bookmarkEnd w:id="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Average Monthly Paying Clients</w:t>
      </w:r>
    </w:p>
    <w:p>
      <w:pPr>
        <w:spacing w:after="0" w:line="11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 Average monthly paying clients for the year ended December 31, 2021 increased approximately 5% to 4,337 average monthly paying clients from 4,140 average monthly paying clients in the same period in 2020. The increase in average monthly paying clients in 2021 was primarily due to an increase in WM Business subscription clients and an increase in premium listing clients, offset by the impact related to the removal of clients who failed to provide valid licensing information in Canada in 2020 as described above.</w:t>
      </w: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49530</wp:posOffset>
            </wp:positionV>
            <wp:extent cx="138874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2228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49530</wp:posOffset>
            </wp:positionV>
            <wp:extent cx="2228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49530</wp:posOffset>
            </wp:positionV>
            <wp:extent cx="111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4,337</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4,140</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4,699</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Prior definition¹:</w:t>
      </w:r>
    </w:p>
    <w:p>
      <w:pPr>
        <w:spacing w:after="0" w:line="176"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4145915</wp:posOffset>
            </wp:positionH>
            <wp:positionV relativeFrom="paragraph">
              <wp:posOffset>49530</wp:posOffset>
            </wp:positionV>
            <wp:extent cx="138874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116" w:lineRule="exact"/>
        <w:rPr>
          <w:sz w:val="20"/>
          <w:szCs w:val="20"/>
          <w:color w:val="auto"/>
        </w:rPr>
      </w:pPr>
    </w:p>
    <w:p>
      <w:pPr>
        <w:ind w:left="6620"/>
        <w:spacing w:after="0"/>
        <w:tabs>
          <w:tab w:leader="none" w:pos="7460" w:val="left"/>
          <w:tab w:leader="none" w:pos="830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49530</wp:posOffset>
            </wp:positionV>
            <wp:extent cx="22288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49530</wp:posOffset>
            </wp:positionV>
            <wp:extent cx="22288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49530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8"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Paying clients</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4,870</w:t>
            </w:r>
          </w:p>
        </w:tc>
        <w:tc>
          <w:tcPr>
            <w:tcW w:w="34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3,786</w:t>
            </w:r>
          </w:p>
        </w:tc>
        <w:tc>
          <w:tcPr>
            <w:tcW w:w="360" w:type="dxa"/>
            <w:vAlign w:val="bottom"/>
            <w:tcBorders>
              <w:top w:val="single" w:sz="8" w:color="CCEEFF"/>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4,644</w:t>
            </w:r>
          </w:p>
        </w:tc>
      </w:tr>
      <w:tr>
        <w:trPr>
          <w:trHeight w:val="54"/>
        </w:trPr>
        <w:tc>
          <w:tcPr>
            <w:tcW w:w="622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r>
    </w:tbl>
    <w:p>
      <w:pPr>
        <w:spacing w:after="0" w:line="292" w:lineRule="exact"/>
        <w:rPr>
          <w:sz w:val="20"/>
          <w:szCs w:val="20"/>
          <w:color w:val="auto"/>
        </w:rPr>
      </w:pPr>
    </w:p>
    <w:p>
      <w:pPr>
        <w:jc w:val="both"/>
        <w:ind w:left="560" w:right="299" w:hanging="268"/>
        <w:spacing w:after="0" w:line="225" w:lineRule="auto"/>
        <w:tabs>
          <w:tab w:leader="none" w:pos="560" w:val="left"/>
        </w:tabs>
        <w:numPr>
          <w:ilvl w:val="0"/>
          <w:numId w:val="31"/>
        </w:numPr>
        <w:rPr>
          <w:rFonts w:ascii="Arial" w:cs="Arial" w:eastAsia="Arial" w:hAnsi="Arial"/>
          <w:sz w:val="19"/>
          <w:szCs w:val="19"/>
          <w:color w:val="auto"/>
          <w:vertAlign w:val="superscript"/>
        </w:rPr>
      </w:pPr>
      <w:r>
        <w:rPr>
          <w:rFonts w:ascii="Arial" w:cs="Arial" w:eastAsia="Arial" w:hAnsi="Arial"/>
          <w:sz w:val="13"/>
          <w:szCs w:val="13"/>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Monthly Active Users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8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As our business has grown, our MAUs increased each year from 2018 through 2021.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w:t>
      </w:r>
    </w:p>
    <w:p>
      <w:pPr>
        <w:sectPr>
          <w:pgSz w:w="11900" w:h="16838" w:orient="portrait"/>
          <w:cols w:equalWidth="0" w:num="1">
            <w:col w:w="9019"/>
          </w:cols>
          <w:pgMar w:left="1440" w:top="265" w:right="1440"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59" w:name="page60"/>
    <w:bookmarkEnd w:id="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growth. We cannot determine what, if any, impact the pandemic had on our MAU growth in 2020. As of December 31, 2021, we grew our MAUs by 57% year-over-year through increased organic traffic and more effective marketing campaigns.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Since the beginning of the pandemic, we have continued to grow our MAUs, reaching 15.7 million at December 31, 2021. While we believe, like other industries, the pandemic accelerated existing trends towards consumer adoption of online platforms, we cannot be certain to what impact, if any, the end of the pandemic will have on our MAUs or MAU growth.</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as we increase MAUs, we increase the value of our bundled SaaS solutions to business customers.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49530</wp:posOffset>
            </wp:positionV>
            <wp:extent cx="8318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49530</wp:posOffset>
            </wp:positionV>
            <wp:extent cx="1200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49530</wp:posOffset>
            </wp:positionV>
            <wp:extent cx="603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15,734   10,000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Prior definition¹:</w:t>
      </w:r>
    </w:p>
    <w:p>
      <w:pPr>
        <w:spacing w:after="0" w:line="190" w:lineRule="exact"/>
        <w:rPr>
          <w:sz w:val="20"/>
          <w:szCs w:val="20"/>
          <w:color w:val="auto"/>
        </w:rPr>
      </w:pPr>
    </w:p>
    <w:p>
      <w:pPr>
        <w:jc w:val="center"/>
        <w:ind w:left="71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49530</wp:posOffset>
            </wp:positionV>
            <wp:extent cx="8318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31850" cy="8255"/>
                    </a:xfrm>
                    <a:prstGeom prst="rect">
                      <a:avLst/>
                    </a:prstGeom>
                    <a:noFill/>
                  </pic:spPr>
                </pic:pic>
              </a:graphicData>
            </a:graphic>
          </wp:anchor>
        </w:drawing>
      </w:r>
    </w:p>
    <w:p>
      <w:pPr>
        <w:spacing w:after="0" w:line="116" w:lineRule="exact"/>
        <w:rPr>
          <w:sz w:val="20"/>
          <w:szCs w:val="20"/>
          <w:color w:val="auto"/>
        </w:rPr>
      </w:pPr>
    </w:p>
    <w:p>
      <w:pPr>
        <w:ind w:left="7540"/>
        <w:spacing w:after="0"/>
        <w:tabs>
          <w:tab w:leader="none" w:pos="82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49530</wp:posOffset>
            </wp:positionV>
            <wp:extent cx="1200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4643120</wp:posOffset>
            </wp:positionH>
            <wp:positionV relativeFrom="paragraph">
              <wp:posOffset>49530</wp:posOffset>
            </wp:positionV>
            <wp:extent cx="603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58" w:lineRule="exact"/>
        <w:rPr>
          <w:sz w:val="20"/>
          <w:szCs w:val="20"/>
          <w:color w:val="auto"/>
        </w:rPr>
      </w:pPr>
    </w:p>
    <w:tbl>
      <w:tblPr>
        <w:tblLayout w:type="fixed"/>
        <w:tblInd w:w="300" w:type="dxa"/>
        <w:tblCellMar>
          <w:top w:w="0" w:type="dxa"/>
          <w:left w:w="0" w:type="dxa"/>
          <w:bottom w:w="0" w:type="dxa"/>
          <w:right w:w="0" w:type="dxa"/>
        </w:tblCellMar>
      </w:tblPr>
      <w:tr>
        <w:trPr>
          <w:trHeight w:val="20"/>
        </w:trPr>
        <w:tc>
          <w:tcPr>
            <w:tcW w:w="71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277"/>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MAUs (in thousands)</w:t>
            </w: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14,904   10,000</w:t>
            </w:r>
          </w:p>
        </w:tc>
      </w:tr>
      <w:tr>
        <w:trPr>
          <w:trHeight w:val="54"/>
        </w:trPr>
        <w:tc>
          <w:tcPr>
            <w:tcW w:w="710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jc w:val="both"/>
        <w:ind w:left="640" w:right="319" w:hanging="348"/>
        <w:spacing w:after="0" w:line="200" w:lineRule="auto"/>
        <w:tabs>
          <w:tab w:leader="none" w:pos="640" w:val="left"/>
        </w:tabs>
        <w:numPr>
          <w:ilvl w:val="0"/>
          <w:numId w:val="32"/>
        </w:numPr>
        <w:rPr>
          <w:rFonts w:ascii="Arial" w:cs="Arial" w:eastAsia="Arial" w:hAnsi="Arial"/>
          <w:sz w:val="22"/>
          <w:szCs w:val="22"/>
          <w:color w:val="auto"/>
          <w:vertAlign w:val="superscript"/>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Quarterly Key Operating Metrics</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Current definition:</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53"/>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5"/>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52"/>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$3,789</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$3,825</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Average monthly paying clients</w:t>
            </w:r>
          </w:p>
        </w:tc>
        <w:tc>
          <w:tcPr>
            <w:tcW w:w="1040" w:type="dxa"/>
            <w:vAlign w:val="bottom"/>
          </w:tcPr>
          <w:p>
            <w:pPr>
              <w:jc w:val="right"/>
              <w:ind w:right="199"/>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3,863</w:t>
            </w:r>
          </w:p>
        </w:tc>
      </w:tr>
      <w:tr>
        <w:trPr>
          <w:trHeight w:val="486"/>
        </w:trPr>
        <w:tc>
          <w:tcPr>
            <w:tcW w:w="6180" w:type="dxa"/>
            <w:vAlign w:val="bottom"/>
          </w:tcPr>
          <w:p>
            <w:pPr>
              <w:spacing w:after="0"/>
              <w:rPr>
                <w:sz w:val="20"/>
                <w:szCs w:val="20"/>
                <w:color w:val="auto"/>
              </w:rPr>
            </w:pPr>
            <w:r>
              <w:rPr>
                <w:rFonts w:ascii="Arial" w:cs="Arial" w:eastAsia="Arial" w:hAnsi="Arial"/>
                <w:sz w:val="18"/>
                <w:szCs w:val="18"/>
                <w:i w:val="1"/>
                <w:iCs w:val="1"/>
                <w:color w:val="auto"/>
              </w:rPr>
              <w:t>Prior definition: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52"/>
        </w:trPr>
        <w:tc>
          <w:tcPr>
            <w:tcW w:w="618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 December 31,</w:t>
            </w:r>
          </w:p>
        </w:tc>
      </w:tr>
      <w:tr>
        <w:trPr>
          <w:trHeight w:val="53"/>
        </w:trPr>
        <w:tc>
          <w:tcPr>
            <w:tcW w:w="618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25"/>
        </w:trPr>
        <w:tc>
          <w:tcPr>
            <w:tcW w:w="6180" w:type="dxa"/>
            <w:vAlign w:val="bottom"/>
          </w:tcPr>
          <w:p>
            <w:pPr>
              <w:spacing w:after="0"/>
              <w:rPr>
                <w:sz w:val="19"/>
                <w:szCs w:val="19"/>
                <w:color w:val="auto"/>
              </w:rPr>
            </w:pPr>
          </w:p>
        </w:tc>
        <w:tc>
          <w:tcPr>
            <w:tcW w:w="1040" w:type="dxa"/>
            <w:vAlign w:val="bottom"/>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9"/>
                <w:szCs w:val="19"/>
                <w:color w:val="auto"/>
              </w:rPr>
            </w:pPr>
          </w:p>
        </w:tc>
        <w:tc>
          <w:tcPr>
            <w:tcW w:w="1080" w:type="dxa"/>
            <w:vAlign w:val="bottom"/>
          </w:tcPr>
          <w:p>
            <w:pPr>
              <w:jc w:val="right"/>
              <w:ind w:right="316"/>
              <w:spacing w:after="0"/>
              <w:rPr>
                <w:sz w:val="20"/>
                <w:szCs w:val="20"/>
                <w:color w:val="auto"/>
              </w:rPr>
            </w:pPr>
            <w:r>
              <w:rPr>
                <w:rFonts w:ascii="Arial" w:cs="Arial" w:eastAsia="Arial" w:hAnsi="Arial"/>
                <w:sz w:val="14"/>
                <w:szCs w:val="14"/>
                <w:b w:val="1"/>
                <w:bCs w:val="1"/>
                <w:color w:val="auto"/>
              </w:rPr>
              <w:t>2020</w:t>
            </w:r>
          </w:p>
        </w:tc>
      </w:tr>
      <w:tr>
        <w:trPr>
          <w:trHeight w:val="53"/>
        </w:trPr>
        <w:tc>
          <w:tcPr>
            <w:tcW w:w="6180" w:type="dxa"/>
            <w:vAlign w:val="bottom"/>
            <w:tcBorders>
              <w:bottom w:val="single" w:sz="8" w:color="CCEEFF"/>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98"/>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Monthly revenue per paying client</w:t>
            </w:r>
          </w:p>
        </w:tc>
        <w:tc>
          <w:tcPr>
            <w:tcW w:w="1040" w:type="dxa"/>
            <w:vAlign w:val="bottom"/>
            <w:tcBorders>
              <w:bottom w:val="single" w:sz="8" w:color="CCEEFF"/>
            </w:tcBorders>
            <w:shd w:val="clear" w:color="auto" w:fill="CCEEFF"/>
          </w:tcPr>
          <w:p>
            <w:pPr>
              <w:jc w:val="right"/>
              <w:ind w:right="179"/>
              <w:spacing w:after="0"/>
              <w:rPr>
                <w:sz w:val="20"/>
                <w:szCs w:val="20"/>
                <w:color w:val="auto"/>
              </w:rPr>
            </w:pPr>
            <w:r>
              <w:rPr>
                <w:rFonts w:ascii="Arial" w:cs="Arial" w:eastAsia="Arial" w:hAnsi="Arial"/>
                <w:sz w:val="18"/>
                <w:szCs w:val="18"/>
                <w:color w:val="auto"/>
              </w:rPr>
              <w:t>$3,781</w:t>
            </w:r>
          </w:p>
        </w:tc>
        <w:tc>
          <w:tcPr>
            <w:tcW w:w="12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rPr>
              <w:t>$3,609</w:t>
            </w:r>
          </w:p>
        </w:tc>
      </w:tr>
      <w:tr>
        <w:trPr>
          <w:trHeight w:val="257"/>
        </w:trPr>
        <w:tc>
          <w:tcPr>
            <w:tcW w:w="6180" w:type="dxa"/>
            <w:vAlign w:val="bottom"/>
          </w:tcPr>
          <w:p>
            <w:pPr>
              <w:spacing w:after="0"/>
              <w:rPr>
                <w:sz w:val="20"/>
                <w:szCs w:val="20"/>
                <w:color w:val="auto"/>
              </w:rPr>
            </w:pPr>
            <w:r>
              <w:rPr>
                <w:rFonts w:ascii="Arial" w:cs="Arial" w:eastAsia="Arial" w:hAnsi="Arial"/>
                <w:sz w:val="18"/>
                <w:szCs w:val="18"/>
                <w:color w:val="auto"/>
              </w:rPr>
              <w:t>Paying clients</w:t>
            </w:r>
          </w:p>
        </w:tc>
        <w:tc>
          <w:tcPr>
            <w:tcW w:w="1040" w:type="dxa"/>
            <w:vAlign w:val="bottom"/>
          </w:tcPr>
          <w:p>
            <w:pPr>
              <w:jc w:val="right"/>
              <w:ind w:right="199"/>
              <w:spacing w:after="0"/>
              <w:rPr>
                <w:sz w:val="20"/>
                <w:szCs w:val="20"/>
                <w:color w:val="auto"/>
              </w:rPr>
            </w:pPr>
            <w:r>
              <w:rPr>
                <w:rFonts w:ascii="Arial" w:cs="Arial" w:eastAsia="Arial" w:hAnsi="Arial"/>
                <w:sz w:val="18"/>
                <w:szCs w:val="18"/>
                <w:color w:val="auto"/>
              </w:rPr>
              <w:t>4,870</w:t>
            </w:r>
          </w:p>
        </w:tc>
        <w:tc>
          <w:tcPr>
            <w:tcW w:w="120" w:type="dxa"/>
            <w:vAlign w:val="bottom"/>
          </w:tcPr>
          <w:p>
            <w:pPr>
              <w:spacing w:after="0"/>
              <w:rPr>
                <w:sz w:val="22"/>
                <w:szCs w:val="22"/>
                <w:color w:val="auto"/>
              </w:rPr>
            </w:pPr>
          </w:p>
        </w:tc>
        <w:tc>
          <w:tcPr>
            <w:tcW w:w="1080" w:type="dxa"/>
            <w:vAlign w:val="bottom"/>
          </w:tcPr>
          <w:p>
            <w:pPr>
              <w:jc w:val="right"/>
              <w:ind w:right="236"/>
              <w:spacing w:after="0"/>
              <w:rPr>
                <w:sz w:val="20"/>
                <w:szCs w:val="20"/>
                <w:color w:val="auto"/>
              </w:rPr>
            </w:pPr>
            <w:r>
              <w:rPr>
                <w:rFonts w:ascii="Arial" w:cs="Arial" w:eastAsia="Arial" w:hAnsi="Arial"/>
                <w:sz w:val="18"/>
                <w:szCs w:val="18"/>
                <w:color w:val="auto"/>
              </w:rPr>
              <w:t>3,786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4780280</wp:posOffset>
            </wp:positionH>
            <wp:positionV relativeFrom="paragraph">
              <wp:posOffset>-1508125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-1508125</wp:posOffset>
            </wp:positionV>
            <wp:extent cx="342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4780280</wp:posOffset>
            </wp:positionH>
            <wp:positionV relativeFrom="paragraph">
              <wp:posOffset>-376555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-376555</wp:posOffset>
            </wp:positionV>
            <wp:extent cx="342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Factors Affecting Our Performance</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of Our Two-Sided Weedmaps Marketplace</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2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Growth and Retention of Our Paying Clients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 marketplace and leveraging our software solutions. Our monthly net dollar retention, which is defined as total revenue from clients in a given month who were paying clients in the immediately</w:t>
      </w:r>
    </w:p>
    <w:p>
      <w:pPr>
        <w:sectPr>
          <w:pgSz w:w="11900" w:h="16838" w:orient="portrait"/>
          <w:cols w:equalWidth="0" w:num="1">
            <w:col w:w="9019"/>
          </w:cols>
          <w:pgMar w:left="1440" w:top="265" w:right="1440"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0" w:name="page61"/>
    <w:bookmarkEnd w:id="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preceding month, averaged at 101% in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Regulation and Maturation of Cannabis Markets</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believe that we will have significant opportunities for greater growth as more jurisdictions legalize cannabis for medical and/or adult use and the regulatory environment continues to develop. Thirty-eight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also have a significant opportunity to monetize transactions originating from users engaging with a retailer on the Weedmaps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7"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80"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Brand Recognition and Reputation</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73"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1" w:name="page62"/>
    <w:bookmarkEnd w:id="6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Investments in Growth</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intend to continue to make focused organic and inorganic investments to grow our revenue and scale operations to support that growth.</w:t>
      </w:r>
    </w:p>
    <w:p>
      <w:pPr>
        <w:spacing w:after="0" w:line="62"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third quarter of 2021, we completed two acquisitions.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3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76"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As operating expenses and capital expenditures fluctuate over time, we may accordingly experience short-term, negative impacts to our operating results and cash flows.</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generate revenue from the sale of our subscription offerings, which consist of access to the Weedmaps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2" w:name="page63"/>
    <w:bookmarkEnd w:id="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Depreciation and amortization expenses primarily consist of depreciation on computer equipment, furniture and fixtures, leasehold improvements, capitalized software development costs and amortization of purchased intangibles. We expect depreciation and amortization expenses to increase on an absolute basis for the foreseeable future as we scale our business.</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 Other income consists of change in fair value of warrant liability.</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420" w:type="dxa"/>
            <w:vAlign w:val="bottom"/>
            <w:gridSpan w:val="9"/>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4180" w:type="dxa"/>
            <w:vAlign w:val="bottom"/>
          </w:tcPr>
          <w:p>
            <w:pPr>
              <w:spacing w:after="0"/>
              <w:rPr>
                <w:sz w:val="19"/>
                <w:szCs w:val="19"/>
                <w:color w:val="auto"/>
              </w:rPr>
            </w:pPr>
          </w:p>
        </w:tc>
        <w:tc>
          <w:tcPr>
            <w:tcW w:w="248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5"/>
        </w:trPr>
        <w:tc>
          <w:tcPr>
            <w:tcW w:w="4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(in thousands)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3"/>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$193,146</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$161,791</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$144,232</w:t>
            </w:r>
          </w:p>
        </w:tc>
      </w:tr>
      <w:tr>
        <w:trPr>
          <w:trHeight w:val="324"/>
        </w:trPr>
        <w:tc>
          <w:tcPr>
            <w:tcW w:w="41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04"/>
        </w:trPr>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7,938</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7,630</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2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56,119</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30,716</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418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2500" w:type="dxa"/>
            <w:vAlign w:val="bottom"/>
            <w:gridSpan w:val="3"/>
          </w:tcPr>
          <w:p>
            <w:pPr>
              <w:jc w:val="right"/>
              <w:ind w:right="20"/>
              <w:spacing w:after="0"/>
              <w:rPr>
                <w:sz w:val="20"/>
                <w:szCs w:val="20"/>
                <w:color w:val="auto"/>
              </w:rPr>
            </w:pPr>
            <w:r>
              <w:rPr>
                <w:rFonts w:ascii="Arial" w:cs="Arial" w:eastAsia="Arial" w:hAnsi="Arial"/>
                <w:sz w:val="18"/>
                <w:szCs w:val="18"/>
                <w:color w:val="auto"/>
              </w:rPr>
              <w:t>35,395</w:t>
            </w:r>
          </w:p>
        </w:tc>
        <w:tc>
          <w:tcPr>
            <w:tcW w:w="6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27,142</w:t>
            </w:r>
          </w:p>
        </w:tc>
        <w:tc>
          <w:tcPr>
            <w:tcW w:w="160" w:type="dxa"/>
            <w:vAlign w:val="bottom"/>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4180" w:type="dxa"/>
            <w:vAlign w:val="bottom"/>
          </w:tcPr>
          <w:p>
            <w:pPr>
              <w:spacing w:after="0"/>
              <w:rPr>
                <w:sz w:val="4"/>
                <w:szCs w:val="4"/>
                <w:color w:val="auto"/>
              </w:rPr>
            </w:pPr>
          </w:p>
        </w:tc>
        <w:tc>
          <w:tcPr>
            <w:tcW w:w="18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41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25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97,447</w:t>
            </w:r>
          </w:p>
        </w:tc>
        <w:tc>
          <w:tcPr>
            <w:tcW w:w="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51,127</w:t>
            </w:r>
          </w:p>
        </w:tc>
        <w:tc>
          <w:tcPr>
            <w:tcW w:w="16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6"/>
        </w:trPr>
        <w:tc>
          <w:tcPr>
            <w:tcW w:w="418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500" w:type="dxa"/>
            <w:vAlign w:val="bottom"/>
            <w:gridSpan w:val="3"/>
          </w:tcPr>
          <w:p>
            <w:pPr>
              <w:jc w:val="right"/>
              <w:spacing w:after="0"/>
              <w:rPr>
                <w:sz w:val="20"/>
                <w:szCs w:val="20"/>
                <w:color w:val="auto"/>
              </w:rPr>
            </w:pPr>
            <w:r>
              <w:rPr>
                <w:rFonts w:ascii="Arial" w:cs="Arial" w:eastAsia="Arial" w:hAnsi="Arial"/>
                <w:sz w:val="18"/>
                <w:szCs w:val="18"/>
                <w:color w:val="auto"/>
              </w:rPr>
              <w:t>4,425</w:t>
            </w:r>
          </w:p>
        </w:tc>
        <w:tc>
          <w:tcPr>
            <w:tcW w:w="60" w:type="dxa"/>
            <w:vAlign w:val="bottom"/>
          </w:tcPr>
          <w:p>
            <w:pPr>
              <w:spacing w:after="0"/>
              <w:rPr>
                <w:sz w:val="22"/>
                <w:szCs w:val="22"/>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3,978</w:t>
            </w:r>
          </w:p>
        </w:tc>
        <w:tc>
          <w:tcPr>
            <w:tcW w:w="16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41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r>
      <w:tr>
        <w:trPr>
          <w:trHeight w:val="270"/>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5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201,324</w:t>
            </w:r>
          </w:p>
        </w:tc>
        <w:tc>
          <w:tcPr>
            <w:tcW w:w="6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120,593</w:t>
            </w:r>
          </w:p>
        </w:tc>
        <w:tc>
          <w:tcPr>
            <w:tcW w:w="160" w:type="dxa"/>
            <w:vAlign w:val="bottom"/>
            <w:shd w:val="clear" w:color="auto" w:fill="CCEEFF"/>
          </w:tcPr>
          <w:p>
            <w:pPr>
              <w:spacing w:after="0"/>
              <w:rPr>
                <w:sz w:val="23"/>
                <w:szCs w:val="23"/>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137,945</w:t>
            </w:r>
          </w:p>
        </w:tc>
      </w:tr>
      <w:tr>
        <w:trPr>
          <w:trHeight w:val="61"/>
        </w:trPr>
        <w:tc>
          <w:tcPr>
            <w:tcW w:w="4180" w:type="dxa"/>
            <w:vAlign w:val="bottom"/>
            <w:tcBorders>
              <w:top w:val="single" w:sz="8" w:color="CCEEFF"/>
            </w:tcBorders>
            <w:shd w:val="clear" w:color="auto" w:fill="CCEEFF"/>
          </w:tcPr>
          <w:p>
            <w:pPr>
              <w:spacing w:after="0"/>
              <w:rPr>
                <w:sz w:val="5"/>
                <w:szCs w:val="5"/>
                <w:color w:val="auto"/>
              </w:rPr>
            </w:pPr>
          </w:p>
        </w:tc>
        <w:tc>
          <w:tcPr>
            <w:tcW w:w="182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r>
      <w:tr>
        <w:trPr>
          <w:trHeight w:val="283"/>
        </w:trPr>
        <w:tc>
          <w:tcPr>
            <w:tcW w:w="4180" w:type="dxa"/>
            <w:vAlign w:val="bottom"/>
          </w:tcPr>
          <w:p>
            <w:pPr>
              <w:ind w:left="360"/>
              <w:spacing w:after="0"/>
              <w:rPr>
                <w:sz w:val="20"/>
                <w:szCs w:val="20"/>
                <w:color w:val="auto"/>
              </w:rPr>
            </w:pPr>
            <w:r>
              <w:rPr>
                <w:rFonts w:ascii="Arial" w:cs="Arial" w:eastAsia="Arial" w:hAnsi="Arial"/>
                <w:sz w:val="18"/>
                <w:szCs w:val="18"/>
                <w:color w:val="auto"/>
              </w:rPr>
              <w:t>Operating (loss) income</w:t>
            </w:r>
          </w:p>
        </w:tc>
        <w:tc>
          <w:tcPr>
            <w:tcW w:w="2560" w:type="dxa"/>
            <w:vAlign w:val="bottom"/>
            <w:gridSpan w:val="4"/>
          </w:tcPr>
          <w:p>
            <w:pPr>
              <w:jc w:val="right"/>
              <w:ind w:right="20"/>
              <w:spacing w:after="0"/>
              <w:rPr>
                <w:sz w:val="20"/>
                <w:szCs w:val="20"/>
                <w:color w:val="auto"/>
              </w:rPr>
            </w:pPr>
            <w:r>
              <w:rPr>
                <w:rFonts w:ascii="Arial" w:cs="Arial" w:eastAsia="Arial" w:hAnsi="Arial"/>
                <w:sz w:val="18"/>
                <w:szCs w:val="18"/>
                <w:color w:val="auto"/>
              </w:rPr>
              <w:t>(8,178)</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41,198</w:t>
            </w:r>
          </w:p>
        </w:tc>
        <w:tc>
          <w:tcPr>
            <w:tcW w:w="16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6,287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-2253615</wp:posOffset>
            </wp:positionV>
            <wp:extent cx="1028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-2253615</wp:posOffset>
            </wp:positionV>
            <wp:extent cx="102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3" w:name="page64"/>
    <w:bookmarkEnd w:id="63"/>
    <w:tbl>
      <w:tblPr>
        <w:tblLayout w:type="fixed"/>
        <w:tblInd w:w="300" w:type="dxa"/>
        <w:tblCellMar>
          <w:top w:w="0" w:type="dxa"/>
          <w:left w:w="0" w:type="dxa"/>
          <w:bottom w:w="0" w:type="dxa"/>
          <w:right w:w="0" w:type="dxa"/>
        </w:tblCellMar>
      </w:tblPr>
      <w:tr>
        <w:trPr>
          <w:trHeight w:val="161"/>
        </w:trPr>
        <w:tc>
          <w:tcPr>
            <w:tcW w:w="3560" w:type="dxa"/>
            <w:vAlign w:val="bottom"/>
            <w:gridSpan w:val="2"/>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154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4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right"/>
              <w:ind w:right="36"/>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ind w:left="10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10"/>
          </w:tcPr>
          <w:p>
            <w:pPr>
              <w:jc w:val="center"/>
              <w:ind w:right="68"/>
              <w:spacing w:after="0"/>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gridSpan w:val="8"/>
          </w:tcPr>
          <w:p>
            <w:pPr>
              <w:jc w:val="right"/>
              <w:ind w:right="40"/>
              <w:spacing w:after="0"/>
              <w:rPr>
                <w:sz w:val="20"/>
                <w:szCs w:val="20"/>
                <w:color w:val="auto"/>
              </w:rPr>
            </w:pPr>
            <w:r>
              <w:rPr>
                <w:rFonts w:ascii="Arial" w:cs="Arial" w:eastAsia="Arial" w:hAnsi="Arial"/>
                <w:sz w:val="18"/>
                <w:szCs w:val="18"/>
                <w:color w:val="auto"/>
              </w:rPr>
              <w:t>166,518</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gridSpan w:val="3"/>
          </w:tcPr>
          <w:p>
            <w:pPr>
              <w:jc w:val="right"/>
              <w:ind w:right="208"/>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gridSpan w:val="4"/>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(6,723)</w:t>
            </w:r>
          </w:p>
        </w:tc>
        <w:tc>
          <w:tcPr>
            <w:tcW w:w="1060" w:type="dxa"/>
            <w:vAlign w:val="bottom"/>
            <w:gridSpan w:val="10"/>
            <w:shd w:val="clear" w:color="auto" w:fill="CCEEFF"/>
          </w:tcPr>
          <w:p>
            <w:pPr>
              <w:jc w:val="right"/>
              <w:ind w:right="168"/>
              <w:spacing w:after="0"/>
              <w:rPr>
                <w:sz w:val="20"/>
                <w:szCs w:val="20"/>
                <w:color w:val="auto"/>
              </w:rPr>
            </w:pPr>
            <w:r>
              <w:rPr>
                <w:rFonts w:ascii="Arial" w:cs="Arial" w:eastAsia="Arial" w:hAnsi="Arial"/>
                <w:sz w:val="18"/>
                <w:szCs w:val="18"/>
                <w:color w:val="auto"/>
              </w:rPr>
              <w:t>(2,368)</w:t>
            </w:r>
          </w:p>
        </w:tc>
        <w:tc>
          <w:tcPr>
            <w:tcW w:w="40" w:type="dxa"/>
            <w:vAlign w:val="bottom"/>
            <w:shd w:val="clear" w:color="auto" w:fill="CCEEFF"/>
          </w:tcPr>
          <w:p>
            <w:pPr>
              <w:spacing w:after="0"/>
              <w:rPr>
                <w:sz w:val="23"/>
                <w:szCs w:val="23"/>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98"/>
              </w:rPr>
              <w:t>(5,341)</w:t>
            </w: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w w:val="98"/>
              </w:rPr>
              <w:t>151,617</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946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0" w:type="dxa"/>
            <w:vAlign w:val="bottom"/>
            <w:gridSpan w:val="2"/>
            <w:shd w:val="clear" w:color="auto" w:fill="CCEEFF"/>
          </w:tcPr>
          <w:p>
            <w:pPr>
              <w:spacing w:after="0"/>
              <w:rPr>
                <w:sz w:val="23"/>
                <w:szCs w:val="23"/>
                <w:color w:val="auto"/>
              </w:rPr>
            </w:pPr>
          </w:p>
        </w:tc>
        <w:tc>
          <w:tcPr>
            <w:tcW w:w="760" w:type="dxa"/>
            <w:vAlign w:val="bottom"/>
            <w:gridSpan w:val="7"/>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48"/>
        </w:trPr>
        <w:tc>
          <w:tcPr>
            <w:tcW w:w="1540" w:type="dxa"/>
            <w:vAlign w:val="bottom"/>
            <w:tcBorders>
              <w:top w:val="single" w:sz="8" w:color="CCEEFF"/>
            </w:tcBorders>
            <w:shd w:val="clear" w:color="auto" w:fill="CCEEFF"/>
          </w:tcPr>
          <w:p>
            <w:pPr>
              <w:spacing w:after="0"/>
              <w:rPr>
                <w:sz w:val="4"/>
                <w:szCs w:val="4"/>
                <w:color w:val="auto"/>
              </w:rPr>
            </w:pPr>
          </w:p>
        </w:tc>
        <w:tc>
          <w:tcPr>
            <w:tcW w:w="202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gridSpan w:val="2"/>
          </w:tcPr>
          <w:p>
            <w:pPr>
              <w:spacing w:after="0"/>
              <w:rPr>
                <w:sz w:val="24"/>
                <w:szCs w:val="24"/>
                <w:color w:val="auto"/>
              </w:rPr>
            </w:pPr>
          </w:p>
        </w:tc>
        <w:tc>
          <w:tcPr>
            <w:tcW w:w="700" w:type="dxa"/>
            <w:vAlign w:val="bottom"/>
            <w:gridSpan w:val="6"/>
          </w:tcPr>
          <w:p>
            <w:pPr>
              <w:jc w:val="right"/>
              <w:ind w:right="40"/>
              <w:spacing w:after="0"/>
              <w:rPr>
                <w:sz w:val="20"/>
                <w:szCs w:val="20"/>
                <w:color w:val="auto"/>
              </w:rPr>
            </w:pPr>
            <w:r>
              <w:rPr>
                <w:rFonts w:ascii="Arial" w:cs="Arial" w:eastAsia="Arial" w:hAnsi="Arial"/>
                <w:sz w:val="18"/>
                <w:szCs w:val="18"/>
                <w:color w:val="auto"/>
                <w:w w:val="98"/>
              </w:rPr>
              <w:t>152,218</w:t>
            </w: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38,830</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gridSpan w:val="5"/>
          </w:tcPr>
          <w:p>
            <w:pPr>
              <w:jc w:val="right"/>
              <w:ind w:right="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42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700" w:type="dxa"/>
            <w:vAlign w:val="bottom"/>
            <w:tcBorders>
              <w:bottom w:val="single" w:sz="8" w:color="auto"/>
            </w:tcBorders>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91,835</w:t>
            </w: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auto"/>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Arial" w:cs="Arial" w:eastAsia="Arial" w:hAnsi="Arial"/>
                <w:sz w:val="18"/>
                <w:szCs w:val="18"/>
                <w:color w:val="auto"/>
                <w:w w:val="95"/>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7"/>
          </w:tcPr>
          <w:p>
            <w:pPr>
              <w:jc w:val="right"/>
              <w:ind w:right="20"/>
              <w:spacing w:after="0"/>
              <w:rPr>
                <w:sz w:val="20"/>
                <w:szCs w:val="20"/>
                <w:color w:val="auto"/>
              </w:rPr>
            </w:pPr>
            <w:r>
              <w:rPr>
                <w:rFonts w:ascii="Arial" w:cs="Arial" w:eastAsia="Arial" w:hAnsi="Arial"/>
                <w:sz w:val="18"/>
                <w:szCs w:val="18"/>
                <w:color w:val="auto"/>
                <w:w w:val="99"/>
              </w:rPr>
              <w:t>$ 60,383</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gridSpan w:val="9"/>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38,830</w:t>
            </w:r>
          </w:p>
        </w:tc>
        <w:tc>
          <w:tcPr>
            <w:tcW w:w="280" w:type="dxa"/>
            <w:vAlign w:val="bottom"/>
          </w:tcPr>
          <w:p>
            <w:pPr>
              <w:spacing w:after="0"/>
              <w:rPr>
                <w:sz w:val="23"/>
                <w:szCs w:val="23"/>
                <w:color w:val="auto"/>
              </w:rPr>
            </w:pPr>
          </w:p>
        </w:tc>
        <w:tc>
          <w:tcPr>
            <w:tcW w:w="640" w:type="dxa"/>
            <w:vAlign w:val="bottom"/>
            <w:gridSpan w:val="6"/>
          </w:tcPr>
          <w:p>
            <w:pPr>
              <w:jc w:val="right"/>
              <w:ind w:right="20"/>
              <w:spacing w:after="0"/>
              <w:rPr>
                <w:sz w:val="20"/>
                <w:szCs w:val="20"/>
                <w:color w:val="auto"/>
              </w:rPr>
            </w:pPr>
            <w:r>
              <w:rPr>
                <w:rFonts w:ascii="Arial" w:cs="Arial" w:eastAsia="Arial" w:hAnsi="Arial"/>
                <w:sz w:val="18"/>
                <w:szCs w:val="18"/>
                <w:color w:val="auto"/>
                <w:w w:val="96"/>
              </w:rPr>
              <w:t>$  (375)</w:t>
            </w:r>
          </w:p>
        </w:tc>
        <w:tc>
          <w:tcPr>
            <w:tcW w:w="0" w:type="dxa"/>
            <w:vAlign w:val="bottom"/>
          </w:tcPr>
          <w:p>
            <w:pPr>
              <w:spacing w:after="0"/>
              <w:rPr>
                <w:sz w:val="1"/>
                <w:szCs w:val="1"/>
                <w:color w:val="auto"/>
              </w:rPr>
            </w:pPr>
          </w:p>
        </w:tc>
      </w:tr>
      <w:tr>
        <w:trPr>
          <w:trHeight w:val="21"/>
        </w:trPr>
        <w:tc>
          <w:tcPr>
            <w:tcW w:w="15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9"/>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20" w:type="dxa"/>
            <w:vAlign w:val="bottom"/>
            <w:gridSpan w:val="21"/>
          </w:tcPr>
          <w:p>
            <w:pPr>
              <w:jc w:val="center"/>
              <w:ind w:right="38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5"/>
          </w:tcPr>
          <w:p>
            <w:pPr>
              <w:jc w:val="right"/>
              <w:ind w:right="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gridSpan w:val="8"/>
          </w:tcPr>
          <w:p>
            <w:pPr>
              <w:jc w:val="center"/>
              <w:ind w:left="7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CCEEFF"/>
            </w:tcBorders>
          </w:tcPr>
          <w:p>
            <w:pPr>
              <w:spacing w:after="0"/>
              <w:rPr>
                <w:sz w:val="4"/>
                <w:szCs w:val="4"/>
                <w:color w:val="auto"/>
              </w:rPr>
            </w:pPr>
          </w:p>
        </w:tc>
        <w:tc>
          <w:tcPr>
            <w:tcW w:w="202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7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24"/>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Cost of revenues</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Product development</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gridSpan w:val="8"/>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72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Operating (loss) income</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7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360"/>
              <w:spacing w:after="0"/>
              <w:rPr>
                <w:sz w:val="20"/>
                <w:szCs w:val="20"/>
                <w:color w:val="auto"/>
              </w:rPr>
            </w:pPr>
            <w:r>
              <w:rPr>
                <w:rFonts w:ascii="Arial" w:cs="Arial" w:eastAsia="Arial" w:hAnsi="Arial"/>
                <w:sz w:val="18"/>
                <w:szCs w:val="18"/>
                <w:color w:val="auto"/>
              </w:rPr>
              <w:t>Income before income taxes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72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Net income (loss)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2740" w:type="dxa"/>
            <w:vAlign w:val="bottom"/>
            <w:gridSpan w:val="2"/>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42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7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gridSpan w:val="8"/>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540" w:type="dxa"/>
            <w:vAlign w:val="bottom"/>
            <w:tcBorders>
              <w:top w:val="single" w:sz="8" w:color="CCEEFF"/>
            </w:tcBorders>
            <w:shd w:val="clear" w:color="auto" w:fill="CCEEFF"/>
          </w:tcPr>
          <w:p>
            <w:pPr>
              <w:spacing w:after="0"/>
              <w:rPr>
                <w:sz w:val="5"/>
                <w:szCs w:val="5"/>
                <w:color w:val="auto"/>
              </w:rPr>
            </w:pPr>
          </w:p>
        </w:tc>
        <w:tc>
          <w:tcPr>
            <w:tcW w:w="202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280" w:type="dxa"/>
            <w:vAlign w:val="bottom"/>
            <w:gridSpan w:val="3"/>
          </w:tcPr>
          <w:p>
            <w:pPr>
              <w:ind w:left="180"/>
              <w:spacing w:after="0"/>
              <w:rPr>
                <w:sz w:val="20"/>
                <w:szCs w:val="20"/>
                <w:color w:val="auto"/>
              </w:rPr>
            </w:pPr>
            <w:r>
              <w:rPr>
                <w:rFonts w:ascii="Arial" w:cs="Arial" w:eastAsia="Arial" w:hAnsi="Arial"/>
                <w:sz w:val="18"/>
                <w:szCs w:val="18"/>
                <w:color w:val="auto"/>
                <w:w w:val="95"/>
              </w:rPr>
              <w:t>Net income (loss) attributable to WM Technology, Inc.</w:t>
            </w: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gridSpan w:val="8"/>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spacing w:after="0"/>
              <w:rPr>
                <w:sz w:val="20"/>
                <w:szCs w:val="20"/>
                <w:color w:val="auto"/>
              </w:rPr>
            </w:pPr>
            <w:r>
              <w:rPr>
                <w:rFonts w:ascii="Arial" w:cs="Arial" w:eastAsia="Arial" w:hAnsi="Arial"/>
                <w:sz w:val="18"/>
                <w:szCs w:val="18"/>
                <w:b w:val="1"/>
                <w:bCs w:val="1"/>
                <w:i w:val="1"/>
                <w:iCs w:val="1"/>
                <w:color w:val="auto"/>
                <w:w w:val="93"/>
              </w:rPr>
              <w:t>Comparison of Years Ended December 31, 2021, 2020 and 2019</w:t>
            </w: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060" w:type="dxa"/>
            <w:vAlign w:val="bottom"/>
            <w:gridSpan w:val="4"/>
            <w:vMerge w:val="continue"/>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34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13"/>
          </w:tcPr>
          <w:p>
            <w:pPr>
              <w:ind w:left="24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restart"/>
          </w:tcPr>
          <w:p>
            <w:pPr>
              <w:jc w:val="right"/>
              <w:ind w:right="162"/>
              <w:spacing w:after="0"/>
              <w:rPr>
                <w:sz w:val="20"/>
                <w:szCs w:val="20"/>
                <w:color w:val="auto"/>
              </w:rPr>
            </w:pPr>
            <w:r>
              <w:rPr>
                <w:rFonts w:ascii="Arial" w:cs="Arial" w:eastAsia="Arial" w:hAnsi="Arial"/>
                <w:sz w:val="14"/>
                <w:szCs w:val="14"/>
                <w:b w:val="1"/>
                <w:bCs w:val="1"/>
                <w:color w:val="auto"/>
              </w:rPr>
              <w:t>2021</w:t>
            </w:r>
          </w:p>
        </w:tc>
        <w:tc>
          <w:tcPr>
            <w:tcW w:w="78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gridSpan w:val="4"/>
          </w:tcPr>
          <w:p>
            <w:pPr>
              <w:jc w:val="center"/>
              <w:ind w:right="28"/>
              <w:spacing w:after="0"/>
              <w:rPr>
                <w:sz w:val="20"/>
                <w:szCs w:val="20"/>
                <w:color w:val="auto"/>
              </w:rPr>
            </w:pPr>
            <w:r>
              <w:rPr>
                <w:rFonts w:ascii="Arial" w:cs="Arial" w:eastAsia="Arial" w:hAnsi="Arial"/>
                <w:sz w:val="14"/>
                <w:szCs w:val="14"/>
                <w:b w:val="1"/>
                <w:bCs w:val="1"/>
                <w:color w:val="auto"/>
                <w:w w:val="88"/>
              </w:rPr>
              <w:t>2021 vs.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84"/>
              </w:rPr>
              <w:t>2020 vs.</w:t>
            </w:r>
          </w:p>
        </w:tc>
        <w:tc>
          <w:tcPr>
            <w:tcW w:w="520" w:type="dxa"/>
            <w:vAlign w:val="bottom"/>
            <w:gridSpan w:val="4"/>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00" w:type="dxa"/>
            <w:vAlign w:val="bottom"/>
            <w:gridSpan w:val="5"/>
          </w:tcPr>
          <w:p>
            <w:pPr>
              <w:ind w:left="100"/>
              <w:spacing w:after="0"/>
              <w:rPr>
                <w:sz w:val="20"/>
                <w:szCs w:val="20"/>
                <w:color w:val="auto"/>
              </w:rPr>
            </w:pPr>
            <w:r>
              <w:rPr>
                <w:rFonts w:ascii="Arial" w:cs="Arial" w:eastAsia="Arial" w:hAnsi="Arial"/>
                <w:sz w:val="14"/>
                <w:szCs w:val="14"/>
                <w:b w:val="1"/>
                <w:bCs w:val="1"/>
                <w:color w:val="auto"/>
                <w:w w:val="88"/>
              </w:rPr>
              <w:t>2020 vs.</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52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gridSpan w:val="4"/>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15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gridSpan w:val="11"/>
          </w:tcPr>
          <w:p>
            <w:pPr>
              <w:jc w:val="right"/>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1540" w:type="dxa"/>
            <w:vAlign w:val="bottom"/>
          </w:tcPr>
          <w:p>
            <w:pPr>
              <w:spacing w:after="0"/>
              <w:rPr>
                <w:sz w:val="4"/>
                <w:szCs w:val="4"/>
                <w:color w:val="auto"/>
              </w:rPr>
            </w:pPr>
          </w:p>
        </w:tc>
        <w:tc>
          <w:tcPr>
            <w:tcW w:w="2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gridSpan w:val="3"/>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$193,146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$161,791</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$144,232</w:t>
            </w:r>
          </w:p>
        </w:tc>
        <w:tc>
          <w:tcPr>
            <w:tcW w:w="100" w:type="dxa"/>
            <w:vAlign w:val="bottom"/>
            <w:shd w:val="clear" w:color="auto" w:fill="CCEEFF"/>
          </w:tcPr>
          <w:p>
            <w:pPr>
              <w:spacing w:after="0"/>
              <w:rPr>
                <w:sz w:val="24"/>
                <w:szCs w:val="24"/>
                <w:color w:val="auto"/>
              </w:rPr>
            </w:pPr>
          </w:p>
        </w:tc>
        <w:tc>
          <w:tcPr>
            <w:tcW w:w="62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9"/>
              </w:rPr>
              <w:t>$31,355</w:t>
            </w:r>
          </w:p>
        </w:tc>
        <w:tc>
          <w:tcPr>
            <w:tcW w:w="680" w:type="dxa"/>
            <w:vAlign w:val="bottom"/>
            <w:gridSpan w:val="8"/>
            <w:shd w:val="clear" w:color="auto" w:fill="CCEEFF"/>
          </w:tcPr>
          <w:p>
            <w:pPr>
              <w:jc w:val="center"/>
              <w:spacing w:after="0"/>
              <w:rPr>
                <w:sz w:val="20"/>
                <w:szCs w:val="20"/>
                <w:color w:val="auto"/>
              </w:rPr>
            </w:pPr>
            <w:r>
              <w:rPr>
                <w:rFonts w:ascii="Arial" w:cs="Arial" w:eastAsia="Arial" w:hAnsi="Arial"/>
                <w:sz w:val="18"/>
                <w:szCs w:val="18"/>
                <w:color w:val="auto"/>
                <w:w w:val="92"/>
              </w:rPr>
              <w:t>$17,559</w:t>
            </w:r>
          </w:p>
        </w:tc>
        <w:tc>
          <w:tcPr>
            <w:tcW w:w="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20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-7791450</wp:posOffset>
            </wp:positionV>
            <wp:extent cx="1028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-7791450</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4934585</wp:posOffset>
            </wp:positionH>
            <wp:positionV relativeFrom="paragraph">
              <wp:posOffset>-5451475</wp:posOffset>
            </wp:positionV>
            <wp:extent cx="22288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-5451475</wp:posOffset>
            </wp:positionV>
            <wp:extent cx="22288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3845560</wp:posOffset>
            </wp:positionH>
            <wp:positionV relativeFrom="paragraph">
              <wp:posOffset>-5451475</wp:posOffset>
            </wp:positionV>
            <wp:extent cx="1111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-401955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4763135</wp:posOffset>
            </wp:positionH>
            <wp:positionV relativeFrom="paragraph">
              <wp:posOffset>-401955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-401955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3871595</wp:posOffset>
            </wp:positionH>
            <wp:positionV relativeFrom="paragraph">
              <wp:posOffset>-401955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3374390</wp:posOffset>
            </wp:positionH>
            <wp:positionV relativeFrom="paragraph">
              <wp:posOffset>-401955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-401955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Total revenues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$31.4 million, or 19% for the year ended December 31, 2021 compared to the same period in 2020. The increase was driven by a 14% increase in average monthly revenue per paying client and a 5%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w:t>
      </w:r>
    </w:p>
    <w:p>
      <w:pPr>
        <w:sectPr>
          <w:pgSz w:w="11900" w:h="16838" w:orient="portrait"/>
          <w:cols w:equalWidth="0" w:num="1">
            <w:col w:w="9019"/>
          </w:cols>
          <w:pgMar w:left="1440" w:top="262" w:right="1440" w:bottom="588" w:gutter="0" w:footer="0" w:header="0"/>
        </w:sectPr>
      </w:pP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588" w:gutter="0" w:footer="0" w:header="0"/>
          <w:type w:val="continuous"/>
        </w:sectPr>
      </w:pPr>
    </w:p>
    <w:bookmarkStart w:id="64" w:name="page65"/>
    <w:bookmarkEnd w:id="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were partially offset by the removal of Canada-based clients who had higher monthly spend than our average client base as well as the elimination of our technology services fee on all delivery orders. For the year ended December 31, 2021, Featured Listing product, WM Business subscription offering and other ad solutions represented 55%, 22% and 23% of our total revenues, respectively.</w:t>
      </w:r>
    </w:p>
    <w:p>
      <w:pPr>
        <w:spacing w:after="0" w:line="79"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$193.1 million for the year ended December 31, 2021 compared $130.4 million in the same period in 2020. The increase of approximately $62.8 million, or 48% in total revenue excluding Canada was primarily driven by a 19% increase in the average monthly revenue per paying client and a 25% increase in average monthly paying clients.</w:t>
      </w:r>
    </w:p>
    <w:p>
      <w:pPr>
        <w:spacing w:after="0" w:line="65" w:lineRule="exact"/>
        <w:rPr>
          <w:sz w:val="20"/>
          <w:szCs w:val="20"/>
          <w:color w:val="auto"/>
        </w:rPr>
      </w:pPr>
    </w:p>
    <w:p>
      <w:pPr>
        <w:jc w:val="both"/>
        <w:ind w:left="300" w:right="299" w:firstLine="360"/>
        <w:spacing w:after="0" w:line="281"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Total revenue increased by</w:t>
      </w:r>
      <w:r>
        <w:rPr>
          <w:rFonts w:ascii="Arial" w:cs="Arial" w:eastAsia="Arial" w:hAnsi="Arial"/>
          <w:sz w:val="17"/>
          <w:szCs w:val="17"/>
          <w:b w:val="1"/>
          <w:bCs w:val="1"/>
          <w:color w:val="auto"/>
        </w:rPr>
        <w:t xml:space="preserve"> </w:t>
      </w:r>
      <w:r>
        <w:rPr>
          <w:rFonts w:ascii="Arial" w:cs="Arial" w:eastAsia="Arial" w:hAnsi="Arial"/>
          <w:sz w:val="17"/>
          <w:szCs w:val="17"/>
          <w:color w:val="auto"/>
        </w:rPr>
        <w:t>$17.6 million, or 12% for the year ended December 31, 2020 compared to the same period in 2019. The increase was driven by a 27% increase in average monthly revenue per paying client, which was partially offset by a 12% decrease in average monthly paying clients as a result of factors described above.</w:t>
      </w:r>
    </w:p>
    <w:p>
      <w:pPr>
        <w:spacing w:after="0" w:line="1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80" w:type="dxa"/>
            <w:vAlign w:val="bottom"/>
          </w:tcPr>
          <w:p>
            <w:pPr>
              <w:spacing w:after="0"/>
              <w:rPr>
                <w:sz w:val="16"/>
                <w:szCs w:val="16"/>
                <w:color w:val="auto"/>
              </w:rPr>
            </w:pPr>
          </w:p>
        </w:tc>
        <w:tc>
          <w:tcPr>
            <w:tcW w:w="2540" w:type="dxa"/>
            <w:vAlign w:val="bottom"/>
            <w:gridSpan w:val="4"/>
          </w:tcPr>
          <w:p>
            <w:pPr>
              <w:ind w:left="340"/>
              <w:spacing w:after="0"/>
              <w:rPr>
                <w:sz w:val="20"/>
                <w:szCs w:val="20"/>
                <w:color w:val="auto"/>
              </w:rPr>
            </w:pPr>
            <w:r>
              <w:rPr>
                <w:rFonts w:ascii="Arial" w:cs="Arial" w:eastAsia="Arial" w:hAnsi="Arial"/>
                <w:sz w:val="14"/>
                <w:szCs w:val="14"/>
                <w:b w:val="1"/>
                <w:bCs w:val="1"/>
                <w:color w:val="auto"/>
              </w:rPr>
              <w:t>Years Ended December 31,</w:t>
            </w:r>
          </w:p>
        </w:tc>
        <w:tc>
          <w:tcPr>
            <w:tcW w:w="1380" w:type="dxa"/>
            <w:vAlign w:val="bottom"/>
            <w:gridSpan w:val="3"/>
          </w:tcPr>
          <w:p>
            <w:pPr>
              <w:ind w:left="3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80" w:type="dxa"/>
            <w:vAlign w:val="bottom"/>
          </w:tcPr>
          <w:p>
            <w:pPr>
              <w:spacing w:after="0"/>
              <w:rPr>
                <w:sz w:val="16"/>
                <w:szCs w:val="16"/>
                <w:color w:val="auto"/>
              </w:rPr>
            </w:pPr>
          </w:p>
        </w:tc>
        <w:tc>
          <w:tcPr>
            <w:tcW w:w="74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2020 vs</w:t>
            </w:r>
          </w:p>
        </w:tc>
        <w:tc>
          <w:tcPr>
            <w:tcW w:w="600" w:type="dxa"/>
            <w:vAlign w:val="bottom"/>
          </w:tcPr>
          <w:p>
            <w:pPr>
              <w:jc w:val="center"/>
              <w:ind w:right="24"/>
              <w:spacing w:after="0"/>
              <w:rPr>
                <w:sz w:val="20"/>
                <w:szCs w:val="20"/>
                <w:color w:val="auto"/>
              </w:rPr>
            </w:pPr>
            <w:r>
              <w:rPr>
                <w:rFonts w:ascii="Arial" w:cs="Arial" w:eastAsia="Arial" w:hAnsi="Arial"/>
                <w:sz w:val="14"/>
                <w:szCs w:val="14"/>
                <w:b w:val="1"/>
                <w:bCs w:val="1"/>
                <w:color w:val="auto"/>
                <w:w w:val="91"/>
              </w:rPr>
              <w:t>2021 vs.</w:t>
            </w:r>
          </w:p>
        </w:tc>
        <w:tc>
          <w:tcPr>
            <w:tcW w:w="620" w:type="dxa"/>
            <w:vAlign w:val="bottom"/>
          </w:tcPr>
          <w:p>
            <w:pPr>
              <w:jc w:val="center"/>
              <w:ind w:left="42"/>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jc w:val="right"/>
              <w:ind w:right="2"/>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6"/>
                <w:szCs w:val="16"/>
                <w:color w:val="auto"/>
              </w:rPr>
            </w:pPr>
          </w:p>
        </w:tc>
        <w:tc>
          <w:tcPr>
            <w:tcW w:w="60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4"/>
                <w:szCs w:val="14"/>
                <w:b w:val="1"/>
                <w:bCs w:val="1"/>
                <w:color w:val="auto"/>
                <w:w w:val="90"/>
              </w:rPr>
              <w:t>(dollars in thousands)</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80" w:type="dxa"/>
            <w:vAlign w:val="bottom"/>
          </w:tcPr>
          <w:p>
            <w:pPr>
              <w:spacing w:after="0"/>
              <w:rPr>
                <w:sz w:val="4"/>
                <w:szCs w:val="4"/>
                <w:color w:val="auto"/>
              </w:rPr>
            </w:pPr>
          </w:p>
        </w:tc>
        <w:tc>
          <w:tcPr>
            <w:tcW w:w="740" w:type="dxa"/>
            <w:vAlign w:val="bottom"/>
          </w:tcPr>
          <w:p>
            <w:pPr>
              <w:spacing w:after="0"/>
              <w:rPr>
                <w:sz w:val="4"/>
                <w:szCs w:val="4"/>
                <w:color w:val="auto"/>
              </w:rPr>
            </w:pPr>
          </w:p>
        </w:tc>
        <w:tc>
          <w:tcPr>
            <w:tcW w:w="8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7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7"/>
              </w:rPr>
              <w:t>$7,938</w:t>
            </w:r>
          </w:p>
        </w:tc>
        <w:tc>
          <w:tcPr>
            <w:tcW w:w="8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$7,630</w:t>
            </w:r>
          </w:p>
        </w:tc>
        <w:tc>
          <w:tcPr>
            <w:tcW w:w="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$7,074</w:t>
            </w:r>
          </w:p>
        </w:tc>
        <w:tc>
          <w:tcPr>
            <w:tcW w:w="2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4"/>
              <w:spacing w:after="0"/>
              <w:rPr>
                <w:sz w:val="20"/>
                <w:szCs w:val="20"/>
                <w:color w:val="auto"/>
              </w:rPr>
            </w:pPr>
            <w:r>
              <w:rPr>
                <w:rFonts w:ascii="Arial" w:cs="Arial" w:eastAsia="Arial" w:hAnsi="Arial"/>
                <w:sz w:val="18"/>
                <w:szCs w:val="18"/>
                <w:color w:val="auto"/>
                <w:w w:val="99"/>
              </w:rPr>
              <w:t>$308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$556</w:t>
            </w:r>
          </w:p>
        </w:tc>
        <w:tc>
          <w:tcPr>
            <w:tcW w:w="22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8"/>
                <w:szCs w:val="18"/>
                <w:color w:val="auto"/>
              </w:rPr>
              <w:t>4%</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8"/>
                <w:szCs w:val="18"/>
                <w:color w:val="auto"/>
              </w:rPr>
              <w:t>Gross margin</w:t>
            </w: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96%</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95%</w:t>
            </w:r>
          </w:p>
        </w:tc>
        <w:tc>
          <w:tcPr>
            <w:tcW w:w="740" w:type="dxa"/>
            <w:vAlign w:val="bottom"/>
          </w:tcPr>
          <w:p>
            <w:pPr>
              <w:jc w:val="right"/>
              <w:spacing w:after="0"/>
              <w:rPr>
                <w:sz w:val="20"/>
                <w:szCs w:val="20"/>
                <w:color w:val="auto"/>
              </w:rPr>
            </w:pPr>
            <w:r>
              <w:rPr>
                <w:rFonts w:ascii="Arial" w:cs="Arial" w:eastAsia="Arial" w:hAnsi="Arial"/>
                <w:sz w:val="18"/>
                <w:szCs w:val="18"/>
                <w:color w:val="auto"/>
              </w:rPr>
              <w:t>95%</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137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-574040</wp:posOffset>
            </wp:positionV>
            <wp:extent cx="137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-574040</wp:posOffset>
            </wp:positionV>
            <wp:extent cx="12890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1200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2688590</wp:posOffset>
            </wp:positionH>
            <wp:positionV relativeFrom="paragraph">
              <wp:posOffset>-574040</wp:posOffset>
            </wp:positionV>
            <wp:extent cx="1200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Cost of revenue was</w:t>
      </w:r>
      <w:r>
        <w:rPr>
          <w:rFonts w:ascii="Arial" w:cs="Arial" w:eastAsia="Arial" w:hAnsi="Arial"/>
          <w:sz w:val="18"/>
          <w:szCs w:val="18"/>
          <w:b w:val="1"/>
          <w:bCs w:val="1"/>
          <w:color w:val="auto"/>
        </w:rPr>
        <w:t xml:space="preserve"> </w:t>
      </w:r>
      <w:r>
        <w:rPr>
          <w:rFonts w:ascii="Arial" w:cs="Arial" w:eastAsia="Arial" w:hAnsi="Arial"/>
          <w:sz w:val="18"/>
          <w:szCs w:val="18"/>
          <w:color w:val="auto"/>
        </w:rPr>
        <w:t>$7.9 million for the year ended December 31, 2021 compared to $7.6 million for the same period in 2020. There were no material changes to the drivers of our cost of revenue.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Cost of revenue increased by</w:t>
      </w:r>
      <w:r>
        <w:rPr>
          <w:rFonts w:ascii="Arial" w:cs="Arial" w:eastAsia="Arial" w:hAnsi="Arial"/>
          <w:sz w:val="18"/>
          <w:szCs w:val="18"/>
          <w:b w:val="1"/>
          <w:bCs w:val="1"/>
          <w:color w:val="auto"/>
        </w:rPr>
        <w:t xml:space="preserve"> </w:t>
      </w:r>
      <w:r>
        <w:rPr>
          <w:rFonts w:ascii="Arial" w:cs="Arial" w:eastAsia="Arial" w:hAnsi="Arial"/>
          <w:sz w:val="18"/>
          <w:szCs w:val="18"/>
          <w:color w:val="auto"/>
        </w:rPr>
        <w:t>$0.6 million, or 8%, for the year ended December 31, 2020, compared to the same period in 2019. Credit card processing fees increased by $0.6 million as revenue increased and more clients opted to use credit cards as a form of payment.</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0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00" w:type="dxa"/>
            <w:vAlign w:val="bottom"/>
          </w:tcPr>
          <w:p>
            <w:pPr>
              <w:spacing w:after="0"/>
              <w:rPr>
                <w:sz w:val="16"/>
                <w:szCs w:val="16"/>
                <w:color w:val="auto"/>
              </w:rPr>
            </w:pPr>
          </w:p>
        </w:tc>
        <w:tc>
          <w:tcPr>
            <w:tcW w:w="780" w:type="dxa"/>
            <w:vAlign w:val="bottom"/>
            <w:vMerge w:val="restart"/>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4"/>
              <w:spacing w:after="0"/>
              <w:rPr>
                <w:sz w:val="20"/>
                <w:szCs w:val="20"/>
                <w:color w:val="auto"/>
              </w:rPr>
            </w:pPr>
            <w:r>
              <w:rPr>
                <w:rFonts w:ascii="Arial" w:cs="Arial" w:eastAsia="Arial" w:hAnsi="Arial"/>
                <w:sz w:val="14"/>
                <w:szCs w:val="14"/>
                <w:b w:val="1"/>
                <w:bCs w:val="1"/>
                <w:color w:val="auto"/>
                <w:w w:val="88"/>
              </w:rPr>
              <w:t>2021 vs.</w:t>
            </w:r>
          </w:p>
        </w:tc>
        <w:tc>
          <w:tcPr>
            <w:tcW w:w="640" w:type="dxa"/>
            <w:vAlign w:val="bottom"/>
          </w:tcPr>
          <w:p>
            <w:pPr>
              <w:ind w:left="8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ind w:right="20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0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80" w:type="dxa"/>
            <w:vAlign w:val="bottom"/>
            <w:gridSpan w:val="3"/>
          </w:tcPr>
          <w:p>
            <w:pPr>
              <w:ind w:left="320"/>
              <w:spacing w:after="0"/>
              <w:rPr>
                <w:sz w:val="20"/>
                <w:szCs w:val="20"/>
                <w:color w:val="auto"/>
              </w:rPr>
            </w:pPr>
            <w:r>
              <w:rPr>
                <w:rFonts w:ascii="Arial" w:cs="Arial" w:eastAsia="Arial" w:hAnsi="Arial"/>
                <w:sz w:val="14"/>
                <w:szCs w:val="14"/>
                <w:b w:val="1"/>
                <w:bCs w:val="1"/>
                <w:color w:val="auto"/>
                <w:w w:val="91"/>
              </w:rPr>
              <w:t>(dollars in thousands)</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2"/>
        </w:trPr>
        <w:tc>
          <w:tcPr>
            <w:tcW w:w="3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78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86"/>
              </w:rPr>
              <w:t>$56,119</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$30,716</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$39,746</w:t>
            </w:r>
          </w:p>
        </w:tc>
        <w:tc>
          <w:tcPr>
            <w:tcW w:w="14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w w:val="86"/>
              </w:rPr>
              <w:t>$25,403</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$(9,030)</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rPr>
              <w:t>83%</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100" w:type="dxa"/>
            <w:vAlign w:val="bottom"/>
          </w:tcPr>
          <w:p>
            <w:pPr>
              <w:spacing w:after="0"/>
              <w:rPr>
                <w:sz w:val="20"/>
                <w:szCs w:val="20"/>
                <w:color w:val="auto"/>
              </w:rPr>
            </w:pPr>
            <w:r>
              <w:rPr>
                <w:rFonts w:ascii="Arial" w:cs="Arial" w:eastAsia="Arial" w:hAnsi="Arial"/>
                <w:sz w:val="18"/>
                <w:szCs w:val="18"/>
                <w:color w:val="auto"/>
              </w:rPr>
              <w:t>Percentage of revenue</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-574040</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4677410</wp:posOffset>
            </wp:positionH>
            <wp:positionV relativeFrom="paragraph">
              <wp:posOffset>-574040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4197350</wp:posOffset>
            </wp:positionH>
            <wp:positionV relativeFrom="paragraph">
              <wp:posOffset>-574040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-574040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-574040</wp:posOffset>
            </wp:positionV>
            <wp:extent cx="8572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-574040</wp:posOffset>
            </wp:positionV>
            <wp:extent cx="8572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color w:val="auto"/>
        </w:rPr>
        <w:t xml:space="preserve">Year ended December 31, 2021 compared to year ended December 31, 2020. </w:t>
      </w:r>
      <w:r>
        <w:rPr>
          <w:rFonts w:ascii="Arial" w:cs="Arial" w:eastAsia="Arial" w:hAnsi="Arial"/>
          <w:sz w:val="17"/>
          <w:szCs w:val="17"/>
          <w:color w:val="auto"/>
        </w:rPr>
        <w:t>Sales and marketing 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by $25.4 million, or 83% for the year ended December 31, 2021 compared to the same period in 2020. The increase was primarily related to an increase in personnel-related costs of $16.2 million. The $16.2 million includes increases in salaries and wages of $6.3 million, as a result of increased headcount, stock-based compensation expense of $6.0 million and sales incentive plan compensation of $3.2 million due to higher revenues. Also contributing to the increase in sales and marketing was an increase in online advertising of $2.6 million as more advertising options became available in the cannabis industry, an increase in branding and advertising expense of $2.1 million, and an increase in events expense of $2.0 million.</w:t>
      </w:r>
    </w:p>
    <w:p>
      <w:pPr>
        <w:spacing w:after="0" w:line="68"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75" w:lineRule="exact"/>
        <w:rPr>
          <w:sz w:val="20"/>
          <w:szCs w:val="20"/>
          <w:color w:val="auto"/>
        </w:rPr>
      </w:pPr>
    </w:p>
    <w:p>
      <w:pPr>
        <w:jc w:val="both"/>
        <w:ind w:left="300" w:right="299" w:firstLine="360"/>
        <w:spacing w:after="0" w:line="34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Sales and marketing expenses</w:t>
      </w:r>
      <w:r>
        <w:rPr>
          <w:rFonts w:ascii="Arial" w:cs="Arial" w:eastAsia="Arial" w:hAnsi="Arial"/>
          <w:sz w:val="16"/>
          <w:szCs w:val="16"/>
          <w:b w:val="1"/>
          <w:bCs w:val="1"/>
          <w:color w:val="auto"/>
        </w:rPr>
        <w:t xml:space="preserve"> </w:t>
      </w:r>
      <w:r>
        <w:rPr>
          <w:rFonts w:ascii="Arial" w:cs="Arial" w:eastAsia="Arial" w:hAnsi="Arial"/>
          <w:sz w:val="16"/>
          <w:szCs w:val="16"/>
          <w:color w:val="auto"/>
        </w:rPr>
        <w:t>decreased by $9.0 million, or 23%, for the year ended December 31, 2020, compared to the same period in 2019.</w:t>
      </w:r>
    </w:p>
    <w:p>
      <w:pPr>
        <w:sectPr>
          <w:pgSz w:w="11900" w:h="16838" w:orient="portrait"/>
          <w:cols w:equalWidth="0" w:num="1">
            <w:col w:w="9019"/>
          </w:cols>
          <w:pgMar w:left="1440" w:top="265" w:right="1440" w:bottom="1440" w:gutter="0" w:footer="0" w:header="0"/>
        </w:sectPr>
      </w:pP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5" w:name="page66"/>
    <w:bookmarkEnd w:id="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Branding and advertising cost, which consisted mostly of out-of-home advertising, decreased by $6.3 million as we concentrated more on online advertising for fiscal year 2020 due to the current COVID-19 pandemic. Event related cost decreased by $3.6 million due to cost incurred in 2019 related to the Weedmaps Museum of Weed while there was minimal cost incurred related to events in 2020 due to the COVID-19 pandemic. There was also a decrease of $0.5 million and $0.1 million in travel related expenses and marketing consulting fees, respectively, due to less marketing projects as a result of the COVID-19 pandemic. The decrease in marketing spend was offset by an increase in personnel-related cost of $1.5 million, mostly due to an increase in sales incentive plan compensation due to higher revenues. The increase in personnel-related cost was partially offset by a reduction in force in October 2019 resulting in a 25 percent headcount decrease.</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262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40" w:type="dxa"/>
            <w:vAlign w:val="bottom"/>
            <w:gridSpan w:val="3"/>
          </w:tcPr>
          <w:p>
            <w:pPr>
              <w:ind w:left="360"/>
              <w:spacing w:after="0"/>
              <w:rPr>
                <w:sz w:val="20"/>
                <w:szCs w:val="20"/>
                <w:color w:val="auto"/>
              </w:rPr>
            </w:pPr>
            <w:r>
              <w:rPr>
                <w:rFonts w:ascii="Arial" w:cs="Arial" w:eastAsia="Arial" w:hAnsi="Arial"/>
                <w:sz w:val="14"/>
                <w:szCs w:val="14"/>
                <w:b w:val="1"/>
                <w:bCs w:val="1"/>
                <w:color w:val="auto"/>
              </w:rPr>
              <w:t>$Change</w:t>
            </w:r>
          </w:p>
        </w:tc>
        <w:tc>
          <w:tcPr>
            <w:tcW w:w="1200" w:type="dxa"/>
            <w:vAlign w:val="bottom"/>
            <w:gridSpan w:val="2"/>
          </w:tcPr>
          <w:p>
            <w:pPr>
              <w:jc w:val="right"/>
              <w:ind w:right="2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80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8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2020 vs.</w:t>
            </w:r>
          </w:p>
        </w:tc>
        <w:tc>
          <w:tcPr>
            <w:tcW w:w="580" w:type="dxa"/>
            <w:vAlign w:val="bottom"/>
          </w:tcPr>
          <w:p>
            <w:pPr>
              <w:jc w:val="right"/>
              <w:ind w:right="24"/>
              <w:spacing w:after="0"/>
              <w:rPr>
                <w:sz w:val="20"/>
                <w:szCs w:val="20"/>
                <w:color w:val="auto"/>
              </w:rPr>
            </w:pPr>
            <w:r>
              <w:rPr>
                <w:rFonts w:ascii="Arial" w:cs="Arial" w:eastAsia="Arial" w:hAnsi="Arial"/>
                <w:sz w:val="14"/>
                <w:szCs w:val="14"/>
                <w:b w:val="1"/>
                <w:bCs w:val="1"/>
                <w:color w:val="auto"/>
                <w:w w:val="84"/>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jc w:val="right"/>
              <w:ind w:right="12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gridSpan w:val="3"/>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380" w:type="dxa"/>
            <w:vAlign w:val="bottom"/>
            <w:gridSpan w:val="5"/>
          </w:tcPr>
          <w:p>
            <w:pPr>
              <w:ind w:left="280"/>
              <w:spacing w:after="0"/>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development expenses</w:t>
            </w:r>
          </w:p>
        </w:tc>
        <w:tc>
          <w:tcPr>
            <w:tcW w:w="8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w w:val="86"/>
              </w:rPr>
              <w:t>$35,395</w:t>
            </w:r>
          </w:p>
        </w:tc>
        <w:tc>
          <w:tcPr>
            <w:tcW w:w="88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8"/>
              </w:rPr>
              <w:t>$27,142</w:t>
            </w:r>
          </w:p>
        </w:tc>
        <w:tc>
          <w:tcPr>
            <w:tcW w:w="8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w w:val="98"/>
              </w:rPr>
              <w:t>$29,497</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8"/>
                <w:szCs w:val="18"/>
                <w:color w:val="auto"/>
                <w:w w:val="87"/>
              </w:rPr>
              <w:t>$8,253</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$(2,355)</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30%</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Percentage of revenue</w:t>
            </w: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8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5088890</wp:posOffset>
            </wp:positionH>
            <wp:positionV relativeFrom="paragraph">
              <wp:posOffset>-574040</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-574040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4180205</wp:posOffset>
            </wp:positionH>
            <wp:positionV relativeFrom="paragraph">
              <wp:posOffset>-574040</wp:posOffset>
            </wp:positionV>
            <wp:extent cx="939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-574040</wp:posOffset>
            </wp:positionV>
            <wp:extent cx="857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-574040</wp:posOffset>
            </wp:positionV>
            <wp:extent cx="857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-574040</wp:posOffset>
            </wp:positionV>
            <wp:extent cx="857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$8.3 million, or 30% for the year ended December 31, 2021 compared to the same period in 2020. This increase was primarily due to an increase in personnel-related costs of $14.9 million, including an increase in salaries and wages of $5.8 million due to increased headcount and an increase in stock-based compensation of $6.2 million. The personnel-related costs include capitalized software development costs of $7.4 million for the year ended December 31, 2021 related to certain costs we capitalized for the development or enhancement of our Weedmaps platform.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color w:val="auto"/>
        </w:rPr>
        <w:t xml:space="preserve">Year ended December 31, 2020 compared to year ended December 31, 2019. </w:t>
      </w:r>
      <w:r>
        <w:rPr>
          <w:rFonts w:ascii="Arial" w:cs="Arial" w:eastAsia="Arial" w:hAnsi="Arial"/>
          <w:sz w:val="17"/>
          <w:szCs w:val="17"/>
          <w:color w:val="auto"/>
        </w:rPr>
        <w:t>Product development</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decreased by $2.4 million, or 8%, for the year ended December 31, 2020, compared to the same period in 2019. The decrease is due to a decrease of $1.7 million in personnel-related cost as a result of a reduction in force in October 2019, resulting in an overall headcount decrease for us of 25 percent. There was also a decrease in cost relate to third-party development services of $0.4 million. The reduction in headcount and third-party development services was to drive operating efficiencies and increase our liquidity position at the time. Travel related expenses also decreased by $0.2 million due to the COVID-19 pandemic.</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20" w:type="dxa"/>
            <w:vAlign w:val="bottom"/>
          </w:tcPr>
          <w:p>
            <w:pPr>
              <w:spacing w:after="0"/>
              <w:rPr>
                <w:sz w:val="16"/>
                <w:szCs w:val="16"/>
                <w:color w:val="auto"/>
              </w:rPr>
            </w:pPr>
          </w:p>
        </w:tc>
        <w:tc>
          <w:tcPr>
            <w:tcW w:w="2500" w:type="dxa"/>
            <w:vAlign w:val="bottom"/>
            <w:gridSpan w:val="3"/>
          </w:tcPr>
          <w:p>
            <w:pPr>
              <w:jc w:val="right"/>
              <w:ind w:right="339"/>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16"/>
                <w:szCs w:val="16"/>
                <w:color w:val="auto"/>
              </w:rPr>
            </w:pPr>
          </w:p>
        </w:tc>
        <w:tc>
          <w:tcPr>
            <w:tcW w:w="1480" w:type="dxa"/>
            <w:vAlign w:val="bottom"/>
            <w:gridSpan w:val="3"/>
          </w:tcPr>
          <w:p>
            <w:pPr>
              <w:ind w:left="400"/>
              <w:spacing w:after="0"/>
              <w:rPr>
                <w:sz w:val="20"/>
                <w:szCs w:val="20"/>
                <w:color w:val="auto"/>
              </w:rPr>
            </w:pPr>
            <w:r>
              <w:rPr>
                <w:rFonts w:ascii="Arial" w:cs="Arial" w:eastAsia="Arial" w:hAnsi="Arial"/>
                <w:sz w:val="14"/>
                <w:szCs w:val="14"/>
                <w:b w:val="1"/>
                <w:bCs w:val="1"/>
                <w:color w:val="auto"/>
              </w:rPr>
              <w:t>$Change</w:t>
            </w:r>
          </w:p>
        </w:tc>
        <w:tc>
          <w:tcPr>
            <w:tcW w:w="1180" w:type="dxa"/>
            <w:vAlign w:val="bottom"/>
            <w:gridSpan w:val="2"/>
          </w:tcPr>
          <w:p>
            <w:pPr>
              <w:jc w:val="right"/>
              <w:ind w:right="18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20" w:type="dxa"/>
            <w:vAlign w:val="bottom"/>
          </w:tcPr>
          <w:p>
            <w:pPr>
              <w:spacing w:after="0"/>
              <w:rPr>
                <w:sz w:val="16"/>
                <w:szCs w:val="16"/>
                <w:color w:val="auto"/>
              </w:rPr>
            </w:pPr>
          </w:p>
        </w:tc>
        <w:tc>
          <w:tcPr>
            <w:tcW w:w="82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86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2020</w:t>
            </w:r>
          </w:p>
        </w:tc>
        <w:tc>
          <w:tcPr>
            <w:tcW w:w="8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88"/>
              </w:rPr>
              <w:t>2021 vs.</w:t>
            </w: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vs.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88"/>
              </w:rPr>
              <w:t>2021 vs.</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1"/>
              </w:rPr>
              <w:t>2020 vs.</w:t>
            </w:r>
          </w:p>
        </w:tc>
        <w:tc>
          <w:tcPr>
            <w:tcW w:w="0" w:type="dxa"/>
            <w:vAlign w:val="bottom"/>
          </w:tcPr>
          <w:p>
            <w:pPr>
              <w:spacing w:after="0"/>
              <w:rPr>
                <w:sz w:val="1"/>
                <w:szCs w:val="1"/>
                <w:color w:val="auto"/>
              </w:rPr>
            </w:pPr>
          </w:p>
        </w:tc>
      </w:tr>
      <w:tr>
        <w:trPr>
          <w:trHeight w:val="186"/>
        </w:trPr>
        <w:tc>
          <w:tcPr>
            <w:tcW w:w="312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2020</w:t>
            </w: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6"/>
                <w:szCs w:val="16"/>
                <w:color w:val="auto"/>
              </w:rPr>
            </w:pPr>
          </w:p>
        </w:tc>
        <w:tc>
          <w:tcPr>
            <w:tcW w:w="560" w:type="dxa"/>
            <w:vAlign w:val="bottom"/>
          </w:tcPr>
          <w:p>
            <w:pPr>
              <w:jc w:val="right"/>
              <w:ind w:right="84"/>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jc w:val="right"/>
              <w:ind w:right="6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gridSpan w:val="2"/>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3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60" w:type="dxa"/>
            <w:vAlign w:val="bottom"/>
            <w:gridSpan w:val="3"/>
          </w:tcPr>
          <w:p>
            <w:pPr>
              <w:ind w:left="300"/>
              <w:spacing w:after="0"/>
              <w:rPr>
                <w:sz w:val="20"/>
                <w:szCs w:val="20"/>
                <w:color w:val="auto"/>
              </w:rPr>
            </w:pPr>
            <w:r>
              <w:rPr>
                <w:rFonts w:ascii="Arial" w:cs="Arial" w:eastAsia="Arial" w:hAnsi="Arial"/>
                <w:sz w:val="14"/>
                <w:szCs w:val="14"/>
                <w:b w:val="1"/>
                <w:bCs w:val="1"/>
                <w:color w:val="auto"/>
                <w:w w:val="91"/>
              </w:rPr>
              <w:t>(dollars in thousands)</w:t>
            </w: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8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6"/>
              </w:rPr>
              <w:t>$97,447</w:t>
            </w:r>
          </w:p>
        </w:tc>
        <w:tc>
          <w:tcPr>
            <w:tcW w:w="8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95"/>
              </w:rPr>
              <w:t>$51,127</w:t>
            </w:r>
          </w:p>
        </w:tc>
        <w:tc>
          <w:tcPr>
            <w:tcW w:w="8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8"/>
              </w:rPr>
              <w:t>$56,466</w:t>
            </w:r>
          </w:p>
        </w:tc>
        <w:tc>
          <w:tcPr>
            <w:tcW w:w="8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89"/>
              </w:rPr>
              <w:t>$46,320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$(5,339)</w:t>
            </w:r>
          </w:p>
        </w:tc>
        <w:tc>
          <w:tcPr>
            <w:tcW w:w="14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3120" w:type="dxa"/>
            <w:vAlign w:val="bottom"/>
          </w:tcPr>
          <w:p>
            <w:pPr>
              <w:spacing w:after="0"/>
              <w:rPr>
                <w:sz w:val="20"/>
                <w:szCs w:val="20"/>
                <w:color w:val="auto"/>
              </w:rPr>
            </w:pPr>
            <w:r>
              <w:rPr>
                <w:rFonts w:ascii="Arial" w:cs="Arial" w:eastAsia="Arial" w:hAnsi="Arial"/>
                <w:sz w:val="18"/>
                <w:szCs w:val="18"/>
                <w:color w:val="auto"/>
              </w:rPr>
              <w:t>Percentage of revenue</w:t>
            </w:r>
          </w:p>
        </w:tc>
        <w:tc>
          <w:tcPr>
            <w:tcW w:w="820" w:type="dxa"/>
            <w:vAlign w:val="bottom"/>
          </w:tcPr>
          <w:p>
            <w:pPr>
              <w:jc w:val="right"/>
              <w:spacing w:after="0"/>
              <w:rPr>
                <w:sz w:val="20"/>
                <w:szCs w:val="20"/>
                <w:color w:val="auto"/>
              </w:rPr>
            </w:pPr>
            <w:r>
              <w:rPr>
                <w:rFonts w:ascii="Arial" w:cs="Arial" w:eastAsia="Arial" w:hAnsi="Arial"/>
                <w:sz w:val="18"/>
                <w:szCs w:val="18"/>
                <w:color w:val="auto"/>
              </w:rPr>
              <w:t>50%</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8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-574040</wp:posOffset>
            </wp:positionV>
            <wp:extent cx="857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-574040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-574040</wp:posOffset>
            </wp:positionV>
            <wp:extent cx="857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-574040</wp:posOffset>
            </wp:positionV>
            <wp:extent cx="8572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-574040</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-574040</wp:posOffset>
            </wp:positionV>
            <wp:extent cx="8572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color w:val="auto"/>
        </w:rPr>
        <w:t xml:space="preserve">Year ended December 31, 2021 compared to year ended December 31, 2020.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increased by $46.3 million, or 91% for the year ended December 31, 2021 compared to the same period in 2020. This increase was primarily due to increases in insurance costs of $7.1 million as a result of additional insurance coverage as a public company, allowance for doubtful accounts of $4.2 million, professional fees of $3.8 million, software costs of $2.8 million, and an impairment loss of $2.4 million. General and administrative expenses also increased due to increases in employee related expenses of $23.3 million. This $23.3 million increase includes increases in stock-based compensation expense of $18.2 million recognized in 2021, bonus expense of $2.4 million and salaries and wages of $1.2 million. Our stock-based compensation expense increased due in part to the removal of certain limitations on the exercisability of certain equity awards issued to employees and consultants upon the completion of the Business Combination. The increase in stock-based compensation expense was also driven by the increased issuance of restricted stock units to our employees during the second half of 2021.</w:t>
      </w:r>
    </w:p>
    <w:p>
      <w:pPr>
        <w:sectPr>
          <w:pgSz w:w="11900" w:h="16838" w:orient="portrait"/>
          <w:cols w:equalWidth="0" w:num="1">
            <w:col w:w="9019"/>
          </w:cols>
          <w:pgMar w:left="1440" w:top="265"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6" w:name="page67"/>
    <w:bookmarkEnd w:id="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General and administrative</w:t>
      </w:r>
      <w:r>
        <w:rPr>
          <w:rFonts w:ascii="Arial" w:cs="Arial" w:eastAsia="Arial" w:hAnsi="Arial"/>
          <w:sz w:val="16"/>
          <w:szCs w:val="16"/>
          <w:b w:val="1"/>
          <w:bCs w:val="1"/>
          <w:color w:val="auto"/>
        </w:rPr>
        <w:t xml:space="preserve"> </w:t>
      </w:r>
      <w:r>
        <w:rPr>
          <w:rFonts w:ascii="Arial" w:cs="Arial" w:eastAsia="Arial" w:hAnsi="Arial"/>
          <w:sz w:val="16"/>
          <w:szCs w:val="16"/>
          <w:color w:val="auto"/>
        </w:rPr>
        <w:t>expenses decreased by $5.3 million, or 9%, for the year ended December 31, 2020, compared to the same period in 2019. Personnel-related cost decreased by $7.5 million due to a reduction in force implemented in October 2019, resulting in an overall headcount decrease for us of 25 percent. The reduction in headcount was to drive operating efficiencies and increase our liquidity position at the time. Facility and travel related costs also decreased by $3.3 million due to a combination of the reduced headcount and the stay at home orders put into effect by us in March 2020. Professional services decreased by $2.3 million as a result of the decrease in legal and lobbying expenses. The decrease was partially offset by an increase in rent expense of $5.6 million due to a new office lease that commenced in March 2020 together with an increase in software cost of $0.9 million as we entered into new software service agreements to effectively operate the business. We also recorded additional provision for doubtful accounts expense of $1.1 million during the year ended December 31, 2020 compared to the same period in 2019 due to higher reserves for past due balances outstanding greater than ninety days.</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240" w:type="dxa"/>
            <w:vAlign w:val="bottom"/>
          </w:tcPr>
          <w:p>
            <w:pPr>
              <w:spacing w:after="0"/>
              <w:rPr>
                <w:sz w:val="16"/>
                <w:szCs w:val="16"/>
                <w:color w:val="auto"/>
              </w:rPr>
            </w:pPr>
          </w:p>
        </w:tc>
        <w:tc>
          <w:tcPr>
            <w:tcW w:w="2420" w:type="dxa"/>
            <w:vAlign w:val="bottom"/>
            <w:gridSpan w:val="4"/>
          </w:tcPr>
          <w:p>
            <w:pPr>
              <w:ind w:left="30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gridSpan w:val="3"/>
          </w:tcPr>
          <w:p>
            <w:pPr>
              <w:ind w:left="380"/>
              <w:spacing w:after="0"/>
              <w:rPr>
                <w:sz w:val="20"/>
                <w:szCs w:val="20"/>
                <w:color w:val="auto"/>
              </w:rPr>
            </w:pPr>
            <w:r>
              <w:rPr>
                <w:rFonts w:ascii="Arial" w:cs="Arial" w:eastAsia="Arial" w:hAnsi="Arial"/>
                <w:sz w:val="14"/>
                <w:szCs w:val="14"/>
                <w:b w:val="1"/>
                <w:bCs w:val="1"/>
                <w:color w:val="auto"/>
              </w:rPr>
              <w:t>$Change</w:t>
            </w: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240" w:type="dxa"/>
            <w:vAlign w:val="bottom"/>
          </w:tcPr>
          <w:p>
            <w:pPr>
              <w:spacing w:after="0"/>
              <w:rPr>
                <w:sz w:val="16"/>
                <w:szCs w:val="16"/>
                <w:color w:val="auto"/>
              </w:rPr>
            </w:pPr>
          </w:p>
        </w:tc>
        <w:tc>
          <w:tcPr>
            <w:tcW w:w="72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80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2020</w:t>
            </w:r>
          </w:p>
        </w:tc>
        <w:tc>
          <w:tcPr>
            <w:tcW w:w="7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6"/>
                <w:szCs w:val="16"/>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2021 vs.</w:t>
            </w: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2020 vs.</w:t>
            </w:r>
          </w:p>
        </w:tc>
        <w:tc>
          <w:tcPr>
            <w:tcW w:w="620" w:type="dxa"/>
            <w:vAlign w:val="bottom"/>
          </w:tcPr>
          <w:p>
            <w:pPr>
              <w:jc w:val="center"/>
              <w:ind w:right="24"/>
              <w:spacing w:after="0"/>
              <w:rPr>
                <w:sz w:val="20"/>
                <w:szCs w:val="20"/>
                <w:color w:val="auto"/>
              </w:rPr>
            </w:pPr>
            <w:r>
              <w:rPr>
                <w:rFonts w:ascii="Arial" w:cs="Arial" w:eastAsia="Arial" w:hAnsi="Arial"/>
                <w:sz w:val="14"/>
                <w:szCs w:val="14"/>
                <w:b w:val="1"/>
                <w:bCs w:val="1"/>
                <w:color w:val="auto"/>
                <w:w w:val="88"/>
              </w:rPr>
              <w:t>2021 vs.</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w w:val="99"/>
              </w:rPr>
              <w:t>2020 vs.</w:t>
            </w: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04"/>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6"/>
                <w:szCs w:val="16"/>
                <w:color w:val="auto"/>
              </w:rPr>
            </w:pPr>
          </w:p>
        </w:tc>
        <w:tc>
          <w:tcPr>
            <w:tcW w:w="620" w:type="dxa"/>
            <w:vAlign w:val="bottom"/>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660" w:type="dxa"/>
            <w:vAlign w:val="bottom"/>
          </w:tcPr>
          <w:p>
            <w:pPr>
              <w:ind w:left="22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gridSpan w:val="3"/>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380" w:type="dxa"/>
            <w:vAlign w:val="bottom"/>
            <w:gridSpan w:val="5"/>
          </w:tcPr>
          <w:p>
            <w:pPr>
              <w:ind w:left="400"/>
              <w:spacing w:after="0"/>
              <w:rPr>
                <w:sz w:val="20"/>
                <w:szCs w:val="20"/>
                <w:color w:val="auto"/>
              </w:rPr>
            </w:pPr>
            <w:r>
              <w:rPr>
                <w:rFonts w:ascii="Arial" w:cs="Arial" w:eastAsia="Arial" w:hAnsi="Arial"/>
                <w:sz w:val="14"/>
                <w:szCs w:val="14"/>
                <w:b w:val="1"/>
                <w:bCs w:val="1"/>
                <w:color w:val="auto"/>
              </w:rPr>
              <w:t>(dollars in thousands)</w:t>
            </w: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3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7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w w:val="83"/>
              </w:rPr>
              <w:t>$4,425</w:t>
            </w:r>
          </w:p>
        </w:tc>
        <w:tc>
          <w:tcPr>
            <w:tcW w:w="80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rPr>
              <w:t>$3,978</w:t>
            </w:r>
          </w:p>
        </w:tc>
        <w:tc>
          <w:tcPr>
            <w:tcW w:w="7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$5,162</w:t>
            </w:r>
          </w:p>
        </w:tc>
        <w:tc>
          <w:tcPr>
            <w:tcW w:w="1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64"/>
              <w:spacing w:after="0"/>
              <w:rPr>
                <w:sz w:val="20"/>
                <w:szCs w:val="20"/>
                <w:color w:val="auto"/>
              </w:rPr>
            </w:pPr>
            <w:r>
              <w:rPr>
                <w:rFonts w:ascii="Arial" w:cs="Arial" w:eastAsia="Arial" w:hAnsi="Arial"/>
                <w:sz w:val="18"/>
                <w:szCs w:val="18"/>
                <w:color w:val="auto"/>
              </w:rPr>
              <w:t>$447</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11%</w:t>
            </w:r>
          </w:p>
        </w:tc>
        <w:tc>
          <w:tcPr>
            <w:tcW w:w="6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1"/>
              </w:rPr>
              <w:t>(23)%</w:t>
            </w:r>
          </w:p>
        </w:tc>
        <w:tc>
          <w:tcPr>
            <w:tcW w:w="0" w:type="dxa"/>
            <w:vAlign w:val="bottom"/>
          </w:tcPr>
          <w:p>
            <w:pPr>
              <w:spacing w:after="0"/>
              <w:rPr>
                <w:sz w:val="1"/>
                <w:szCs w:val="1"/>
                <w:color w:val="auto"/>
              </w:rPr>
            </w:pPr>
          </w:p>
        </w:tc>
      </w:tr>
      <w:tr>
        <w:trPr>
          <w:trHeight w:val="270"/>
        </w:trPr>
        <w:tc>
          <w:tcPr>
            <w:tcW w:w="3240" w:type="dxa"/>
            <w:vAlign w:val="bottom"/>
          </w:tcPr>
          <w:p>
            <w:pPr>
              <w:spacing w:after="0"/>
              <w:rPr>
                <w:sz w:val="20"/>
                <w:szCs w:val="20"/>
                <w:color w:val="auto"/>
              </w:rPr>
            </w:pPr>
            <w:r>
              <w:rPr>
                <w:rFonts w:ascii="Arial" w:cs="Arial" w:eastAsia="Arial" w:hAnsi="Arial"/>
                <w:sz w:val="18"/>
                <w:szCs w:val="18"/>
                <w:color w:val="auto"/>
              </w:rPr>
              <w:t>Percentage of revenue</w:t>
            </w:r>
          </w:p>
        </w:tc>
        <w:tc>
          <w:tcPr>
            <w:tcW w:w="720" w:type="dxa"/>
            <w:vAlign w:val="bottom"/>
          </w:tcPr>
          <w:p>
            <w:pPr>
              <w:jc w:val="right"/>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-574040</wp:posOffset>
            </wp:positionV>
            <wp:extent cx="12001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-574040</wp:posOffset>
            </wp:positionV>
            <wp:extent cx="12001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-574040</wp:posOffset>
            </wp:positionV>
            <wp:extent cx="11112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-574040</wp:posOffset>
            </wp:positionV>
            <wp:extent cx="1028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-574040</wp:posOffset>
            </wp:positionV>
            <wp:extent cx="1028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-574040</wp:posOffset>
            </wp:positionV>
            <wp:extent cx="1028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24"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increased by $0.4 million, or 11%, for the year ended December 31, 2021, compared to the same period in 2020.</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Arial" w:cs="Arial" w:eastAsia="Arial" w:hAnsi="Arial"/>
          <w:sz w:val="18"/>
          <w:szCs w:val="18"/>
          <w:b w:val="1"/>
          <w:bCs w:val="1"/>
          <w:color w:val="auto"/>
        </w:rPr>
        <w:t xml:space="preserve">Year ended December 31, 2020 compared to year ended December 31, 2019. </w:t>
      </w:r>
      <w:r>
        <w:rPr>
          <w:rFonts w:ascii="Arial" w:cs="Arial" w:eastAsia="Arial" w:hAnsi="Arial"/>
          <w:sz w:val="18"/>
          <w:szCs w:val="18"/>
          <w:color w:val="auto"/>
        </w:rPr>
        <w:t>Depreciation and amortization</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decreased by $1.2 million, or 23%, for the year ended December 31, 2020, compared to the same period in 2019. The decrease is due to accelerated amortization of $2.5 million related to intangible assets of the Weedmaps Museum of Weed recorded in fiscal year 2019, which was partially offset by additional depreciation of $1.3 million recorded in fiscal year 2020 related capitalized software development cost for our point of sale system that launched in October 2019.</w:t>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980" w:type="dxa"/>
            <w:vAlign w:val="bottom"/>
          </w:tcPr>
          <w:p>
            <w:pPr>
              <w:spacing w:after="0"/>
              <w:rPr>
                <w:sz w:val="16"/>
                <w:szCs w:val="16"/>
                <w:color w:val="auto"/>
              </w:rPr>
            </w:pPr>
          </w:p>
        </w:tc>
        <w:tc>
          <w:tcPr>
            <w:tcW w:w="270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Years Ended December 31,</w:t>
            </w:r>
          </w:p>
        </w:tc>
        <w:tc>
          <w:tcPr>
            <w:tcW w:w="960" w:type="dxa"/>
            <w:vAlign w:val="bottom"/>
            <w:gridSpan w:val="2"/>
          </w:tcPr>
          <w:p>
            <w:pPr>
              <w:ind w:left="420"/>
              <w:spacing w:after="0"/>
              <w:rPr>
                <w:sz w:val="20"/>
                <w:szCs w:val="20"/>
                <w:color w:val="auto"/>
              </w:rPr>
            </w:pPr>
            <w:r>
              <w:rPr>
                <w:rFonts w:ascii="Arial" w:cs="Arial" w:eastAsia="Arial" w:hAnsi="Arial"/>
                <w:sz w:val="14"/>
                <w:szCs w:val="14"/>
                <w:b w:val="1"/>
                <w:bCs w:val="1"/>
                <w:color w:val="auto"/>
                <w:w w:val="87"/>
              </w:rPr>
              <w:t>$Change</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ind w:left="3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980" w:type="dxa"/>
            <w:vAlign w:val="bottom"/>
          </w:tcPr>
          <w:p>
            <w:pPr>
              <w:spacing w:after="0"/>
              <w:rPr>
                <w:sz w:val="16"/>
                <w:szCs w:val="16"/>
                <w:color w:val="auto"/>
              </w:rPr>
            </w:pPr>
          </w:p>
        </w:tc>
        <w:tc>
          <w:tcPr>
            <w:tcW w:w="88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6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62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2021 vs.</w:t>
            </w:r>
          </w:p>
        </w:tc>
        <w:tc>
          <w:tcPr>
            <w:tcW w:w="660" w:type="dxa"/>
            <w:vAlign w:val="bottom"/>
            <w:gridSpan w:val="3"/>
          </w:tcPr>
          <w:p>
            <w:pPr>
              <w:ind w:left="60"/>
              <w:spacing w:after="0"/>
              <w:rPr>
                <w:sz w:val="20"/>
                <w:szCs w:val="20"/>
                <w:color w:val="auto"/>
              </w:rPr>
            </w:pPr>
            <w:r>
              <w:rPr>
                <w:rFonts w:ascii="Arial" w:cs="Arial" w:eastAsia="Arial" w:hAnsi="Arial"/>
                <w:sz w:val="14"/>
                <w:szCs w:val="14"/>
                <w:b w:val="1"/>
                <w:bCs w:val="1"/>
                <w:color w:val="auto"/>
              </w:rPr>
              <w:t>2020 vs.</w:t>
            </w:r>
          </w:p>
        </w:tc>
        <w:tc>
          <w:tcPr>
            <w:tcW w:w="640" w:type="dxa"/>
            <w:vAlign w:val="bottom"/>
          </w:tcPr>
          <w:p>
            <w:pPr>
              <w:ind w:left="40"/>
              <w:spacing w:after="0"/>
              <w:rPr>
                <w:sz w:val="20"/>
                <w:szCs w:val="20"/>
                <w:color w:val="auto"/>
              </w:rPr>
            </w:pPr>
            <w:r>
              <w:rPr>
                <w:rFonts w:ascii="Arial" w:cs="Arial" w:eastAsia="Arial" w:hAnsi="Arial"/>
                <w:sz w:val="14"/>
                <w:szCs w:val="14"/>
                <w:b w:val="1"/>
                <w:bCs w:val="1"/>
                <w:color w:val="auto"/>
              </w:rPr>
              <w:t>2021 vs.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 vs.</w:t>
            </w: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6"/>
                <w:szCs w:val="16"/>
                <w:color w:val="auto"/>
              </w:rPr>
            </w:pPr>
          </w:p>
        </w:tc>
        <w:tc>
          <w:tcPr>
            <w:tcW w:w="400" w:type="dxa"/>
            <w:vAlign w:val="bottom"/>
          </w:tcPr>
          <w:p>
            <w:pPr>
              <w:jc w:val="right"/>
              <w:ind w:right="19"/>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640" w:type="dxa"/>
            <w:vAlign w:val="bottom"/>
          </w:tcPr>
          <w:p>
            <w:pPr>
              <w:ind w:left="200"/>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2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3"/>
          </w:tcPr>
          <w:p>
            <w:pPr>
              <w:jc w:val="right"/>
              <w:ind w:right="19"/>
              <w:spacing w:after="0"/>
              <w:rPr>
                <w:sz w:val="20"/>
                <w:szCs w:val="20"/>
                <w:color w:val="auto"/>
              </w:rPr>
            </w:pPr>
            <w:r>
              <w:rPr>
                <w:rFonts w:ascii="Arial" w:cs="Arial" w:eastAsia="Arial" w:hAnsi="Arial"/>
                <w:sz w:val="14"/>
                <w:szCs w:val="14"/>
                <w:b w:val="1"/>
                <w:bCs w:val="1"/>
                <w:color w:val="auto"/>
                <w:w w:val="95"/>
              </w:rPr>
              <w:t>(dollars in thousands)</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Change in fair value of warrant liability</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7"/>
              </w:rPr>
              <w:t>$166,518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90"/>
              </w:rPr>
              <w:t>$166,518</w:t>
            </w:r>
          </w:p>
        </w:tc>
        <w:tc>
          <w:tcPr>
            <w:tcW w:w="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Other expense, net</w:t>
            </w:r>
          </w:p>
        </w:tc>
        <w:tc>
          <w:tcPr>
            <w:tcW w:w="880" w:type="dxa"/>
            <w:vAlign w:val="bottom"/>
          </w:tcPr>
          <w:p>
            <w:pPr>
              <w:jc w:val="right"/>
              <w:ind w:right="56"/>
              <w:spacing w:after="0"/>
              <w:rPr>
                <w:sz w:val="20"/>
                <w:szCs w:val="20"/>
                <w:color w:val="auto"/>
              </w:rPr>
            </w:pPr>
            <w:r>
              <w:rPr>
                <w:rFonts w:ascii="Arial" w:cs="Arial" w:eastAsia="Arial" w:hAnsi="Arial"/>
                <w:sz w:val="18"/>
                <w:szCs w:val="18"/>
                <w:color w:val="auto"/>
              </w:rPr>
              <w:t>(6,723)</w:t>
            </w:r>
          </w:p>
        </w:tc>
        <w:tc>
          <w:tcPr>
            <w:tcW w:w="900" w:type="dxa"/>
            <w:vAlign w:val="bottom"/>
            <w:gridSpan w:val="2"/>
          </w:tcPr>
          <w:p>
            <w:pPr>
              <w:jc w:val="right"/>
              <w:ind w:right="136"/>
              <w:spacing w:after="0"/>
              <w:rPr>
                <w:sz w:val="20"/>
                <w:szCs w:val="20"/>
                <w:color w:val="auto"/>
              </w:rPr>
            </w:pPr>
            <w:r>
              <w:rPr>
                <w:rFonts w:ascii="Arial" w:cs="Arial" w:eastAsia="Arial" w:hAnsi="Arial"/>
                <w:sz w:val="18"/>
                <w:szCs w:val="18"/>
                <w:color w:val="auto"/>
              </w:rPr>
              <w:t>(2,368)</w:t>
            </w:r>
          </w:p>
        </w:tc>
        <w:tc>
          <w:tcPr>
            <w:tcW w:w="820" w:type="dxa"/>
            <w:vAlign w:val="bottom"/>
            <w:gridSpan w:val="2"/>
          </w:tcPr>
          <w:p>
            <w:pPr>
              <w:jc w:val="right"/>
              <w:ind w:right="79"/>
              <w:spacing w:after="0"/>
              <w:rPr>
                <w:sz w:val="20"/>
                <w:szCs w:val="20"/>
                <w:color w:val="auto"/>
              </w:rPr>
            </w:pPr>
            <w:r>
              <w:rPr>
                <w:rFonts w:ascii="Arial" w:cs="Arial" w:eastAsia="Arial" w:hAnsi="Arial"/>
                <w:sz w:val="18"/>
                <w:szCs w:val="18"/>
                <w:color w:val="auto"/>
              </w:rPr>
              <w:t>(5,341)</w:t>
            </w: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2,973</w:t>
            </w:r>
          </w:p>
        </w:tc>
        <w:tc>
          <w:tcPr>
            <w:tcW w:w="100" w:type="dxa"/>
            <w:vAlign w:val="bottom"/>
          </w:tcPr>
          <w:p>
            <w:pPr>
              <w:spacing w:after="0"/>
              <w:rPr>
                <w:sz w:val="23"/>
                <w:szCs w:val="23"/>
                <w:color w:val="auto"/>
              </w:rPr>
            </w:pPr>
          </w:p>
        </w:tc>
        <w:tc>
          <w:tcPr>
            <w:tcW w:w="640" w:type="dxa"/>
            <w:vAlign w:val="bottom"/>
          </w:tcPr>
          <w:p>
            <w:pPr>
              <w:ind w:left="160"/>
              <w:spacing w:after="0"/>
              <w:rPr>
                <w:sz w:val="20"/>
                <w:szCs w:val="20"/>
                <w:color w:val="auto"/>
              </w:rPr>
            </w:pPr>
            <w:r>
              <w:rPr>
                <w:rFonts w:ascii="Arial" w:cs="Arial" w:eastAsia="Arial" w:hAnsi="Arial"/>
                <w:sz w:val="18"/>
                <w:szCs w:val="18"/>
                <w:color w:val="auto"/>
                <w:w w:val="99"/>
              </w:rPr>
              <w:t>184%</w:t>
            </w:r>
          </w:p>
        </w:tc>
        <w:tc>
          <w:tcPr>
            <w:tcW w:w="640" w:type="dxa"/>
            <w:vAlign w:val="bottom"/>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54"/>
        </w:trPr>
        <w:tc>
          <w:tcPr>
            <w:tcW w:w="29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2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8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87"/>
              </w:rPr>
              <w:t>$159,795</w:t>
            </w:r>
          </w:p>
        </w:tc>
        <w:tc>
          <w:tcPr>
            <w:tcW w:w="900" w:type="dxa"/>
            <w:vAlign w:val="bottom"/>
            <w:tcBorders>
              <w:bottom w:val="single" w:sz="8" w:color="CCEEFF"/>
            </w:tcBorders>
            <w:gridSpan w:val="2"/>
            <w:shd w:val="clear" w:color="auto" w:fill="CCEEFF"/>
          </w:tcPr>
          <w:p>
            <w:pPr>
              <w:jc w:val="right"/>
              <w:ind w:right="136"/>
              <w:spacing w:after="0"/>
              <w:rPr>
                <w:sz w:val="20"/>
                <w:szCs w:val="20"/>
                <w:color w:val="auto"/>
              </w:rPr>
            </w:pPr>
            <w:r>
              <w:rPr>
                <w:rFonts w:ascii="Arial" w:cs="Arial" w:eastAsia="Arial" w:hAnsi="Arial"/>
                <w:sz w:val="18"/>
                <w:szCs w:val="18"/>
                <w:color w:val="auto"/>
                <w:w w:val="98"/>
              </w:rPr>
              <w:t>$(2,368)</w:t>
            </w:r>
          </w:p>
        </w:tc>
        <w:tc>
          <w:tcPr>
            <w:tcW w:w="82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w w:val="95"/>
              </w:rPr>
              <w:t>$(5,341)</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center"/>
              <w:ind w:right="39"/>
              <w:spacing w:after="0"/>
              <w:rPr>
                <w:sz w:val="20"/>
                <w:szCs w:val="20"/>
                <w:color w:val="auto"/>
              </w:rPr>
            </w:pPr>
            <w:r>
              <w:rPr>
                <w:rFonts w:ascii="Arial" w:cs="Arial" w:eastAsia="Arial" w:hAnsi="Arial"/>
                <w:sz w:val="18"/>
                <w:szCs w:val="18"/>
                <w:color w:val="auto"/>
                <w:w w:val="90"/>
              </w:rPr>
              <w:t>$162,163</w:t>
            </w:r>
          </w:p>
        </w:tc>
        <w:tc>
          <w:tcPr>
            <w:tcW w:w="5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87"/>
              </w:rPr>
              <w:t>$2,973</w:t>
            </w:r>
          </w:p>
        </w:tc>
        <w:tc>
          <w:tcPr>
            <w:tcW w:w="1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N/M</w:t>
            </w:r>
          </w:p>
        </w:tc>
        <w:tc>
          <w:tcPr>
            <w:tcW w:w="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0"/>
                <w:szCs w:val="20"/>
                <w:color w:val="auto"/>
              </w:rPr>
            </w:pPr>
            <w:r>
              <w:rPr>
                <w:rFonts w:ascii="Arial" w:cs="Arial" w:eastAsia="Arial" w:hAnsi="Arial"/>
                <w:sz w:val="18"/>
                <w:szCs w:val="18"/>
                <w:color w:val="auto"/>
              </w:rPr>
              <w:t>Percentage of revenue</w:t>
            </w:r>
          </w:p>
        </w:tc>
        <w:tc>
          <w:tcPr>
            <w:tcW w:w="880" w:type="dxa"/>
            <w:vAlign w:val="bottom"/>
          </w:tcPr>
          <w:p>
            <w:pPr>
              <w:jc w:val="right"/>
              <w:spacing w:after="0"/>
              <w:rPr>
                <w:sz w:val="20"/>
                <w:szCs w:val="20"/>
                <w:color w:val="auto"/>
              </w:rPr>
            </w:pPr>
            <w:r>
              <w:rPr>
                <w:rFonts w:ascii="Arial" w:cs="Arial" w:eastAsia="Arial" w:hAnsi="Arial"/>
                <w:sz w:val="18"/>
                <w:szCs w:val="18"/>
                <w:color w:val="auto"/>
              </w:rPr>
              <w:t>83%</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-985520</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-985520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-985520</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3734435</wp:posOffset>
            </wp:positionH>
            <wp:positionV relativeFrom="paragraph">
              <wp:posOffset>-985520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-985520</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2620010</wp:posOffset>
            </wp:positionH>
            <wp:positionV relativeFrom="paragraph">
              <wp:posOffset>-985520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128905</wp:posOffset>
            </wp:positionV>
            <wp:extent cx="8229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N/M - Not meaningful</w:t>
      </w:r>
    </w:p>
    <w:p>
      <w:pPr>
        <w:spacing w:after="0" w:line="96"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8"/>
          <w:szCs w:val="18"/>
          <w:b w:val="1"/>
          <w:bCs w:val="1"/>
          <w:color w:val="auto"/>
        </w:rPr>
        <w:t xml:space="preserve">Year ended December 31, 2021 compared to year ended December 31, 2020. </w:t>
      </w:r>
      <w:r>
        <w:rPr>
          <w:rFonts w:ascii="Arial" w:cs="Arial" w:eastAsia="Arial" w:hAnsi="Arial"/>
          <w:sz w:val="18"/>
          <w:szCs w:val="18"/>
          <w:color w:val="auto"/>
        </w:rPr>
        <w:t>Other income, net increased</w:t>
      </w:r>
      <w:r>
        <w:rPr>
          <w:rFonts w:ascii="Arial" w:cs="Arial" w:eastAsia="Arial" w:hAnsi="Arial"/>
          <w:sz w:val="18"/>
          <w:szCs w:val="18"/>
          <w:b w:val="1"/>
          <w:bCs w:val="1"/>
          <w:color w:val="auto"/>
        </w:rPr>
        <w:t xml:space="preserve"> </w:t>
      </w:r>
      <w:r>
        <w:rPr>
          <w:rFonts w:ascii="Arial" w:cs="Arial" w:eastAsia="Arial" w:hAnsi="Arial"/>
          <w:sz w:val="18"/>
          <w:szCs w:val="18"/>
          <w:color w:val="auto"/>
        </w:rPr>
        <w:t>by $162.2 million for the year ended December 31, 2021 compared to the same period in 2020. The increase in other income was primarily due to changes in fair value of warrant liability of $166.5 million. The increase in other expense, net of $4.4 million was primarily due to warrant transaction costs of $5.5 million related to the Business Combination included in other expenses in 2021.</w:t>
      </w:r>
    </w:p>
    <w:p>
      <w:pPr>
        <w:spacing w:after="0" w:line="75" w:lineRule="exact"/>
        <w:rPr>
          <w:sz w:val="20"/>
          <w:szCs w:val="20"/>
          <w:color w:val="auto"/>
        </w:rPr>
      </w:pPr>
    </w:p>
    <w:p>
      <w:pPr>
        <w:jc w:val="both"/>
        <w:ind w:left="300" w:right="299" w:firstLine="360"/>
        <w:spacing w:after="0" w:line="292" w:lineRule="auto"/>
        <w:rPr>
          <w:sz w:val="20"/>
          <w:szCs w:val="20"/>
          <w:color w:val="auto"/>
        </w:rPr>
      </w:pPr>
      <w:r>
        <w:rPr>
          <w:rFonts w:ascii="Arial" w:cs="Arial" w:eastAsia="Arial" w:hAnsi="Arial"/>
          <w:sz w:val="16"/>
          <w:szCs w:val="16"/>
          <w:b w:val="1"/>
          <w:bCs w:val="1"/>
          <w:color w:val="auto"/>
        </w:rPr>
        <w:t xml:space="preserve">Year ended December 31, 2020 compared to year ended December 31, 2019. </w:t>
      </w:r>
      <w:r>
        <w:rPr>
          <w:rFonts w:ascii="Arial" w:cs="Arial" w:eastAsia="Arial" w:hAnsi="Arial"/>
          <w:sz w:val="16"/>
          <w:szCs w:val="16"/>
          <w:color w:val="auto"/>
        </w:rPr>
        <w:t>Other expenses decreased by</w:t>
      </w:r>
      <w:r>
        <w:rPr>
          <w:rFonts w:ascii="Arial" w:cs="Arial" w:eastAsia="Arial" w:hAnsi="Arial"/>
          <w:sz w:val="16"/>
          <w:szCs w:val="16"/>
          <w:b w:val="1"/>
          <w:bCs w:val="1"/>
          <w:color w:val="auto"/>
        </w:rPr>
        <w:t xml:space="preserve"> </w:t>
      </w:r>
      <w:r>
        <w:rPr>
          <w:rFonts w:ascii="Arial" w:cs="Arial" w:eastAsia="Arial" w:hAnsi="Arial"/>
          <w:sz w:val="16"/>
          <w:szCs w:val="16"/>
          <w:color w:val="auto"/>
        </w:rPr>
        <w:t>$3.0 million, or 56%, for the year ended December 31, 2020, compared to the same period in 2019. Financing related costs decreased by $2.7 million as a result of several equity and debt transactions that we were evaluating in 2019 but ultimately decided not to pursue. Other tax and interest related expenses also decreased by $0.8 million as 2019 included tax expenses related to revenue generated by our foreign subsidiary in Canada. Political contributions also decreased by $0.2 million period over period. The decrease was partially offset by loss from foreign currency exchange of $0.7 million related to revenue generated by our foreign subsidiary in Canada.</w:t>
      </w:r>
    </w:p>
    <w:p>
      <w:pPr>
        <w:sectPr>
          <w:pgSz w:w="11900" w:h="16838" w:orient="portrait"/>
          <w:cols w:equalWidth="0" w:num="1">
            <w:col w:w="9019"/>
          </w:cols>
          <w:pgMar w:left="1440" w:top="265"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7" w:name="page68"/>
    <w:bookmarkEnd w:id="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As of December 31,</w:t>
            </w:r>
          </w:p>
        </w:tc>
      </w:tr>
      <w:tr>
        <w:trPr>
          <w:trHeight w:val="53"/>
        </w:trPr>
        <w:tc>
          <w:tcPr>
            <w:tcW w:w="7060" w:type="dxa"/>
            <w:vAlign w:val="bottom"/>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7060" w:type="dxa"/>
            <w:vAlign w:val="bottom"/>
          </w:tcPr>
          <w:p>
            <w:pPr>
              <w:spacing w:after="0"/>
              <w:rPr>
                <w:sz w:val="19"/>
                <w:szCs w:val="19"/>
                <w:color w:val="auto"/>
              </w:rPr>
            </w:pPr>
          </w:p>
        </w:tc>
        <w:tc>
          <w:tcPr>
            <w:tcW w:w="680" w:type="dxa"/>
            <w:vAlign w:val="bottom"/>
          </w:tcPr>
          <w:p>
            <w:pPr>
              <w:jc w:val="right"/>
              <w:ind w:right="159"/>
              <w:spacing w:after="0"/>
              <w:rPr>
                <w:sz w:val="20"/>
                <w:szCs w:val="20"/>
                <w:color w:val="auto"/>
              </w:rPr>
            </w:pPr>
            <w:r>
              <w:rPr>
                <w:rFonts w:ascii="Arial" w:cs="Arial" w:eastAsia="Arial" w:hAnsi="Arial"/>
                <w:sz w:val="14"/>
                <w:szCs w:val="14"/>
                <w:b w:val="1"/>
                <w:bCs w:val="1"/>
                <w:color w:val="auto"/>
              </w:rPr>
              <w:t>2021</w:t>
            </w:r>
          </w:p>
        </w:tc>
        <w:tc>
          <w:tcPr>
            <w:tcW w:w="680" w:type="dxa"/>
            <w:vAlign w:val="bottom"/>
          </w:tcPr>
          <w:p>
            <w:pPr>
              <w:jc w:val="right"/>
              <w:ind w:right="75"/>
              <w:spacing w:after="0"/>
              <w:rPr>
                <w:sz w:val="20"/>
                <w:szCs w:val="20"/>
                <w:color w:val="auto"/>
              </w:rPr>
            </w:pPr>
            <w:r>
              <w:rPr>
                <w:rFonts w:ascii="Arial" w:cs="Arial" w:eastAsia="Arial" w:hAnsi="Arial"/>
                <w:sz w:val="14"/>
                <w:szCs w:val="14"/>
                <w:b w:val="1"/>
                <w:bCs w:val="1"/>
                <w:color w:val="auto"/>
              </w:rPr>
              <w:t>2020</w:t>
            </w:r>
          </w:p>
        </w:tc>
      </w:tr>
      <w:tr>
        <w:trPr>
          <w:trHeight w:val="53"/>
        </w:trPr>
        <w:tc>
          <w:tcPr>
            <w:tcW w:w="7060" w:type="dxa"/>
            <w:vAlign w:val="bottom"/>
          </w:tcPr>
          <w:p>
            <w:pPr>
              <w:spacing w:after="0"/>
              <w:rPr>
                <w:sz w:val="4"/>
                <w:szCs w:val="4"/>
                <w:color w:val="auto"/>
              </w:rPr>
            </w:pPr>
          </w:p>
        </w:tc>
        <w:tc>
          <w:tcPr>
            <w:tcW w:w="1360" w:type="dxa"/>
            <w:vAlign w:val="bottom"/>
            <w:tcBorders>
              <w:bottom w:val="single" w:sz="8" w:color="auto"/>
            </w:tcBorders>
            <w:gridSpan w:val="2"/>
          </w:tcPr>
          <w:p>
            <w:pPr>
              <w:spacing w:after="0"/>
              <w:rPr>
                <w:sz w:val="4"/>
                <w:szCs w:val="4"/>
                <w:color w:val="auto"/>
              </w:rPr>
            </w:pPr>
          </w:p>
        </w:tc>
      </w:tr>
      <w:tr>
        <w:trPr>
          <w:trHeight w:val="224"/>
        </w:trPr>
        <w:tc>
          <w:tcPr>
            <w:tcW w:w="7060" w:type="dxa"/>
            <w:vAlign w:val="bottom"/>
          </w:tcPr>
          <w:p>
            <w:pPr>
              <w:spacing w:after="0"/>
              <w:rPr>
                <w:sz w:val="19"/>
                <w:szCs w:val="19"/>
                <w:color w:val="auto"/>
              </w:rPr>
            </w:pPr>
          </w:p>
        </w:tc>
        <w:tc>
          <w:tcPr>
            <w:tcW w:w="1360" w:type="dxa"/>
            <w:vAlign w:val="bottom"/>
            <w:gridSpan w:val="2"/>
          </w:tcPr>
          <w:p>
            <w:pPr>
              <w:jc w:val="right"/>
              <w:ind w:right="155"/>
              <w:spacing w:after="0"/>
              <w:rPr>
                <w:sz w:val="20"/>
                <w:szCs w:val="20"/>
                <w:color w:val="auto"/>
              </w:rPr>
            </w:pPr>
            <w:r>
              <w:rPr>
                <w:rFonts w:ascii="Arial" w:cs="Arial" w:eastAsia="Arial" w:hAnsi="Arial"/>
                <w:sz w:val="14"/>
                <w:szCs w:val="14"/>
                <w:b w:val="1"/>
                <w:bCs w:val="1"/>
                <w:color w:val="auto"/>
              </w:rPr>
              <w:t>(in thousands)</w:t>
            </w:r>
          </w:p>
        </w:tc>
      </w:tr>
      <w:tr>
        <w:trPr>
          <w:trHeight w:val="53"/>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18"/>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$67,777</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$19,919</w:t>
            </w:r>
          </w:p>
        </w:tc>
      </w:tr>
      <w:tr>
        <w:trPr>
          <w:trHeight w:val="270"/>
        </w:trPr>
        <w:tc>
          <w:tcPr>
            <w:tcW w:w="70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680" w:type="dxa"/>
            <w:vAlign w:val="bottom"/>
          </w:tcPr>
          <w:p>
            <w:pPr>
              <w:ind w:left="80"/>
              <w:spacing w:after="0"/>
              <w:rPr>
                <w:sz w:val="20"/>
                <w:szCs w:val="20"/>
                <w:color w:val="auto"/>
              </w:rPr>
            </w:pPr>
            <w:r>
              <w:rPr>
                <w:rFonts w:ascii="Arial" w:cs="Arial" w:eastAsia="Arial" w:hAnsi="Arial"/>
                <w:sz w:val="18"/>
                <w:szCs w:val="18"/>
                <w:color w:val="auto"/>
              </w:rPr>
              <w:t>17,550</w:t>
            </w:r>
          </w:p>
        </w:tc>
        <w:tc>
          <w:tcPr>
            <w:tcW w:w="680" w:type="dxa"/>
            <w:vAlign w:val="bottom"/>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70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61,134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10,918</w:t>
            </w:r>
          </w:p>
        </w:tc>
      </w:tr>
      <w:tr>
        <w:trPr>
          <w:trHeight w:val="54"/>
        </w:trPr>
        <w:tc>
          <w:tcPr>
            <w:tcW w:w="70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5054600</wp:posOffset>
            </wp:positionH>
            <wp:positionV relativeFrom="paragraph">
              <wp:posOffset>-814070</wp:posOffset>
            </wp:positionV>
            <wp:extent cx="1028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we had cash of $67.8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7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Flows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5"/>
        </w:trPr>
        <w:tc>
          <w:tcPr>
            <w:tcW w:w="4820" w:type="dxa"/>
            <w:vAlign w:val="bottom"/>
          </w:tcPr>
          <w:p>
            <w:pPr>
              <w:spacing w:after="0"/>
              <w:rPr>
                <w:sz w:val="19"/>
                <w:szCs w:val="19"/>
                <w:color w:val="auto"/>
              </w:rPr>
            </w:pPr>
          </w:p>
        </w:tc>
        <w:tc>
          <w:tcPr>
            <w:tcW w:w="192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9"/>
                <w:szCs w:val="19"/>
                <w:color w:val="auto"/>
              </w:rPr>
            </w:pPr>
          </w:p>
        </w:tc>
        <w:tc>
          <w:tcPr>
            <w:tcW w:w="72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9"/>
                <w:szCs w:val="19"/>
                <w:color w:val="auto"/>
              </w:rPr>
            </w:pPr>
          </w:p>
        </w:tc>
        <w:tc>
          <w:tcPr>
            <w:tcW w:w="580" w:type="dxa"/>
            <w:vAlign w:val="bottom"/>
          </w:tcPr>
          <w:p>
            <w:pPr>
              <w:jc w:val="right"/>
              <w:ind w:right="136"/>
              <w:spacing w:after="0"/>
              <w:rPr>
                <w:sz w:val="20"/>
                <w:szCs w:val="20"/>
                <w:color w:val="auto"/>
              </w:rPr>
            </w:pPr>
            <w:r>
              <w:rPr>
                <w:rFonts w:ascii="Arial" w:cs="Arial" w:eastAsia="Arial" w:hAnsi="Arial"/>
                <w:sz w:val="14"/>
                <w:szCs w:val="14"/>
                <w:b w:val="1"/>
                <w:bCs w:val="1"/>
                <w:color w:val="auto"/>
              </w:rPr>
              <w:t>2019</w:t>
            </w: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gridSpan w:val="2"/>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225"/>
        </w:trPr>
        <w:tc>
          <w:tcPr>
            <w:tcW w:w="48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53"/>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18"/>
        </w:trPr>
        <w:tc>
          <w:tcPr>
            <w:tcW w:w="4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920" w:type="dxa"/>
            <w:vAlign w:val="bottom"/>
            <w:tcBorders>
              <w:bottom w:val="single" w:sz="8" w:color="CCEEFF"/>
            </w:tcBorders>
            <w:gridSpan w:val="2"/>
            <w:shd w:val="clear" w:color="auto" w:fill="CCEEFF"/>
          </w:tcPr>
          <w:p>
            <w:pPr>
              <w:ind w:left="1180"/>
              <w:spacing w:after="0"/>
              <w:rPr>
                <w:sz w:val="20"/>
                <w:szCs w:val="20"/>
                <w:color w:val="auto"/>
              </w:rPr>
            </w:pPr>
            <w:r>
              <w:rPr>
                <w:rFonts w:ascii="Arial" w:cs="Arial" w:eastAsia="Arial" w:hAnsi="Arial"/>
                <w:sz w:val="18"/>
                <w:szCs w:val="18"/>
                <w:color w:val="auto"/>
              </w:rPr>
              <w:t>$ 23,092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0"/>
              </w:rPr>
              <w:t>38,620</w:t>
            </w: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270"/>
        </w:trPr>
        <w:tc>
          <w:tcPr>
            <w:tcW w:w="4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920" w:type="dxa"/>
            <w:vAlign w:val="bottom"/>
            <w:gridSpan w:val="2"/>
          </w:tcPr>
          <w:p>
            <w:pPr>
              <w:ind w:left="1180"/>
              <w:spacing w:after="0"/>
              <w:rPr>
                <w:sz w:val="20"/>
                <w:szCs w:val="20"/>
                <w:color w:val="auto"/>
              </w:rPr>
            </w:pPr>
            <w:r>
              <w:rPr>
                <w:rFonts w:ascii="Arial" w:cs="Arial" w:eastAsia="Arial" w:hAnsi="Arial"/>
                <w:sz w:val="18"/>
                <w:szCs w:val="18"/>
                <w:color w:val="auto"/>
                <w:w w:val="93"/>
              </w:rPr>
              <w:t>$(30,435)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(1,311)</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(5,129)</w:t>
            </w:r>
          </w:p>
        </w:tc>
      </w:tr>
      <w:tr>
        <w:trPr>
          <w:trHeight w:val="54"/>
        </w:trPr>
        <w:tc>
          <w:tcPr>
            <w:tcW w:w="48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gridSpan w:val="2"/>
          </w:tcPr>
          <w:p>
            <w:pPr>
              <w:spacing w:after="0"/>
              <w:rPr>
                <w:sz w:val="4"/>
                <w:szCs w:val="4"/>
                <w:color w:val="auto"/>
              </w:rPr>
            </w:pPr>
          </w:p>
        </w:tc>
        <w:tc>
          <w:tcPr>
            <w:tcW w:w="740" w:type="dxa"/>
            <w:vAlign w:val="bottom"/>
            <w:gridSpan w:val="2"/>
          </w:tcPr>
          <w:p>
            <w:pPr>
              <w:spacing w:after="0"/>
              <w:rPr>
                <w:sz w:val="4"/>
                <w:szCs w:val="4"/>
                <w:color w:val="auto"/>
              </w:rPr>
            </w:pPr>
          </w:p>
        </w:tc>
      </w:tr>
      <w:tr>
        <w:trPr>
          <w:trHeight w:val="27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19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$ 55,201</w:t>
            </w:r>
          </w:p>
        </w:tc>
        <w:tc>
          <w:tcPr>
            <w:tcW w:w="940" w:type="dxa"/>
            <w:vAlign w:val="bottom"/>
            <w:gridSpan w:val="2"/>
            <w:shd w:val="clear" w:color="auto" w:fill="CCEEFF"/>
          </w:tcPr>
          <w:p>
            <w:pPr>
              <w:jc w:val="right"/>
              <w:ind w:right="36"/>
              <w:spacing w:after="0"/>
              <w:rPr>
                <w:sz w:val="20"/>
                <w:szCs w:val="20"/>
                <w:color w:val="auto"/>
              </w:rPr>
            </w:pPr>
            <w:r>
              <w:rPr>
                <w:rFonts w:ascii="Arial" w:cs="Arial" w:eastAsia="Arial" w:hAnsi="Arial"/>
                <w:sz w:val="18"/>
                <w:szCs w:val="18"/>
                <w:color w:val="auto"/>
              </w:rPr>
              <w:t>$(22,358)</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$(21,969)</w:t>
            </w:r>
          </w:p>
        </w:tc>
      </w:tr>
      <w:tr>
        <w:trPr>
          <w:trHeight w:val="54"/>
        </w:trPr>
        <w:tc>
          <w:tcPr>
            <w:tcW w:w="4820" w:type="dxa"/>
            <w:vAlign w:val="bottom"/>
            <w:shd w:val="clear" w:color="auto" w:fill="CCEEFF"/>
          </w:tcPr>
          <w:p>
            <w:pPr>
              <w:spacing w:after="0"/>
              <w:rPr>
                <w:sz w:val="4"/>
                <w:szCs w:val="4"/>
                <w:color w:val="auto"/>
              </w:rPr>
            </w:pPr>
          </w:p>
        </w:tc>
        <w:tc>
          <w:tcPr>
            <w:tcW w:w="118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-814070</wp:posOffset>
            </wp:positionV>
            <wp:extent cx="857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4454525</wp:posOffset>
            </wp:positionH>
            <wp:positionV relativeFrom="paragraph">
              <wp:posOffset>-814070</wp:posOffset>
            </wp:positionV>
            <wp:extent cx="857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57"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Net cash provided by operating activities for the year ended December 31, 2021 was $23.1 million, which resulted from net income of $152.2 million, together with a net cash outflows of $3.4 million from changes in</w:t>
      </w:r>
    </w:p>
    <w:p>
      <w:pPr>
        <w:sectPr>
          <w:pgSz w:w="11900" w:h="16838" w:orient="portrait"/>
          <w:cols w:equalWidth="0" w:num="1">
            <w:col w:w="9019"/>
          </w:cols>
          <w:pgMar w:left="1440" w:top="265"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68" w:name="page69"/>
    <w:bookmarkEnd w:id="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1" w:lineRule="auto"/>
        <w:rPr>
          <w:sz w:val="20"/>
          <w:szCs w:val="20"/>
          <w:color w:val="auto"/>
        </w:rPr>
      </w:pPr>
      <w:r>
        <w:rPr>
          <w:rFonts w:ascii="Arial" w:cs="Arial" w:eastAsia="Arial" w:hAnsi="Arial"/>
          <w:sz w:val="17"/>
          <w:szCs w:val="17"/>
          <w:color w:val="auto"/>
        </w:rPr>
        <w:t>operating assets and liabilities, and non-cash items of $125.8 million, consisting of depreciation and amortization of $4.4 million, fair value of warrant liability of $166.5 million, impairment loss of $2.4 million, stock-based compensation expense of $29.3 million, changes in deferred tax assets of $0.8 million and provision for doubtful accounts of $5.5 million. The net cash outflows from changes in operating assets and liabilities were primarily due to an increase in accounts receivable of $13.6 million, a decrease in accounts payable and accrued expenses of $0.5 million, partially offset by a decrease in prepaid expenses and other assets of $7.9 million, and an increase in deferred revenue of $2.8 million. The changes in operating assets and liabilities are mostly due to fluctuations in timing of cash receipts and payments.</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2020 was $38.6 million, which resulted from net income of $38.8 million, together with net cash outflows of $5.5 million from changes in operating assets and liabilities, and non-cash items of $5.2 million, consisting of depreciation and amortization of $4.0 million and provision for doubtful accounts of $1.3 million. The net cash outflows from changes in operating assets and liabilities were primarily due to an increase in accounts receivables of $6.8 million, a decrease in accounts payable and accrued expenses of $1.0 million and an increase in prepaid expenses and other current assets of $3.0 million. These changes were partially offset by an increase in deferred rent of $3.7 million, an increase in deferred revenue of $0.9 million and a decrease in other assets of $0.7 million. The changes in operating assets and liabilities are mostly due to fluctuations in timing of cash receipts and payments.</w:t>
      </w:r>
    </w:p>
    <w:p>
      <w:pPr>
        <w:spacing w:after="0" w:line="7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Net cash from operating activities for the year ended December 31, 2019 was $6.3 million, which resulted from net loss of $0.4 million, together with a net cash inflow of $1.3 million from changes in operating assets and liabilities, and non-cash charges of $5.3 million, consisting of depreciation and amortization expense of $5.2 million and provision for doubtful of accounts of $0.2 million. The net cash inflows from changes in operating assets and liabilities were primarily due to an increase in accounts payable and accrued expenses of $7.4 million, an increase in deferred rent of $0.5 million, together with an increase in deferred revenue of $0.2 million. These changes were partially offset by an increase in accounts receivable of $2.8 million and an increase in prepaid expense and other assets of $4.0 million. The changes in operating assets and liabilities are mostly due to fluctuations in timing of cash receipts and payments.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Net cash used in investing activities for the year ended December 31, 2021 was $30.4 million, which resulted from $16.0 million cash paid for acquisitions, $7.9 million cash paid for purchases of property and equipment, including certain capitalized software development cost, and $6.5 million cash paid for other investments.</w:t>
      </w:r>
    </w:p>
    <w:p>
      <w:pPr>
        <w:spacing w:after="0" w:line="4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Net cash used in investing activities for the year ended December 31, 2020 was $1.3 million for purchases of property and equipment.</w:t>
      </w:r>
    </w:p>
    <w:p>
      <w:pPr>
        <w:spacing w:after="0" w:line="62"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Net cash used in investing activities for the year ended December 31, 2019 was $5.1 million, which resulted from purchases of assets related to Weedmaps Museum of Weed as well as other property and equipment and capitalized software development costs related to development of our POS solution.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Cash Provided by (Used in) Financing Activities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Net Cash provided by financing activities for the year ended December 31, 2021 was $55.2 million, which resulted from net proceeds from the Business Combination of $80.0 million, offset by $19.0 million distribution payments to members, $5.6 million paid for the repurchase of Class B Units and $0.2 million repayment of notes payable to members.</w:t>
      </w:r>
    </w:p>
    <w:p>
      <w:pPr>
        <w:spacing w:after="0" w:line="79"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Net cash used in financing activities for the year ended December 31, 2020 was $22.4 million, which resulted from $22.0 million distributions to members and $0.4 million paid for the repurchase of Class B Units.</w:t>
      </w:r>
    </w:p>
    <w:p>
      <w:pPr>
        <w:spacing w:after="0" w:line="3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Net cash used in financing activities for the year ended December 31, 2019 was $22.0 million, which was attributable to $15.4 million in distribution payments to members, $5.0 million repayment of the secured line of credit, and $1.6 million for the repurchase of Class B units.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non-cancellable contractual agreements primarily related to leases. As of December 31, 2021, future payments on our operating leases were $64.5 million. See Note 3 to our consolidated financial statements included in this prospectus.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9" w:name="page70"/>
    <w:bookmarkEnd w:id="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As of December 31, 2021, our tax receivable agreement liability was $128.6 million. 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us. See Note 14 to our consolidated financial statements included in this prospectus.</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consolidated financial statements are prepared in accordance with GAAP. The preparation of these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5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believe that the assumptions and estimates associated with revenue recognition, income taxes, stock-based compensation, capitalized software development costs, goodwill and intangible assets and fair value measurements to have the greatest potential impact on our consolidated financial statements. Therefore, we consider these to be our critical accounting policies and estimates. For further information on all of our significant accounting policies, see Note 2 to our consolidated financial statements included in this prospectus.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Our revenues are derived primarily from monthly subscriptions and additional offerings for access to the Weedmaps platform and SaaS solutions.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we expect to be entitled to in exchange for those services. The determination of the performance obligations and recognition of such items as over time or point-in-time requires us to make significant judgement and estimates.</w:t>
      </w:r>
    </w:p>
    <w:p>
      <w:pPr>
        <w:spacing w:after="0" w:line="7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Substantially all of our revenue is generated by providing standard listing subscription services and other paid listing subscriptions services, including featured listings, promoted deals, nearby listings and other display advertising to our customers. These arrangements are recognized over-time, generally during a month-to-month subscription period as the products are provided. Prior to January 1, 2021, we charged a fee for access to our orders functionality and those fees were recognized at a point in time, typically when an order for delivery or pickup was submitted. Starting on January 1, 2021, we eliminated the technology services fees related to the orders functionality.</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WM Technology, Inc. is subject to U.S. federal income taxes, in addition to state and local income taxes with respect to its allocable share of any taxable income of WMH LLC following the Business Combination. Any taxable income or loss generated by WMH LLC is passed through to and included in the taxable income or loss of its members, including WM Technology, Inc., on a pro rata basis. We are also subject to taxes in foreign jurisdictions. Tax laws and regulations are complex and periodically changing and the determination of our provision for income taxes, including our taxable income, deferred tax assets and tax receivable agreement liability, requires us to make significant judgment, assumptions and estimates.</w:t>
      </w:r>
    </w:p>
    <w:p>
      <w:pPr>
        <w:spacing w:after="0" w:line="69"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In connection with the Business Combination, the Company entered into a Tax Receivable Agreement (“TRA”) with continuing members that provides for a payment to the continuing members of 85% of the amount of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0" w:name="page71"/>
    <w:bookmarkEnd w:id="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0" w:lineRule="auto"/>
        <w:rPr>
          <w:sz w:val="20"/>
          <w:szCs w:val="20"/>
          <w:color w:val="auto"/>
        </w:rPr>
      </w:pPr>
      <w:r>
        <w:rPr>
          <w:rFonts w:ascii="Arial" w:cs="Arial" w:eastAsia="Arial" w:hAnsi="Arial"/>
          <w:sz w:val="16"/>
          <w:szCs w:val="16"/>
          <w:color w:val="auto"/>
        </w:rPr>
        <w:t>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 Our calculation of the TRA asset and liability requires estimates of its future qualified taxable income over the term of the TRA as a basis to determine if the related tax benefits are expected to be realized. As of December 31, 2021, total net deferred tax assets and TRA liability were $152.1 million and $128.6 million, respectively. See Note 14 to our consolidated financial statements included in this prospectus.</w:t>
      </w:r>
    </w:p>
    <w:p>
      <w:pPr>
        <w:spacing w:after="0" w:line="1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We measure fair value of employee stock-based compensation awards on the date of grant and allocate the related expense over the requisite service period. The fair value of restricted stock units (“RSU”) and performance-based restricted stock units (“PSU”) is equal to the market price of our Class A common stock on the date of grant. The fair value of the Class P Units is measured using the Black-Scholes-Merton valuation model. When awards include a performance condition that impacts the vesting of the award, we record compensation cost when it becomes probable that the performance condition will be met. The level of achievement of such goals in the performance-based restricted stock awards may cause the actual number of units that ultimately vest to range from 0% to 200% of the original units granted. Forfeitures of stock-based awards are recognized as they occur. For the year ended December 31, 2021, we recognized stock-based compensation expense of $29.3 million. See Note 12 to our consolidated financial statements included in this prospectus.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Capitalized Software Development Costs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We capitalize certain costs related to the development and enhancement of the Weedmaps platform and SaaS solutions. In accordance with authoritative guidance, we began to capitalize these costs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The accounting for website and internal-use software costs requires us to make significant judgement, assumptions and estimates related to the timing and amount of recognized capitalized software development costs. For the year ended December 31, 2021, we capitalized $7.4 million of costs related to the development of software applications.</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Assets and liabilities acquired from acquisitions are recorded at their estimated fair values. The excess of the purchase price over the estimated fair values of the net assets acquired, including identifiable intangible assets, is recorded as goodwill. The accounting for goodwill and intangible assets requires us to make significant judgement, estimates and assumptions. Significant estimates and assumptions in valuing acquired intangible assets and liabilities include projected cash flows attributable to the assets or liabilities, asset useful lives and discount rates.</w:t>
      </w:r>
    </w:p>
    <w:p>
      <w:pPr>
        <w:spacing w:after="0" w:line="53"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Goodwill is not amortized and is subject to annual impairment testing, or between annual tests if an event or change in circumstance occurs that would more likely than not reduce the fair value of a reporting unit below its carrying value. Intangible assets deemed to have finite lives are amortized on a straight-line basis over their estimated useful lives, where the useful life is the period over which the asset is expected to contribute directly, or indirectly, to our future cash flows. Intangible assets are reviewed for impairment on an interim basis when certain events or circumstances exist. For amortizable intangible assets, impairment exists when the carrying amount of the intangible asset exceeds its fair value. At least annually, the remaining useful life is evaluated. See Note 2 to our consolidated financial statements included in this prospectus.</w:t>
      </w:r>
    </w:p>
    <w:p>
      <w:pPr>
        <w:spacing w:after="0" w:line="2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 xml:space="preserve">In connection with the Business Combination, we assumed 12,499,993 Public Warrants and 7,000,000 Private Placement Warrants (together, the “Warrants”). All of the warrants remained outstanding as of December 31, 2021. The warrants are measured at fair value under ASC 820 -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The fair value of the Public</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1" w:name="page72"/>
    <w:bookmarkEnd w:id="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0" w:lineRule="auto"/>
        <w:rPr>
          <w:sz w:val="20"/>
          <w:szCs w:val="20"/>
          <w:color w:val="auto"/>
        </w:rPr>
      </w:pPr>
      <w:r>
        <w:rPr>
          <w:rFonts w:ascii="Arial" w:cs="Arial" w:eastAsia="Arial" w:hAnsi="Arial"/>
          <w:sz w:val="17"/>
          <w:szCs w:val="17"/>
          <w:color w:val="auto"/>
        </w:rPr>
        <w:t>Warrants is classified as Level 1 financial instruments and is based on the publicly listed trading price of our Public Warrants. The fair value of the Private Placement Warrants is determined with Level 3 inputs using the Black-Scholes model. 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our results of operations in future periods. As of December 31, 2021, warranty liability was $27.5 million. See Note 5 to our consolidated financial statements included in this prospectus.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Accounting Pronouncements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consolidated financial statements included in this prospectus.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 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as of December 31, 2021, our disclosure controls and procedures were not effective.</w:t>
      </w:r>
    </w:p>
    <w:p>
      <w:pPr>
        <w:spacing w:after="0" w:line="72"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We completed the Business Combination on June 16, 2021. Prior to the Business Combination, we were a special purpose acquisition company formed for the purpose of effecting a merger, capital stock exchange, asset</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2" w:name="page73"/>
    <w:bookmarkEnd w:id="7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3" w:lineRule="auto"/>
        <w:rPr>
          <w:sz w:val="20"/>
          <w:szCs w:val="20"/>
          <w:color w:val="auto"/>
        </w:rPr>
      </w:pPr>
      <w:r>
        <w:rPr>
          <w:rFonts w:ascii="Arial" w:cs="Arial" w:eastAsia="Arial" w:hAnsi="Arial"/>
          <w:sz w:val="18"/>
          <w:szCs w:val="18"/>
          <w:color w:val="auto"/>
        </w:rPr>
        <w:t>acquisition, stock purchase, reorganization or other similar business combination with one or more operating businesses. As a result, previously existing internal controls are no longer applicable or comprehensive enough as of the assessment date as our operations prior to the Business Combination were insignificant compared to those of the consolidated entity post-Business Combination. The design of internal controls over financial reporting for the Company post-Business Combination has required and will continue to require significant time and resources from management and other personnel. As a result, management was unable, without incurring unreasonable effort or expense to conduct an assessment of our internal control over financial reporting as of December 31, 2021. Accordingly, we are excluding management's report on internal control over financial reporting pursuant to Section 215.02 of the SEC Division of Corporation Finance's Regulation S-K Compliance &amp; Disclosure Interpretations.</w:t>
      </w:r>
    </w:p>
    <w:p>
      <w:pPr>
        <w:spacing w:after="0" w:line="352" w:lineRule="exact"/>
        <w:rPr>
          <w:sz w:val="20"/>
          <w:szCs w:val="20"/>
          <w:color w:val="auto"/>
        </w:rPr>
      </w:pPr>
    </w:p>
    <w:p>
      <w:pPr>
        <w:ind w:left="300" w:right="699"/>
        <w:spacing w:after="0" w:line="282" w:lineRule="auto"/>
        <w:rPr>
          <w:sz w:val="20"/>
          <w:szCs w:val="20"/>
          <w:color w:val="auto"/>
        </w:rPr>
      </w:pPr>
      <w:r>
        <w:rPr>
          <w:rFonts w:ascii="Arial" w:cs="Arial" w:eastAsia="Arial" w:hAnsi="Arial"/>
          <w:sz w:val="18"/>
          <w:szCs w:val="18"/>
          <w:b w:val="1"/>
          <w:bCs w:val="1"/>
          <w:color w:val="auto"/>
        </w:rPr>
        <w:t>Limitations on Effectiveness of Disclosure Controls and Procedures and Internal Controls over Financial Reporting</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and internal control over financial reporting must reflect the fact that there are resource constraints and that management is required to apply judgment in evaluating the benefits of possible controls and procedures relative to their costs.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3" w:name="page74"/>
    <w:bookmarkEnd w:id="7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is one of the oldest and largest marketplace and technology solutions providers exclusively servicing the cannabis industry, primarily consumers, retailers and brands in the United States state-legal and Canadian cannabis markets. Our business consists of our commerce-driven marketplace, Weedmaps, and our monthly subscription software offering, WM Business. Our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As of December 31, 2021, we had over 15 million monthly active users on our marketplace. We believe the size of our user base and the frequency of consumption of cannabis of that user base is highly valuable to our clients and results in clients paying for our services. WM Business, our subscription package, is a comprehensive set of eCommerce and compliance software solutions catered towards cannabis retailers, delivery services and brands where clients receive access to a standard listing page and our suite of software solutions, including WM Orders, WM Dispatch, WM Store, WM Dashboard, our integrations and API platform, as well as access to our WM Retail and WM Exchange products, where available. We charge a monthly fee to clients for access to our WM Business subscription package and then offer other add-on products for additional fees, including our featured listings and our Sprout (customer relationship management) and Cannveya (delivery and logistics software) solutions. We sell our WM Business offering in the United States, currently offer some of our WM Business solutions in Canada and have a limited number of non-monetized listings in several other countries, including Austria, Germany, the Netherlands, Spain and Switzerland. We operate in the United States, Canada, and other foreign jurisdictions where medical and/or adult cannabis use is legal under state or applicable national law. We are headquartered in Irvine, California.</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WM Technology’s Product and Solution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180340</wp:posOffset>
            </wp:positionV>
            <wp:extent cx="5280660" cy="27686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28066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were founded in 2008 and operate a leading online marketplace with a comprehensive set of eCommerce and compliance software solutions sold to retailers and brands in the U.S. state-legal and Canadian cannabis markets. The Company’s mission is to power a transparent and inclusive global cannabis economy. We address the challenges facing both consumers seeking to understand cannabis products and businesses who serve cannabis users in a legally compliant fashion with our Weedmaps marketplace and WM Business software solutions. Over the past 13 years, we have grown the Weedmaps marketplace to become a premier destination for cannabis consumers to discover and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4" w:name="page75"/>
    <w:bookmarkEnd w:id="7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browse information regarding cannabis and cannabis products, permitting product discovery and order-ahead for pickup or delivery by participating retailers. WM Business is a set of eCommerce-enablement tools designed to help our retailer and brand clients get the best out of their Weedmaps experience, while creating labor efficiency and managing their compliance needs.</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Arial" w:cs="Arial" w:eastAsia="Arial" w:hAnsi="Arial"/>
          <w:sz w:val="17"/>
          <w:szCs w:val="17"/>
          <w:color w:val="auto"/>
        </w:rPr>
        <w:t>The state-legal cannabis industry in the United States has grown consistently in recent years and is expected to double between 2020 and 2025 (according to Arcview Market Research/BDS Analytics</w:t>
      </w:r>
      <w:r>
        <w:rPr>
          <w:rFonts w:ascii="Arial" w:cs="Arial" w:eastAsia="Arial" w:hAnsi="Arial"/>
          <w:sz w:val="28"/>
          <w:szCs w:val="28"/>
          <w:color w:val="auto"/>
          <w:vertAlign w:val="superscript"/>
        </w:rPr>
        <w:t>12</w:t>
      </w:r>
      <w:r>
        <w:rPr>
          <w:rFonts w:ascii="Arial" w:cs="Arial" w:eastAsia="Arial" w:hAnsi="Arial"/>
          <w:sz w:val="17"/>
          <w:szCs w:val="17"/>
          <w:color w:val="auto"/>
        </w:rPr>
        <w:t>), with 91% of U.S. adults now in support having legal access to medical and/or adult-use cannabis. Despite these expectations of growth, the regulated cannabis market in the United States is still nascent and fragmented, with significant challenges facing both consumers seeking to understand cannabis and the cannabis industry and businesses seeking to effectively market to cannabis consumers as well as compliantly manage their operations. Cannabis users within the United States represent less than 13% of the adult population as of December 31, 2020, with those consuming at least one time a month representing an even smaller percentage, according to the National Survey on Drug Use and Health estimates. As of December 31, 2021, there were approximately 11,700 retail licenses across U.S. and Canadian markets with medical and/or adult-use regulations in place, which is an effective retail density of approximately one retail license per 22,000 residents across these markets in the aggregate, based on data available from individual governmental cannabis license databases, U.S. Census Bureau estimates and Statistics Canada for both licenses and population.</w:t>
      </w:r>
    </w:p>
    <w:p>
      <w:pPr>
        <w:spacing w:after="0" w:line="89"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addition to these nascent consumer and business dynamics, cannabis itself is a highly complex, highly regulated and non-shelf stable consumer good spanning hundreds of strains and a growing set of form factors available for consumption across flower, pre-rolls, vapes, edibles, tinctures, and concentrates. Despite these complexities, consumers seeking information regarding cannabis still expect the same ease of product discovery and price comparison across multiple channels, and transparency of information from cannabis businesses that they expect from other retailers or brands. These consumer expectations, coupled with the lack of normalized product information in the industry in addition to the unique attributes of cannabis as a nascent and highly regulated consumer product, create significant challenges for retailers and brands who serve cannabis users. Retailers and brands must meet these consumer expectations and provide omni-channel engagement opportunities with the same level of (i) service, (ii) richness of product information, (iii) ability to compare prices, and (iv) ease of product and brand discovery that consumers would receive when researching other consumer product categories. Further, brands are limited in their ability to market and sell directly and need to find ways to communicate to consumers. At the same time, these businesses must comply with a rapidly evolving legal and regulatory landscape that differs by state and across cities and counties within each state, creating challenges in the ability to scale in a capital-efficient way.</w:t>
      </w:r>
    </w:p>
    <w:p>
      <w:pPr>
        <w:spacing w:after="0" w:line="63"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Although we began as a marketplace, over the past few years, we have developed and launched several SaaS solutions for our retailer and brand clients. These solutions now comprise an integrated platform for retailers and brands, which we call “WM Business”. WM Business is a set of e-commerce enablement tools designed to help our retailer and brand clients get the best out of their Weedmaps experience, while creating labor efficiency and managing their compliance needs, which can include, depending on each state’s regulations, inventory management, separating sales to medical versus recreational users, product dollar limits in delivery vehicles and GPS tracking of delivery fleet.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marketplace), (iii) logistics software such as driver apps and fleet-tracking tools to permit legal compliance with state delivery regulations, (iv) customer relationship management software, (v) access to our application program interface (“API”), and integrations platform for real-time connectivity between WM Business and to a point-of-sale system (“POS”) to streamline workflows, and promoting compliance through accuracy (vi) analytics dashboards, (vii) a WM-owned point-of-sale system (where available) and (viii) access to our online</w:t>
      </w:r>
    </w:p>
    <w:p>
      <w:pPr>
        <w:spacing w:after="0" w:line="13" w:lineRule="exact"/>
        <w:rPr>
          <w:sz w:val="20"/>
          <w:szCs w:val="20"/>
          <w:color w:val="auto"/>
        </w:rPr>
      </w:pPr>
    </w:p>
    <w:p>
      <w:pPr>
        <w:ind w:left="460" w:hanging="168"/>
        <w:spacing w:after="0"/>
        <w:tabs>
          <w:tab w:leader="none" w:pos="460" w:val="left"/>
        </w:tabs>
        <w:numPr>
          <w:ilvl w:val="0"/>
          <w:numId w:val="33"/>
        </w:numPr>
        <w:rPr>
          <w:rFonts w:ascii="Arial" w:cs="Arial" w:eastAsia="Arial" w:hAnsi="Arial"/>
          <w:sz w:val="22"/>
          <w:szCs w:val="22"/>
          <w:color w:val="auto"/>
          <w:vertAlign w:val="superscript"/>
        </w:rPr>
      </w:pPr>
      <w:r>
        <w:rPr>
          <w:rFonts w:ascii="Arial" w:cs="Arial" w:eastAsia="Arial" w:hAnsi="Arial"/>
          <w:sz w:val="14"/>
          <w:szCs w:val="14"/>
          <w:color w:val="auto"/>
        </w:rPr>
        <w:t>Arcview Market Research/BDS Analytics - The State of Legal Cannabis Markets, 8th Edition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5" w:name="page76"/>
    <w:bookmarkEnd w:id="7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wholesale exchange marketplace to browse brand catalogs and efficiently identify brands to obtain inventory from (and review license information and certificates of analysis, among other compliance features). We also offer a growing set of offerings for brands to reach consumers and retailers as well as manage their brand catalog information.</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WM Business solution is sold as a monthly subscription package. We also offer several upsell and add-on products that allow businesses to have more prominent placement on the Weedmaps marketplace either through featured listings, display ads or promoted deal offerings. Additionally, we have CRM, logistics and fulfillment software and driver app solutions available as add-on solutions. We sell our WM Business offerings in the United States, currently sell a subset of them in Canada, and we have a limited number of non-monetized listings in several other countries including Austria, Germany, the Netherlands, Spain, and Switzerland. As of December 31, 2021, we actively operated in over 20 U.S. states and territories that have adult-use and/or medical-use regulations in place. We define actively operated markets as those U.S. states or territories with greater than $1,000 monthly recurring revenue.</w:t>
      </w:r>
    </w:p>
    <w:p>
      <w:pPr>
        <w:spacing w:after="0" w:line="8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As we continue to expand the presence and increase the number of consumers on the Weedmaps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While the cannabis industry is still in the early innings of what could be decades of growth, we have established a leading position and a recognized brand given our 13-year operating history. Over the coming years, we plan on expanding our solutions and service offerings.</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Challenges in Our End-Markets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Despite cannabis being a large and growing sector in the U.S., we believe that cannabis is unlike many other consumer goods and retail categories for a number of reasons:</w:t>
      </w:r>
    </w:p>
    <w:p>
      <w:pPr>
        <w:spacing w:after="0" w:line="62" w:lineRule="exact"/>
        <w:rPr>
          <w:sz w:val="20"/>
          <w:szCs w:val="20"/>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as a regulated industry is still in a nascent stage of development.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Cannabis users are less than 13% of the U.S. adult population today without a “typical” user profile.</w:t>
      </w:r>
    </w:p>
    <w:p>
      <w:pPr>
        <w:spacing w:after="0" w:line="128" w:lineRule="exact"/>
        <w:rPr>
          <w:rFonts w:ascii="Arial" w:cs="Arial" w:eastAsia="Arial" w:hAnsi="Arial"/>
          <w:sz w:val="17"/>
          <w:szCs w:val="17"/>
          <w:color w:val="auto"/>
        </w:rPr>
      </w:pPr>
    </w:p>
    <w:p>
      <w:pPr>
        <w:ind w:left="1000" w:hanging="348"/>
        <w:spacing w:after="0"/>
        <w:tabs>
          <w:tab w:leader="none" w:pos="10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Regulations governing cannabis are complex and vary state-by-state and by city and county within states.</w:t>
      </w:r>
    </w:p>
    <w:p>
      <w:pPr>
        <w:spacing w:after="0" w:line="140" w:lineRule="exact"/>
        <w:rPr>
          <w:rFonts w:ascii="Arial" w:cs="Arial" w:eastAsia="Arial" w:hAnsi="Arial"/>
          <w:sz w:val="16"/>
          <w:szCs w:val="16"/>
          <w:color w:val="auto"/>
        </w:rPr>
      </w:pPr>
    </w:p>
    <w:p>
      <w:pPr>
        <w:ind w:left="1000" w:right="319" w:hanging="348"/>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has wide variance in characteristics that make it complex for consumers to make an informed purchase decision.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Cannabis is a perishable good with a lack of product homogeneity.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Brands are only in the early innings of establishing a consumer presence.</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Competition with the illicit market is still an issue, particularly in states like California.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6" w:name="page77"/>
    <w:bookmarkEnd w:id="7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Our solutions are designed to address these challenges facing cannabis consumers and businesses. The Weedmaps marketplace allows cannabis users to search for and browse cannabis products from retailers and brands, and ultimately reserve products from certain local retailers, in a manner similar to other technology platforms with breadth and depth of product, brand, and retailer selection (although confirmation of orders and processing of payments only occur outside the Weedmaps marketplace through third-party service providers directly by our clients). With the development of our WM Business SaaS solution, we offer an end-to-end platform for licensed cannabis retailers to comply with state law. We sell a monthly subscription offering as well as upsell and add-on offerings to licensed clients, which include both dispensaries, delivery services and brands. Our current solutions include:</w:t>
      </w:r>
    </w:p>
    <w:p>
      <w:pPr>
        <w:spacing w:after="0" w:line="61" w:lineRule="exact"/>
        <w:rPr>
          <w:sz w:val="20"/>
          <w:szCs w:val="20"/>
          <w:color w:val="auto"/>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WM Business subscription offering. </w:t>
      </w:r>
      <w:r>
        <w:rPr>
          <w:rFonts w:ascii="Arial" w:cs="Arial" w:eastAsia="Arial" w:hAnsi="Arial"/>
          <w:sz w:val="18"/>
          <w:szCs w:val="18"/>
          <w:color w:val="auto"/>
        </w:rPr>
        <w:t>Our WM Business monthly subscription package consists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solutions, the availability of which depends on the client’s market:</w:t>
      </w:r>
    </w:p>
    <w:p>
      <w:pPr>
        <w:spacing w:after="0" w:line="21" w:lineRule="exact"/>
        <w:rPr>
          <w:rFonts w:ascii="Arial" w:cs="Arial" w:eastAsia="Arial" w:hAnsi="Arial"/>
          <w:sz w:val="18"/>
          <w:szCs w:val="18"/>
          <w:color w:val="auto"/>
        </w:rPr>
      </w:pPr>
    </w:p>
    <w:p>
      <w:pPr>
        <w:jc w:val="both"/>
        <w:ind w:left="1360" w:right="319" w:hanging="348"/>
        <w:spacing w:after="0" w:line="238"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WM Pages</w:t>
      </w:r>
      <w:r>
        <w:rPr>
          <w:rFonts w:ascii="Arial" w:cs="Arial" w:eastAsia="Arial" w:hAnsi="Arial"/>
          <w:sz w:val="18"/>
          <w:szCs w:val="18"/>
          <w:color w:val="auto"/>
        </w:rPr>
        <w:t>. Listing page with product menu, which allows clients to disclose their license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hours of operation, contact information, discount policies, and other information that may be required under applicable state law.</w:t>
      </w:r>
    </w:p>
    <w:p>
      <w:pPr>
        <w:spacing w:after="0" w:line="54"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35"/>
        </w:numPr>
        <w:rPr>
          <w:rFonts w:ascii="Arial" w:cs="Arial" w:eastAsia="Arial" w:hAnsi="Arial"/>
          <w:sz w:val="21"/>
          <w:szCs w:val="21"/>
          <w:color w:val="auto"/>
          <w:vertAlign w:val="superscript"/>
        </w:rPr>
      </w:pPr>
      <w:r>
        <w:rPr>
          <w:rFonts w:ascii="Arial" w:cs="Arial" w:eastAsia="Arial" w:hAnsi="Arial"/>
          <w:sz w:val="17"/>
          <w:szCs w:val="17"/>
          <w:i w:val="1"/>
          <w:iCs w:val="1"/>
          <w:color w:val="auto"/>
        </w:rPr>
        <w:t xml:space="preserve">WM Orders. </w:t>
      </w:r>
      <w:r>
        <w:rPr>
          <w:rFonts w:ascii="Arial" w:cs="Arial" w:eastAsia="Arial" w:hAnsi="Arial"/>
          <w:sz w:val="17"/>
          <w:szCs w:val="17"/>
          <w:color w:val="auto"/>
        </w:rPr>
        <w:t>Transmission of requests for reservation of products for pick-up by consumers or</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to consumers, allowing retailers to confirm product availability (and to complete orders and process payments - both of which only occur outside the Weedmaps marketplace). Weedmaps serves only as a portal, passing a consumer’s inquiry to the dispensary. After a dispensary receives the order request from the consumer, the dispensary and the consumer can continue to communicate, adjust items in the request, and handle any stock issues, prior to and while the dispensary processes and fulfills the order.</w:t>
      </w:r>
    </w:p>
    <w:p>
      <w:pPr>
        <w:spacing w:after="0" w:line="49" w:lineRule="exact"/>
        <w:rPr>
          <w:rFonts w:ascii="Arial" w:cs="Arial" w:eastAsia="Arial" w:hAnsi="Arial"/>
          <w:sz w:val="21"/>
          <w:szCs w:val="21"/>
          <w:color w:val="auto"/>
          <w:vertAlign w:val="superscript"/>
        </w:rPr>
      </w:pPr>
    </w:p>
    <w:p>
      <w:pPr>
        <w:jc w:val="both"/>
        <w:ind w:left="1360" w:right="319" w:hanging="348"/>
        <w:spacing w:after="0" w:line="241"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Dispatch. </w:t>
      </w:r>
      <w:r>
        <w:rPr>
          <w:rFonts w:ascii="Arial" w:cs="Arial" w:eastAsia="Arial" w:hAnsi="Arial"/>
          <w:sz w:val="18"/>
          <w:szCs w:val="18"/>
          <w:color w:val="auto"/>
        </w:rPr>
        <w:t>Together with Cannveya (described below), WM Dispatch provides logistics and</w:t>
      </w:r>
      <w:r>
        <w:rPr>
          <w:rFonts w:ascii="Arial" w:cs="Arial" w:eastAsia="Arial" w:hAnsi="Arial"/>
          <w:sz w:val="18"/>
          <w:szCs w:val="18"/>
          <w:i w:val="1"/>
          <w:iCs w:val="1"/>
          <w:color w:val="auto"/>
        </w:rPr>
        <w:t xml:space="preserve"> </w:t>
      </w:r>
      <w:r>
        <w:rPr>
          <w:rFonts w:ascii="Arial" w:cs="Arial" w:eastAsia="Arial" w:hAnsi="Arial"/>
          <w:sz w:val="18"/>
          <w:szCs w:val="18"/>
          <w:color w:val="auto"/>
        </w:rPr>
        <w:t>fulfillment software and driver apps, which provide tools that can be used for legally compliant delivery and tracking of product reserved online through WM Orders and real-time routing and tracking of the state-licensed delivery fleet.</w:t>
      </w:r>
    </w:p>
    <w:p>
      <w:pPr>
        <w:spacing w:after="0" w:line="53" w:lineRule="exact"/>
        <w:rPr>
          <w:rFonts w:ascii="Arial" w:cs="Arial" w:eastAsia="Arial" w:hAnsi="Arial"/>
          <w:sz w:val="22"/>
          <w:szCs w:val="22"/>
          <w:color w:val="auto"/>
          <w:vertAlign w:val="superscript"/>
        </w:rPr>
      </w:pPr>
    </w:p>
    <w:p>
      <w:pPr>
        <w:ind w:left="1360" w:right="319" w:hanging="348"/>
        <w:spacing w:after="0" w:line="232"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WM Dashboard. </w:t>
      </w:r>
      <w:r>
        <w:rPr>
          <w:rFonts w:ascii="Arial" w:cs="Arial" w:eastAsia="Arial" w:hAnsi="Arial"/>
          <w:sz w:val="18"/>
          <w:szCs w:val="18"/>
          <w:color w:val="auto"/>
        </w:rPr>
        <w:t>Insights dashboard, which provides data and analytics on user engagement and</w:t>
      </w:r>
      <w:r>
        <w:rPr>
          <w:rFonts w:ascii="Arial" w:cs="Arial" w:eastAsia="Arial" w:hAnsi="Arial"/>
          <w:sz w:val="18"/>
          <w:szCs w:val="18"/>
          <w:i w:val="1"/>
          <w:iCs w:val="1"/>
          <w:color w:val="auto"/>
        </w:rPr>
        <w:t xml:space="preserve"> </w:t>
      </w:r>
      <w:r>
        <w:rPr>
          <w:rFonts w:ascii="Arial" w:cs="Arial" w:eastAsia="Arial" w:hAnsi="Arial"/>
          <w:sz w:val="18"/>
          <w:szCs w:val="18"/>
          <w:color w:val="auto"/>
        </w:rPr>
        <w:t>traffic trends to a client’s listing page.</w:t>
      </w:r>
    </w:p>
    <w:p>
      <w:pPr>
        <w:spacing w:after="0" w:line="54" w:lineRule="exact"/>
        <w:rPr>
          <w:rFonts w:ascii="Arial" w:cs="Arial" w:eastAsia="Arial" w:hAnsi="Arial"/>
          <w:sz w:val="22"/>
          <w:szCs w:val="22"/>
          <w:color w:val="auto"/>
          <w:vertAlign w:val="superscript"/>
        </w:rPr>
      </w:pPr>
    </w:p>
    <w:p>
      <w:pPr>
        <w:jc w:val="both"/>
        <w:ind w:left="1360" w:right="319" w:hanging="348"/>
        <w:spacing w:after="0" w:line="283" w:lineRule="auto"/>
        <w:tabs>
          <w:tab w:leader="none" w:pos="1360" w:val="left"/>
        </w:tabs>
        <w:numPr>
          <w:ilvl w:val="1"/>
          <w:numId w:val="35"/>
        </w:numPr>
        <w:rPr>
          <w:rFonts w:ascii="Arial" w:cs="Arial" w:eastAsia="Arial" w:hAnsi="Arial"/>
          <w:sz w:val="19"/>
          <w:szCs w:val="19"/>
          <w:color w:val="auto"/>
          <w:vertAlign w:val="superscript"/>
        </w:rPr>
      </w:pPr>
      <w:r>
        <w:rPr>
          <w:rFonts w:ascii="Arial" w:cs="Arial" w:eastAsia="Arial" w:hAnsi="Arial"/>
          <w:sz w:val="16"/>
          <w:szCs w:val="16"/>
          <w:i w:val="1"/>
          <w:iCs w:val="1"/>
          <w:color w:val="auto"/>
        </w:rPr>
        <w:t xml:space="preserve">WM Store. </w:t>
      </w:r>
      <w:r>
        <w:rPr>
          <w:rFonts w:ascii="Arial" w:cs="Arial" w:eastAsia="Arial" w:hAnsi="Arial"/>
          <w:sz w:val="16"/>
          <w:szCs w:val="16"/>
          <w:color w:val="auto"/>
        </w:rPr>
        <w:t>Orders and menu embed, which allows retailers and brands to import their Weedmaps</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menu or product reservation functionality to their own white-labeled WM Store site or separately owned third party sites in a labor-efficient way to manage their online presence, inventory, and compliance workflows both on weedmaps.com and their separately branded sites. While WM Store permits consumers to reserve products, confirmation of product availability, final order entry, order fulfillment and processing of payments all take place outside of the Weedmaps marketplace.</w:t>
      </w:r>
    </w:p>
    <w:p>
      <w:pPr>
        <w:spacing w:after="0" w:line="34" w:lineRule="exact"/>
        <w:rPr>
          <w:rFonts w:ascii="Arial" w:cs="Arial" w:eastAsia="Arial" w:hAnsi="Arial"/>
          <w:sz w:val="19"/>
          <w:szCs w:val="19"/>
          <w:color w:val="auto"/>
          <w:vertAlign w:val="superscript"/>
        </w:rPr>
      </w:pPr>
    </w:p>
    <w:p>
      <w:pPr>
        <w:jc w:val="both"/>
        <w:ind w:left="1360" w:right="319" w:hanging="348"/>
        <w:spacing w:after="0" w:line="241" w:lineRule="auto"/>
        <w:tabs>
          <w:tab w:leader="none" w:pos="1360" w:val="left"/>
        </w:tabs>
        <w:numPr>
          <w:ilvl w:val="1"/>
          <w:numId w:val="35"/>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Integrations and APIs. </w:t>
      </w:r>
      <w:r>
        <w:rPr>
          <w:rFonts w:ascii="Arial" w:cs="Arial" w:eastAsia="Arial" w:hAnsi="Arial"/>
          <w:sz w:val="18"/>
          <w:szCs w:val="18"/>
          <w:color w:val="auto"/>
        </w:rPr>
        <w:t>A platform of integrations and API tools or bespoke solutioning to integrate a</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into the WM Technology ecosystem. This creates business efficiencies and improves the accuracy and timeliness of information across Weedmaps, creating a more positive experience for consumers and businesses.</w:t>
      </w:r>
    </w:p>
    <w:p>
      <w:pPr>
        <w:spacing w:after="0" w:line="53" w:lineRule="exact"/>
        <w:rPr>
          <w:rFonts w:ascii="Arial" w:cs="Arial" w:eastAsia="Arial" w:hAnsi="Arial"/>
          <w:sz w:val="22"/>
          <w:szCs w:val="22"/>
          <w:color w:val="auto"/>
          <w:vertAlign w:val="superscript"/>
        </w:rPr>
      </w:pPr>
    </w:p>
    <w:p>
      <w:pPr>
        <w:jc w:val="both"/>
        <w:ind w:left="1360" w:right="319" w:hanging="348"/>
        <w:spacing w:after="0" w:line="262" w:lineRule="auto"/>
        <w:tabs>
          <w:tab w:leader="none" w:pos="1360" w:val="left"/>
        </w:tabs>
        <w:numPr>
          <w:ilvl w:val="1"/>
          <w:numId w:val="35"/>
        </w:numPr>
        <w:rPr>
          <w:rFonts w:ascii="Arial" w:cs="Arial" w:eastAsia="Arial" w:hAnsi="Arial"/>
          <w:sz w:val="21"/>
          <w:szCs w:val="21"/>
          <w:color w:val="auto"/>
          <w:vertAlign w:val="superscript"/>
        </w:rPr>
      </w:pPr>
      <w:r>
        <w:rPr>
          <w:rFonts w:ascii="Arial" w:cs="Arial" w:eastAsia="Arial" w:hAnsi="Arial"/>
          <w:sz w:val="17"/>
          <w:szCs w:val="17"/>
          <w:color w:val="auto"/>
        </w:rPr>
        <w:t>In a limited number of U.S. markets, we offer WM Retail, our retail POS system, which provides inventory management and track-and-trace compliance reporting functionality along with built-in integrations with the listing page product menu and digital product reservation functionality to stream-line workflows, and WM Exchange, our wholesale online exchange, which allows retailers to browse brand catalogs and identify brands to obtain inventory from and brands to manage their customer relationships and wholesale operations.. We no longer plan to expand the availability of these products into additional states, but instead plan to focus POS-related and B2B-related efforts on our API integrations with third-party POS providers, which we believe make the Weedmaps marketplace more attractive for retailers who use a third party POS.</w:t>
      </w:r>
    </w:p>
    <w:p>
      <w:pPr>
        <w:spacing w:after="0" w:line="40" w:lineRule="exact"/>
        <w:rPr>
          <w:rFonts w:ascii="Arial" w:cs="Arial" w:eastAsia="Arial" w:hAnsi="Arial"/>
          <w:sz w:val="21"/>
          <w:szCs w:val="21"/>
          <w:color w:val="auto"/>
          <w:vertAlign w:val="superscript"/>
        </w:rPr>
      </w:pPr>
    </w:p>
    <w:p>
      <w:pPr>
        <w:ind w:left="1000" w:right="319" w:hanging="348"/>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offerings for subscription clients. </w:t>
      </w:r>
      <w:r>
        <w:rPr>
          <w:rFonts w:ascii="Arial" w:cs="Arial" w:eastAsia="Arial" w:hAnsi="Arial"/>
          <w:sz w:val="18"/>
          <w:szCs w:val="18"/>
          <w:color w:val="auto"/>
        </w:rPr>
        <w:t>We offer several add-on and upsell solutions only to paying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subscription clients, including:</w:t>
      </w:r>
    </w:p>
    <w:p>
      <w:pPr>
        <w:sectPr>
          <w:pgSz w:w="11900" w:h="16838" w:orient="portrait"/>
          <w:cols w:equalWidth="0" w:num="1">
            <w:col w:w="9019"/>
          </w:cols>
          <w:pgMar w:left="1440" w:top="265" w:right="1440" w:bottom="1440" w:gutter="0" w:footer="0" w:header="0"/>
        </w:sectPr>
      </w:pPr>
    </w:p>
    <w:p>
      <w:pPr>
        <w:spacing w:after="0" w:line="4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180"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Featured listings on our weedmaps.com marketplace; and</w:t>
      </w:r>
    </w:p>
    <w:p>
      <w:pPr>
        <w:spacing w:after="0" w:line="77"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color w:val="auto"/>
        </w:rPr>
        <w:t>Promoted deals, which allows retailers to showcase discounts (as is required by applicable law in some jurisdictions) and promotions on products to assist price-conscious consumers.</w:t>
      </w:r>
    </w:p>
    <w:p>
      <w:pPr>
        <w:spacing w:after="0" w:line="170"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-1500505</wp:posOffset>
            </wp:positionH>
            <wp:positionV relativeFrom="paragraph">
              <wp:posOffset>126365</wp:posOffset>
            </wp:positionV>
            <wp:extent cx="6995160"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080" w:space="280"/>
            <w:col w:w="7659"/>
          </w:cols>
          <w:pgMar w:left="1440" w:top="265" w:right="1440" w:bottom="1440" w:gutter="0" w:footer="0" w:header="0"/>
          <w:type w:val="continuous"/>
        </w:sectPr>
      </w:pPr>
    </w:p>
    <w:bookmarkStart w:id="77" w:name="page78"/>
    <w:bookmarkEnd w:id="7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36"/>
        </w:numPr>
        <w:rPr>
          <w:rFonts w:ascii="Arial" w:cs="Arial" w:eastAsia="Arial" w:hAnsi="Arial"/>
          <w:sz w:val="15"/>
          <w:szCs w:val="15"/>
          <w:color w:val="auto"/>
        </w:rPr>
      </w:pPr>
      <w:r>
        <w:rPr>
          <w:rFonts w:ascii="Arial" w:cs="Arial" w:eastAsia="Arial" w:hAnsi="Arial"/>
          <w:sz w:val="15"/>
          <w:szCs w:val="15"/>
          <w:b w:val="1"/>
          <w:bCs w:val="1"/>
          <w:i w:val="1"/>
          <w:iCs w:val="1"/>
          <w:color w:val="auto"/>
        </w:rPr>
        <w:t>Additional a la carte products.</w:t>
      </w:r>
    </w:p>
    <w:p>
      <w:pPr>
        <w:sectPr>
          <w:pgSz w:w="11900" w:h="16838" w:orient="portrait"/>
          <w:cols w:equalWidth="0" w:num="1">
            <w:col w:w="9019"/>
          </w:cols>
          <w:pgMar w:left="1440" w:top="265" w:right="1440" w:bottom="1440" w:gutter="0" w:footer="0" w:header="0"/>
        </w:sectPr>
      </w:pPr>
    </w:p>
    <w:p>
      <w:pPr>
        <w:spacing w:after="0" w:line="156"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020"/>
        <w:spacing w:after="0"/>
        <w:rPr>
          <w:sz w:val="20"/>
          <w:szCs w:val="20"/>
          <w:color w:val="auto"/>
        </w:rPr>
      </w:pPr>
      <w:r>
        <w:rPr>
          <w:rFonts w:ascii="Arial" w:cs="Arial" w:eastAsia="Arial" w:hAnsi="Arial"/>
          <w:sz w:val="9"/>
          <w:szCs w:val="9"/>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319"/>
        <w:spacing w:after="0" w:line="255" w:lineRule="auto"/>
        <w:rPr>
          <w:sz w:val="20"/>
          <w:szCs w:val="20"/>
          <w:color w:val="auto"/>
        </w:rPr>
      </w:pPr>
      <w:r>
        <w:rPr>
          <w:rFonts w:ascii="Arial" w:cs="Arial" w:eastAsia="Arial" w:hAnsi="Arial"/>
          <w:sz w:val="18"/>
          <w:szCs w:val="18"/>
          <w:i w:val="1"/>
          <w:iCs w:val="1"/>
          <w:color w:val="auto"/>
        </w:rPr>
        <w:t xml:space="preserve">Advertising solutions. </w:t>
      </w:r>
      <w:r>
        <w:rPr>
          <w:rFonts w:ascii="Arial" w:cs="Arial" w:eastAsia="Arial" w:hAnsi="Arial"/>
          <w:sz w:val="18"/>
          <w:szCs w:val="18"/>
          <w:color w:val="auto"/>
        </w:rPr>
        <w:t>We also provide several a la carte advertising solutions including banner ads</w:t>
      </w:r>
      <w:r>
        <w:rPr>
          <w:rFonts w:ascii="Arial" w:cs="Arial" w:eastAsia="Arial" w:hAnsi="Arial"/>
          <w:sz w:val="18"/>
          <w:szCs w:val="18"/>
          <w:i w:val="1"/>
          <w:iCs w:val="1"/>
          <w:color w:val="auto"/>
        </w:rPr>
        <w:t xml:space="preserve"> </w:t>
      </w:r>
      <w:r>
        <w:rPr>
          <w:rFonts w:ascii="Arial" w:cs="Arial" w:eastAsia="Arial" w:hAnsi="Arial"/>
          <w:sz w:val="18"/>
          <w:szCs w:val="18"/>
          <w:color w:val="auto"/>
        </w:rPr>
        <w:t>and promotion tile cards on our Weedmaps marketplace, as well as banner ads that can be tied to keyword searches. These products provide clients with targeted ad solutions in highly visible slots across our digital surfaces. Additionally, in the fourth quarter of 2021, we began testing a multi-channel media offering product to our clients and the development of this product will continue into 2022.</w:t>
      </w:r>
    </w:p>
    <w:p>
      <w:pPr>
        <w:spacing w:after="0" w:line="84" w:lineRule="exact"/>
        <w:rPr>
          <w:sz w:val="20"/>
          <w:szCs w:val="20"/>
          <w:color w:val="auto"/>
        </w:rPr>
      </w:pPr>
    </w:p>
    <w:p>
      <w:pPr>
        <w:jc w:val="both"/>
        <w:ind w:right="319"/>
        <w:spacing w:after="0" w:line="311" w:lineRule="auto"/>
        <w:rPr>
          <w:sz w:val="20"/>
          <w:szCs w:val="20"/>
          <w:color w:val="auto"/>
        </w:rPr>
      </w:pPr>
      <w:r>
        <w:rPr>
          <w:rFonts w:ascii="Arial" w:cs="Arial" w:eastAsia="Arial" w:hAnsi="Arial"/>
          <w:sz w:val="16"/>
          <w:szCs w:val="16"/>
          <w:i w:val="1"/>
          <w:iCs w:val="1"/>
          <w:color w:val="auto"/>
        </w:rPr>
        <w:t xml:space="preserve">Sprout. </w:t>
      </w:r>
      <w:r>
        <w:rPr>
          <w:rFonts w:ascii="Arial" w:cs="Arial" w:eastAsia="Arial" w:hAnsi="Arial"/>
          <w:sz w:val="16"/>
          <w:szCs w:val="16"/>
          <w:color w:val="auto"/>
        </w:rPr>
        <w:t>In September 2021, we acquired certain assets of the Sprout business (“Sprout”). Sprout is a</w:t>
      </w:r>
      <w:r>
        <w:rPr>
          <w:rFonts w:ascii="Arial" w:cs="Arial" w:eastAsia="Arial" w:hAnsi="Arial"/>
          <w:sz w:val="16"/>
          <w:szCs w:val="16"/>
          <w:i w:val="1"/>
          <w:iCs w:val="1"/>
          <w:color w:val="auto"/>
        </w:rPr>
        <w:t xml:space="preserve"> </w:t>
      </w:r>
      <w:r>
        <w:rPr>
          <w:rFonts w:ascii="Arial" w:cs="Arial" w:eastAsia="Arial" w:hAnsi="Arial"/>
          <w:sz w:val="16"/>
          <w:szCs w:val="16"/>
          <w:color w:val="auto"/>
        </w:rPr>
        <w:t>cloud-based customer relationship management (“CRM”) and marketing platform with the ability to run text messaging, email, and loyalty campaigns to retarget and reengage cannabis consumers.</w:t>
      </w:r>
    </w:p>
    <w:p>
      <w:pPr>
        <w:spacing w:after="0" w:line="41" w:lineRule="exact"/>
        <w:rPr>
          <w:sz w:val="20"/>
          <w:szCs w:val="20"/>
          <w:color w:val="auto"/>
        </w:rPr>
      </w:pPr>
    </w:p>
    <w:p>
      <w:pPr>
        <w:sectPr>
          <w:pgSz w:w="11900" w:h="16838" w:orient="portrait"/>
          <w:cols w:equalWidth="0" w:num="2">
            <w:col w:w="1080" w:space="280"/>
            <w:col w:w="7659"/>
          </w:cols>
          <w:pgMar w:left="1440" w:top="265" w:right="1440" w:bottom="1440" w:gutter="0" w:footer="0" w:header="0"/>
          <w:type w:val="continuous"/>
        </w:sectPr>
      </w:pPr>
    </w:p>
    <w:p>
      <w:pPr>
        <w:jc w:val="both"/>
        <w:ind w:left="1360" w:right="319" w:hanging="348"/>
        <w:spacing w:after="0" w:line="243" w:lineRule="auto"/>
        <w:tabs>
          <w:tab w:leader="none" w:pos="1360" w:val="left"/>
        </w:tabs>
        <w:numPr>
          <w:ilvl w:val="0"/>
          <w:numId w:val="37"/>
        </w:numPr>
        <w:rPr>
          <w:rFonts w:ascii="Arial" w:cs="Arial" w:eastAsia="Arial" w:hAnsi="Arial"/>
          <w:sz w:val="22"/>
          <w:szCs w:val="22"/>
          <w:color w:val="auto"/>
          <w:vertAlign w:val="superscript"/>
        </w:rPr>
      </w:pPr>
      <w:r>
        <w:rPr>
          <w:rFonts w:ascii="Arial" w:cs="Arial" w:eastAsia="Arial" w:hAnsi="Arial"/>
          <w:sz w:val="18"/>
          <w:szCs w:val="18"/>
          <w:i w:val="1"/>
          <w:iCs w:val="1"/>
          <w:color w:val="auto"/>
        </w:rPr>
        <w:t xml:space="preserve">Cannveya. </w:t>
      </w:r>
      <w:r>
        <w:rPr>
          <w:rFonts w:ascii="Arial" w:cs="Arial" w:eastAsia="Arial" w:hAnsi="Arial"/>
          <w:sz w:val="18"/>
          <w:szCs w:val="18"/>
          <w:color w:val="auto"/>
        </w:rPr>
        <w:t>In September 2021, we acquired Transport Logistics Holding Company, LLC, which is the</w:t>
      </w:r>
      <w:r>
        <w:rPr>
          <w:rFonts w:ascii="Arial" w:cs="Arial" w:eastAsia="Arial" w:hAnsi="Arial"/>
          <w:sz w:val="18"/>
          <w:szCs w:val="18"/>
          <w:i w:val="1"/>
          <w:iCs w:val="1"/>
          <w:color w:val="auto"/>
        </w:rPr>
        <w:t xml:space="preserve"> </w:t>
      </w:r>
      <w:r>
        <w:rPr>
          <w:rFonts w:ascii="Arial" w:cs="Arial" w:eastAsia="Arial" w:hAnsi="Arial"/>
          <w:sz w:val="18"/>
          <w:szCs w:val="18"/>
          <w:color w:val="auto"/>
        </w:rPr>
        <w:t>parent company to Cannveya. Together with WM Dispatch, these services provide logistics and fulfillment software and driver apps, which provide tools that can be used for legally compliant delivery and tracking of product reserved online through WM Orders and real-time routing and tracking of the state-licensed delivery fleet.</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Since our founding in 2008, we have grown to become a leading provider of technology solutions to the cannabis industry by leveraging our competitive strengths, including:</w:t>
      </w:r>
    </w:p>
    <w:p>
      <w:pPr>
        <w:spacing w:after="0" w:line="62"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b w:val="1"/>
          <w:bCs w:val="1"/>
          <w:i w:val="1"/>
          <w:iCs w:val="1"/>
          <w:color w:val="auto"/>
        </w:rPr>
        <w:t xml:space="preserve">Long History as a Technology Leader Serving the Cannabis Industry. </w:t>
      </w:r>
      <w:r>
        <w:rPr>
          <w:rFonts w:ascii="Arial" w:cs="Arial" w:eastAsia="Arial" w:hAnsi="Arial"/>
          <w:sz w:val="17"/>
          <w:szCs w:val="17"/>
          <w:color w:val="auto"/>
        </w:rPr>
        <w:t>Founded in 2008, we have a long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history and established relationships with cannabis businesses and consumers across the United States. This has given us several competitive strengths, such as scale, attractive operating margins, and local insights into emerging consumer and business trends across many markets. Our policy and government relations expertise allows us to anticipate and react quickly to changes in cannabis regulations and informs all aspects of our business, including our product ideation, development and go-to-market strategies.</w:t>
      </w:r>
    </w:p>
    <w:p>
      <w:pPr>
        <w:spacing w:after="0" w:line="7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b w:val="1"/>
          <w:bCs w:val="1"/>
          <w:i w:val="1"/>
          <w:iCs w:val="1"/>
          <w:color w:val="auto"/>
        </w:rPr>
        <w:t xml:space="preserve">Largest Two-Sided Platform for Cannabis Businesses and Consumers. </w:t>
      </w:r>
      <w:r>
        <w:rPr>
          <w:rFonts w:ascii="Arial" w:cs="Arial" w:eastAsia="Arial" w:hAnsi="Arial"/>
          <w:sz w:val="16"/>
          <w:szCs w:val="16"/>
          <w:color w:val="auto"/>
        </w:rPr>
        <w:t>We estimate that approximately 55%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all licensed cannabis retailers across the U.S. markets are our paying clients on the platform as of December 31, 2021. As we continue to increase the number of users on our platform, we generate more engagements and more easily persuade our business clients to consolidate their service providers by switching to our value-priced WM Business bundled solution. As we continue to increase the number of businesses on our marketplace, we become a more compelling platform for users. As more businesses and users join the platform, we gain a richer trove of industry data to perform market research and assist in product development and improvement. The result is a self-reinforcing, mutually beneficial, two-sided network effect, which we believe is difficult to replicate.</w:t>
      </w:r>
    </w:p>
    <w:p>
      <w:pPr>
        <w:spacing w:after="0" w:line="5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b w:val="1"/>
          <w:bCs w:val="1"/>
          <w:i w:val="1"/>
          <w:iCs w:val="1"/>
          <w:color w:val="auto"/>
        </w:rPr>
        <w:t xml:space="preserve">The Only Fully-Integrated Business-in-a-Box SaaS Solution Specific to the Cannabis Industry. </w:t>
      </w:r>
      <w:r>
        <w:rPr>
          <w:rFonts w:ascii="Arial" w:cs="Arial" w:eastAsia="Arial" w:hAnsi="Arial"/>
          <w:sz w:val="16"/>
          <w:szCs w:val="16"/>
          <w:color w:val="auto"/>
        </w:rPr>
        <w:t>Our WM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is the industry’s only comprehensive business-in-a-box solution and incorporates embedded compliance functionality so that our clients comply with state law through integrated software solutions ranging from live menus, logistics and fulfillment, CRM, POS integrations, inventory management, and data and analytics. We believe we are the only platform servicing cannabis that combines both marketplace and software - most other technology providers offer single-point software solutions without the marketplace or marketplace without software. We believe we offer the only comprehensive software platform that allows cannabis retailers to reach their target audience, quickly and cost effectively, addressing a wide range of needs. Our platform also features self-service administrative functionality that enables clients to manage their listings page, including adding images, adjusting their menus, editing product information and responding to reviews as well as analyzing traffic trends.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Unique and Growing Data Asset. </w:t>
      </w:r>
      <w:r>
        <w:rPr>
          <w:rFonts w:ascii="Arial" w:cs="Arial" w:eastAsia="Arial" w:hAnsi="Arial"/>
          <w:sz w:val="18"/>
          <w:szCs w:val="18"/>
          <w:color w:val="auto"/>
        </w:rPr>
        <w:t>Given our established presence, scale, and the breadth of product offerings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provide us with a high volume of retail-level information and user insights, we have a growing and unique first-party data asset. Currently, the cannabis industry has few reliable sources of fulsome datasets. Our data gives us insights on local market trends and the shape of the consumer journey from exploration and discovery to point of direct interaction with retailers across multiple retailers, brands and products. As our network of clients and consumers continues to grow, our data set will become deeper and richer, increasing its value and our potential monetization opportunities.</w:t>
      </w:r>
    </w:p>
    <w:p>
      <w:pPr>
        <w:spacing w:after="0" w:line="8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b w:val="1"/>
          <w:bCs w:val="1"/>
          <w:i w:val="1"/>
          <w:iCs w:val="1"/>
          <w:color w:val="auto"/>
        </w:rPr>
        <w:t xml:space="preserve">Ability to Innovate Rapidly and Launch New Products Efficiently at Scale. </w:t>
      </w:r>
      <w:r>
        <w:rPr>
          <w:rFonts w:ascii="Arial" w:cs="Arial" w:eastAsia="Arial" w:hAnsi="Arial"/>
          <w:sz w:val="16"/>
          <w:szCs w:val="16"/>
          <w:color w:val="auto"/>
        </w:rPr>
        <w:t>We have an agile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innovation and deployment process. Our sales team frequently engages with our paid clients about the products they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8" w:name="page79"/>
    <w:bookmarkEnd w:id="7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use, as well as their business objectives and performance. We constantly strive to generate product ideas through this deep engagement with our clients, as well as empirical research. During the initial development phases, we test a proposed offering with relevant areas of our business such as sales, government relations and compliance, legal, marketing, and technology, and use the resulting cross-functional input to develop a clear business rationale and explicit articulation of the goals, client problems that need to be solved, compliance features that need to be incorporated, and potential product-market fit prior to the investment of developer time and company resources. We leverage reusable microservices architecture and modular technology that can be redeployed across multiple new offerings for quicker development cycles. This streamlined approach yields smaller initiatives requiring less investment, enabling us to deliver cost-effective product innovation at a rapid pace.</w:t>
      </w:r>
    </w:p>
    <w:p>
      <w:pPr>
        <w:spacing w:after="0" w:line="5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b w:val="1"/>
          <w:bCs w:val="1"/>
          <w:i w:val="1"/>
          <w:iCs w:val="1"/>
          <w:color w:val="auto"/>
        </w:rPr>
        <w:t xml:space="preserve">Capital-Efficient Business Model with Strong Cashflow Generation. </w:t>
      </w:r>
      <w:r>
        <w:rPr>
          <w:rFonts w:ascii="Arial" w:cs="Arial" w:eastAsia="Arial" w:hAnsi="Arial"/>
          <w:sz w:val="18"/>
          <w:szCs w:val="18"/>
          <w:color w:val="auto"/>
        </w:rPr>
        <w:t>We operate a cloud-based platform,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unlike other cannabis-related businesses, we require minimal physical footprint and are not directly exposed to fluctuations in product input costs. We do not require real estate or other significant capital outlays to enter new markets. Our offerings can be efficiently customized to new markets to facilitate expansion, which provides significant flexibility to scale and enter new markets with minimal investment. The capital-efficiency of our business model is evidenced by our robust margin profile and high level of EBITDA converting to free cash flow while achieving our growth.</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b w:val="1"/>
          <w:bCs w:val="1"/>
          <w:i w:val="1"/>
          <w:iCs w:val="1"/>
          <w:color w:val="auto"/>
        </w:rPr>
        <w:t xml:space="preserve">Operationally-Focused Management Team with Deep Experience. </w:t>
      </w:r>
      <w:r>
        <w:rPr>
          <w:rFonts w:ascii="Arial" w:cs="Arial" w:eastAsia="Arial" w:hAnsi="Arial"/>
          <w:sz w:val="17"/>
          <w:szCs w:val="17"/>
          <w:color w:val="auto"/>
        </w:rPr>
        <w:t>Our executive leadership team has over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100 years of cumulative professional experience spanning the technology, consumer, retail, legal and financial services industries, with a track record of operational execution and driving growth. Our Chief Executive Officer, Christopher Beals, established our government relations, legal and compliance functions, built-out the senior leadership team, and developed (and led the execution of) our “business-in-a-box” strategy. We believe our deep knowledge of our end-markets and broad-based operational expertise spanning several industry sectors provides a key competitive advantage in executing against our growth strategy.</w:t>
      </w: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As a leading marketplace and software platform, our goal is to not only grow our market share but to grow the entire market by influencing policy promoting wider access to licensed cannabis, educating consumers on how to shop for cannabis and providing licensed operators with the tools they need to access users and grow their businesses. However, given our share of cannabis consumers and businesses, we believe we are well-positioned to capitalize on underlying growth across our end-markets by executing against our strategy as follows:</w:t>
      </w:r>
    </w:p>
    <w:p>
      <w:pPr>
        <w:spacing w:after="0" w:line="53" w:lineRule="exact"/>
        <w:rPr>
          <w:sz w:val="20"/>
          <w:szCs w:val="20"/>
          <w:color w:val="auto"/>
        </w:rPr>
      </w:pPr>
    </w:p>
    <w:p>
      <w:pPr>
        <w:jc w:val="both"/>
        <w:ind w:left="1000" w:right="299" w:hanging="348"/>
        <w:spacing w:after="0" w:line="272"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Grow Our Two-Sided Marketplace. </w:t>
      </w:r>
      <w:r>
        <w:rPr>
          <w:rFonts w:ascii="Arial" w:cs="Arial" w:eastAsia="Arial" w:hAnsi="Arial"/>
          <w:sz w:val="17"/>
          <w:szCs w:val="17"/>
          <w:color w:val="auto"/>
        </w:rPr>
        <w:t>Our goal is to be the center of commerce for consumers seeking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cannabis. To support this goal, we intend to continue growing the number of consumers on our platform through original content that educates, entertains, facilitates discovery of new products, increases awareness of our platform and encourages repeat usage. As we grow our users and user engagements, we will continue to engage with our clients to demonstrate the value we believe they receive on our platform and can convince more businesses to increase adoption of our WM Business services through our WM Business subscription offering and additional offerings.</w:t>
      </w:r>
    </w:p>
    <w:p>
      <w:pPr>
        <w:spacing w:after="0" w:line="69" w:lineRule="exact"/>
        <w:rPr>
          <w:rFonts w:ascii="Arial" w:cs="Arial" w:eastAsia="Arial" w:hAnsi="Arial"/>
          <w:sz w:val="17"/>
          <w:szCs w:val="17"/>
          <w:color w:val="auto"/>
        </w:rPr>
      </w:pPr>
    </w:p>
    <w:p>
      <w:pPr>
        <w:jc w:val="both"/>
        <w:ind w:left="1000" w:right="319" w:hanging="348"/>
        <w:spacing w:after="0" w:line="291" w:lineRule="auto"/>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Expand Our Existing Markets and Enter New Markets. </w:t>
      </w:r>
      <w:r>
        <w:rPr>
          <w:rFonts w:ascii="Arial" w:cs="Arial" w:eastAsia="Arial" w:hAnsi="Arial"/>
          <w:sz w:val="16"/>
          <w:szCs w:val="16"/>
          <w:color w:val="auto"/>
        </w:rPr>
        <w:t>We have a significant opportunity to grow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 base both within existing markets that are continuing to grow and new markets as they become open to regulated cannabis. Although we are increasingly becoming a more nationally-recognized brand, we are monetizing our platform in over 20 U.S. states and territories, as of December 31, 2021. Based on our internal research, we believe the minimum level of acceptable retail density to have a healthy and functioning licensed market is a minimum of one licensed retailer per 10,000 residents. Many of the U.S. states where we operate today are still under-penetrated with low levels of licensed retail density.</w:t>
      </w:r>
    </w:p>
    <w:p>
      <w:pPr>
        <w:spacing w:after="0" w:line="5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believe that there are tremendous growth opportunities for us within our existing markets as retail licenses continue to be issued, and states move towards, and beyond, the one retail license per 10,000 people ratio. As of December 31, 2021, there were approximately 11,700 existing retail licenses across the United States and Canada markets. Assuming no cap on the number of licenses issued or other restrictions on the number of licenses issued, if these same markets were to issue enough licenses to match a ratio of one license per 10,000 residents, approximately 10,000 new retail licenses would be issued. This may require continued liberalization of license restrictions across cities and counties within certain of our states where we do business today. With the momentum of state legalization, including a sweep of ballot initiatives in five states during the most recent election, we believe that legalization by additional states and eventually the U.S. government is inevitable. Assuming no cap on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79" w:name="page80"/>
    <w:bookmarkEnd w:id="7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number of licenses issued or other restrictions on the number of licenses issued, if the entire United States and Canada reached a minimum level of density of one license per 10,000 residents, we believe the total universe of retail licenses would reach approximately 37,500, which is approximately 3.2 times the current count of retail licenses in the United States and Canada as seen below. This represents a significant growth opportunity for us as every new retail license issued is an opportunity to onboard a new client onto our platform and increase their monthly spend as they leverage more of our services, solutions and upsell / add-on products.</w:t>
      </w:r>
    </w:p>
    <w:p>
      <w:pPr>
        <w:spacing w:after="0" w:line="70"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b w:val="1"/>
          <w:bCs w:val="1"/>
          <w:i w:val="1"/>
          <w:iCs w:val="1"/>
          <w:color w:val="auto"/>
        </w:rPr>
        <w:t xml:space="preserve">Expand our WM Business SaaS solution and grow Gross Merchandise Value (“GMV”). </w:t>
      </w:r>
      <w:r>
        <w:rPr>
          <w:rFonts w:ascii="Arial" w:cs="Arial" w:eastAsia="Arial" w:hAnsi="Arial"/>
          <w:sz w:val="17"/>
          <w:szCs w:val="17"/>
          <w:color w:val="auto"/>
        </w:rPr>
        <w:t>We intend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continue expanding the functionality of our WM Business solutions through additional offerings of premium analytics, CRM, and loyalty tools, among other solutions, which we intend to monetize through additional higher priced tiers within our subscription offering. We will continue to expand the availability of our POS integrations across additional states. We also are continuously improving the base-level functionality across our WM Business solutions. We believe these initiatives will result in a more engaged client who utilizes more of our services across our platform and is more ripe for monetization opportunities over time. While we do not believe GMV is a driver of our revenue currently, GMV could represent significant monetization potential over time to the extent U.S. federal regulations allow us to monetize our clients’ currently off-platform transaction activity through take-rates or payment fees, which we do not engage in today.</w:t>
      </w:r>
    </w:p>
    <w:p>
      <w:pPr>
        <w:spacing w:after="0" w:line="7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b w:val="1"/>
          <w:bCs w:val="1"/>
          <w:i w:val="1"/>
          <w:iCs w:val="1"/>
          <w:color w:val="auto"/>
        </w:rPr>
        <w:t xml:space="preserve">Pursue Strategic Acquisitions. </w:t>
      </w:r>
      <w:r>
        <w:rPr>
          <w:rFonts w:ascii="Arial" w:cs="Arial" w:eastAsia="Arial" w:hAnsi="Arial"/>
          <w:sz w:val="18"/>
          <w:szCs w:val="18"/>
          <w:color w:val="auto"/>
        </w:rPr>
        <w:t>We take a measured approach to acquisition-related growth, preferring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make strategic software acquisitions, such as our recent transactions for Sprout, Cannveya and CannCurrent, that complement our existing offerings. We intend to continue selectively pursuing opportunities to invest in and acquire technology offerings that allow us to accelerate our growth.</w:t>
      </w:r>
    </w:p>
    <w:p>
      <w:pPr>
        <w:spacing w:after="0" w:line="2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Our direct competitors for individual components of our platform include cannabis-focused, technology companies like Leafly (for retailer listing pages), Dutchie and Jane Technologies (for menu embed and orders functionality), Leaflink and Leaf Trade (for B2B sales) and a variety of cannabis-focused point-of-sale providers, marketing and advertising technology solutions. In addition, for our retail listing pages, our platform may also compete with current or potential products and solutions offered by internet search engines and advertising networks like Google, Yelp, various other newspaper, television and media companies, as well as outdoor billboard advertising. We believe that the principal competitive factors in our market include the scale of our network, comprehensiveness of offerings, ease of adoption and use, and ability to facilitate compliance with the complex, disparate regulations applicable to businesses operating in the cannabis industry, breadth and trustworthiness of information available to consumers, and brand. We believe we compete favorably based on these factors.</w:t>
      </w:r>
    </w:p>
    <w:p>
      <w:pPr>
        <w:spacing w:after="0" w:line="60"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For additional information about the risks to our business related to competition, see the section entitled “Risk Factors-Risks Related to our Business and Industry—</w:t>
      </w:r>
      <w:r>
        <w:rPr>
          <w:rFonts w:ascii="Arial" w:cs="Arial" w:eastAsia="Arial" w:hAnsi="Arial"/>
          <w:sz w:val="17"/>
          <w:szCs w:val="17"/>
          <w:i w:val="1"/>
          <w:iCs w:val="1"/>
          <w:color w:val="auto"/>
        </w:rPr>
        <w:t>We currently face intense competition in the market, and we</w:t>
      </w:r>
      <w:r>
        <w:rPr>
          <w:rFonts w:ascii="Arial" w:cs="Arial" w:eastAsia="Arial" w:hAnsi="Arial"/>
          <w:sz w:val="17"/>
          <w:szCs w:val="17"/>
          <w:color w:val="auto"/>
        </w:rPr>
        <w:t xml:space="preserve"> </w:t>
      </w:r>
      <w:r>
        <w:rPr>
          <w:rFonts w:ascii="Arial" w:cs="Arial" w:eastAsia="Arial" w:hAnsi="Arial"/>
          <w:sz w:val="17"/>
          <w:szCs w:val="17"/>
          <w:i w:val="1"/>
          <w:iCs w:val="1"/>
          <w:color w:val="auto"/>
        </w:rPr>
        <w:t>expect competition to further intensify as the cannabis industry continues to evolve</w:t>
      </w:r>
      <w:r>
        <w:rPr>
          <w:rFonts w:ascii="Arial" w:cs="Arial" w:eastAsia="Arial" w:hAnsi="Arial"/>
          <w:sz w:val="17"/>
          <w:szCs w:val="17"/>
          <w:color w:val="auto"/>
        </w:rPr>
        <w: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Sales and Marketing</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sales team is primarily based out of our Irvine, California headquarters. Members of our sales team are knowledgeable about the products and add-ons that we offer, such as our Deals platform or WM Orders, and assist new and existing clients with our platform.</w:t>
      </w:r>
    </w:p>
    <w:p>
      <w:pPr>
        <w:spacing w:after="0" w:line="76"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generate many leads for new listing pages through the applicable state cannabis regulators’ lists of licensees. Other leads are created from inbound requests by applicants for cannabis licenses to begin establishing their business’ presence on our platform pending an expected cannabis license.</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Marketing</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believe the quality and strength of our platform is our most valuable marketing asset, the vast majority of business sales leads being inbound. Our marketing strategy, across both consumers and businesses, consists of user acquisition, brand marketing, communications and field marketing.</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Our consumer marketing efforts focus on driving awareness of the platform, acquiring new users who may be interested in the platform and increasing engagement of existing users. To augment the engagement of our platform,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0" w:name="page81"/>
    <w:bookmarkEnd w:id="8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9" w:lineRule="auto"/>
        <w:rPr>
          <w:sz w:val="20"/>
          <w:szCs w:val="20"/>
          <w:color w:val="auto"/>
        </w:rPr>
      </w:pPr>
      <w:r>
        <w:rPr>
          <w:rFonts w:ascii="Arial" w:cs="Arial" w:eastAsia="Arial" w:hAnsi="Arial"/>
          <w:sz w:val="16"/>
          <w:szCs w:val="16"/>
          <w:color w:val="auto"/>
        </w:rPr>
        <w:t>we employ a series of lifecycle marketing, social media and SEO tactics that have increased our direct &amp; organic traffic. Though many traditional paid marketing channels (such as broadcast television or Google search and display ads) are not available to platforms in the cannabis industry, we have been able to build a reliable network of online tactics that allow us to accelerate the growth of our consumer base at very competitive customer acquisition costs. Additionally, we seek key broad consumer opportunities to cement our place in consumers’ minds as the premier cannabis marketplace such as our August 2021 partnership announcement with Kevin Durant and Thirty Five Ventures and sponsorship deal with the Boardroom, our second virtual 4/20 event, “Even Higher Together,” to celebrate the holiday which was hosted by Snoop Dogg, as well as the 2020 sponsorship of the Mike Tyson vs. Roy Jones, Jr. pay-per-view fight, one of the top 10 most purchased combat sports events of all time.</w:t>
      </w:r>
    </w:p>
    <w:p>
      <w:pPr>
        <w:spacing w:after="0" w:line="58"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business marketing focus is to drive awareness of the breadth of our software offering among cannabis retailers and brands, given how nascent some of our newer offerings are. We do so through direct physical and digital marketing, working with local cannabis business associations, and through lifecycle marketing with existing clients. Given the strength of our brand, we have seen strength in performance of our tactics in what is a crowded market, easing the acquisition or upsell process for our sales team.</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Social Impact</w:t>
      </w:r>
    </w:p>
    <w:p>
      <w:pPr>
        <w:spacing w:after="0" w:line="121"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To support the growth of an inclusive cannabis industry, we participate in policy panels and organize educational sessions to educate attendees about the importance of social equity programs and other policy initiatives that are designed to ensure the ability of people of color and those impacted by the war on drugs to participate in the legal cannabis markets that are opening (i.e. social equity licensing programs). Additionally, our policy team has drafted white papers and mock legislative provisions that are designed to support the enactment of social equity licensing programs and advocates for state and local governments to enact social equity licensing programs. We have also established a program, WM Teal, which stands for “Together for Equity Access and Legislation”, through which we provide free software, advertising, educational materials and training programs to applicants or licenses under social equity licensing programs.</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Our product development efforts focus on adding new features and solutions to our platform, as well as increasing the functionality and enhancing the ease of use of our platform. While we expect research and development expenses to increase as we continue to increase the functionality of our platform, we expect our research and development expenses to remain the same percentage of total revenues.</w:t>
      </w:r>
    </w:p>
    <w:p>
      <w:pPr>
        <w:spacing w:after="0" w:line="18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Our intellectual property and proprietary rights are valuable assets that are important to our business. In our efforts to safeguard our copyrights, trade secrets, trademarks and other intellectual property rights worldwide, we rely on a combination of federal, state, common law and international rights in the jurisdictions in which we operate.</w:t>
      </w:r>
    </w:p>
    <w:p>
      <w:pPr>
        <w:spacing w:after="0" w:line="4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an ongoing trademark and service mark registration program pursuant to which we register our brand names, taglines and logos in the United States, Canada, the European Union and other jurisdictions to the extent we determine they are appropriate and cost-effective.</w:t>
      </w:r>
    </w:p>
    <w:p>
      <w:pPr>
        <w:spacing w:after="0" w:line="76"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As of December 31, 2021, we have been issued trademark registrations in the United States, Canada, Japan, the European Union, the United Kingdom and Mexico. We have also been issued an international trademark registration with designation in Australia and the European Union for “Weedmaps.” As of December 31, 2021, we have pending trademark applications in the United States covering: “WM TECH” and “WM TECHNOLOGY”, as well as a pending trademark application in the United States covering “Weedmaps” for delivery platform services. We also have pending trademark applications in Canada covering “Weedmaps”.</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In addition to our numerous trademark applications and registrations, we have been issued copyright registrations in the United States for our weedmaps.com website, “Grow One,” and two versions of our Lab API documentation. Further, we own several domain names, including: weedmaps.com, marijuana.com, cannabis.com, wmpolicy.com, themuseumofweed.com, wm-retail.com, wmforbusiness.com and WM store. Our trademarks and domain names are material to our business and brand identity.</w:t>
      </w:r>
    </w:p>
    <w:p>
      <w:pPr>
        <w:spacing w:after="0" w:line="68"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also rely on non-disclosure agreements, invention assignment agreements, intellectual property assignment agreements, or license agreements with employees, independent contractors, consumers, software providers and other third parties, which protect and limit access to and use of our proprietary intellectual property.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1" w:name="page82"/>
    <w:bookmarkEnd w:id="8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as well as the functionality and frequent enhancements to our platform are larger contributors to our success in the marketplace.</w:t>
      </w:r>
    </w:p>
    <w:p>
      <w:pPr>
        <w:spacing w:after="0" w:line="76"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Circumstances outside our control could pose a threat to our intellectual property rights. For more information, see the section entitled “Risk Factors—Risks Related to our Business and Industry.”</w:t>
      </w:r>
    </w:p>
    <w:p>
      <w:pPr>
        <w:spacing w:after="0" w:line="24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People Operations and Human Capital Resources</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As of December 31, 2021, we had 606 full-time employees and 1 part-time employee, including 242 in engineering, product and design, 264 in sales and marketing, and 101 in general and administrative and professional services. Of these employees, 595 are located in the United States, and 12 are located in Canada.</w:t>
      </w:r>
    </w:p>
    <w:p>
      <w:pPr>
        <w:spacing w:after="0" w:line="57"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We believe that being able to attract and retain top talent is both a strategic advantage for us and necessary to realize our mission of powering a transparent and inclusive global cannabis economy. Our position as a leading technology provider to the cannabis industry helps us attract high caliber employees who are technologically skilled and also passionate about our mission and products. We devote substantial resources to this task. Our dedicated, best-in-class Talent Acquisition team is focused on finding and attracting diverse and capable talent, and our People</w:t>
      </w:r>
    </w:p>
    <w:p>
      <w:pPr>
        <w:spacing w:after="0" w:line="2" w:lineRule="exact"/>
        <w:rPr>
          <w:sz w:val="20"/>
          <w:szCs w:val="20"/>
          <w:color w:val="auto"/>
        </w:rPr>
      </w:pPr>
    </w:p>
    <w:p>
      <w:pPr>
        <w:jc w:val="both"/>
        <w:ind w:left="300" w:right="299" w:hanging="8"/>
        <w:spacing w:after="0" w:line="255" w:lineRule="auto"/>
        <w:tabs>
          <w:tab w:leader="none" w:pos="497"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Culture team is set on building a world class employer of choice for that talent once they get here. None of our employees are represented by a labor union or covered by collective bargaining agreements, and we have not experienced any work stoppages.</w:t>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jc w:val="both"/>
        <w:ind w:left="300" w:right="319" w:firstLine="360"/>
        <w:spacing w:after="0" w:line="286" w:lineRule="auto"/>
        <w:rPr>
          <w:sz w:val="20"/>
          <w:szCs w:val="20"/>
          <w:color w:val="auto"/>
        </w:rPr>
      </w:pPr>
      <w:r>
        <w:rPr>
          <w:rFonts w:ascii="Arial" w:cs="Arial" w:eastAsia="Arial" w:hAnsi="Arial"/>
          <w:sz w:val="17"/>
          <w:szCs w:val="17"/>
          <w:color w:val="auto"/>
        </w:rPr>
        <w:t>Numerous countries and territories have moved in recent years to regulate and tax cannabis, particularly medical cannabis. Most of these jurisdictions present complex regulatory regimes that require licensed operators to comply with substantial reporting, testing, packaging, distribution, and security requirements.</w:t>
      </w:r>
    </w:p>
    <w:p>
      <w:pPr>
        <w:spacing w:after="0" w:line="2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United States and Territories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Notwithstanding the trend toward further state legalization, the U.S. government continues to categorize cannabis as an illegal Schedule I controlled substance, and accordingly the cultivation, processing, distribution, sale, advertisement of sale and possession by our customers violate federal law, as discussed further in the sections entitled “Risk Factors—Risks Related to our Business and Industry.”</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While the Obama and Trump administrations have had different stated policies, including the latter’s less friendly position on the industry, the U.S. federal government has not prioritized the enforcement of the CSA’s prohibition on cannabis against cannabis companies complying with the state law and their vendors for over seven years.</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Since 2014, versions of the U.S. omnibus spending bill have included a provision prohibiting the DOJ, which includes the Drug Enforcement Administration, from using appropriated funds to prevent states from implementing their medical-use cannabis laws. Federal courts have held that the provision prohibits the DOJ from spending funds to prosecute individuals who engage in conduct permitted by state medical-use cannabis laws and who strictly comply with such laws.</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During his campaign, President Biden promised federal reform on cannabis, including decriminalization generally. While the administration since has shown little interest in cannabis reform, Biden’s pledge to “decriminalize” cannabis may reasonably be interpreted to mean that any Attorney General under his administration will order U.S. Attorneys not to enforce the federal cannabis prohibition against state law compliant entities and others legally transacting business with them.</w:t>
      </w:r>
    </w:p>
    <w:p>
      <w:pPr>
        <w:spacing w:after="0" w:line="80"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Although the U.S. Attorney General, Merrick Garland, could issue policy guidance to federal prosecutors that they should not interfere with cannabis businesses operating in compliance with states’ laws, any such guidance would not have the force of law, and could not be enforced by the courts. During his confirmation hearing before the U.S. Senate, Judge Garland testified that prosecuting state-legal cannabis companies would not be a “useful use of limited resources.” Therefore, the status quo of federal non-enforcement is likely to continue for the foreseeable future, though of course that is not certain. While industry observers are hopeful that changes in Congress and the Senate, along with a Biden presidency, will increase the chances of cannabis or at least cannabis-banking reform, it is not a certainty. A number of bills would affect the legal status of cannabis. The Secure and Fair Enforcement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2" w:name="page83"/>
    <w:bookmarkEnd w:id="8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9" w:lineRule="auto"/>
        <w:rPr>
          <w:sz w:val="20"/>
          <w:szCs w:val="20"/>
          <w:color w:val="auto"/>
        </w:rPr>
      </w:pPr>
      <w:r>
        <w:rPr>
          <w:rFonts w:ascii="Arial" w:cs="Arial" w:eastAsia="Arial" w:hAnsi="Arial"/>
          <w:sz w:val="17"/>
          <w:szCs w:val="17"/>
          <w:color w:val="auto"/>
        </w:rPr>
        <w:t>(“SAFE”) Banking Act, would allow financial institutions to legally provide services to state-licensed and compliant cannabis operators, and has passed the House of Representatives but not the Senate. A number of other bills expected to be introduced or reintroduced into the 117th Congress could affect the legal status of cannabis in the United States, though whether any of them will become law is uncertain. Senators Cory Booker (D-NJ), Ron Wyden (D-OR) and Chuck Schumer (D-NY) released a discussion draft of proposed legislation, the Cannabis Administration And Opportunity Act, which they plan to introduce as a bill that would decriminalize cannabis and expunge prior cannabis convictions. Recently introduced into Congress is another bill, the States Reform Act, introduced by Rep. Nancy Mace (R-SC), which would repeal the federal prohibition of cannabis. Based on the momentum seen last year, legislative efforts to legalize cannabis or cannabis banking at the national level are likely to continue in 2022.</w:t>
      </w:r>
    </w:p>
    <w:p>
      <w:pPr>
        <w:spacing w:after="0" w:line="7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Some of our retail clients sell products with CBD derived from hemp with and without THC from non-hemp cannabis. Until recently, hemp and hemp’s extracts (except mature stalks, fiber produced from the stalks, oil or cake made from the seeds and any other compound, manufacture, salt derivative, mixture or preparation of such parts) were illegal Schedule I controlled substances under the CSA. The Agricultural Act of 2014, Pub. L. 113-79 (the “2014 Farm Bill”) authorized states to establish industrial hemp research programs. The majority of states established programs purportedly in compliance with the 2014 Farm Bill. Many industry participants and even states interpreted the law to include “research” into the commercialization of, and commercial markets for, CBD from hemp, including products containing CBD.</w:t>
      </w:r>
    </w:p>
    <w:p>
      <w:pPr>
        <w:spacing w:after="0" w:line="84"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December 2018, the U.S. government changed hemp’s legal status. The Agriculture Improvement Act of 2018, Pub. L. 115-334 (the “2018 Farm Bill”), removed hemp and extracts of hemp, including CBD, from the CSA schedules. Accordingly, the production, sale and possession of hemp or extracts of hemp, including certain CBD products, no longer violate the CSA. The states have implemented a patchwork of different laws on hemp and its extracts, including CBD. Additionally, the FDA claims that the Food, Drugs &amp; Cosmetics Act significantly limits the legality of hemp-derived CBD products.</w:t>
      </w:r>
    </w:p>
    <w:p>
      <w:pPr>
        <w:spacing w:after="0" w:line="84"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have been neither a defendant in a criminal action nor the subject of a civil or regulatory enforcement proceeding, prosecuted by a U.S. governmental authority based on our provision of products and solutions to the cannabis industry. In addition, we believe that Section 230 provides immunity from civil and state criminal liability to internet service provider intermediaries in the United States, such as us, for content provided on their platforms that they did not create or develop. We do not create or develop the information that appears on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For additional information about Section 230, see the sections entitled “Business—Overview” and “Risk Factors—Risks Related to our Business and Industry.” Our clients are subject to licensing and related requirements under applicable laws and regulations, and our own compliance policies, and some of our clients currently and in the future may not be in compliance with all such requirements.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 Weedmaps products or services, we may request additional verification and documentation. Additionally, we require contractual representations and warranties from our clients that they are complying with state law.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Medical cannabis has been legal in Canada since 1999 through various regulatory regimes. On October 17, 2018, the Cannabis Act (Canada) came into force. The Cannabis Act governs both the medical and the regulated adult-use markets in Canada. Prior to October 17, 2018, legal access to and use of medical cannabis in Canada was regulated under the Controlled Drugs and Substances Act and the associated Access to Cannabis for Medical Purposes Regulations, or ACMPR. Under the Cannabis Act, holders of licenses to cultivate and/or process cannabis are also permitted to supply cannabis under their existing licenses obtained pursuant to the ACMPR to the regulated adult-use market.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3" w:name="page84"/>
    <w:bookmarkEnd w:id="8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distribution and sale of cannabis for adult use is regulated separately by each provincial and territorial government, and as such, regulatory regimes vary from jurisdiction to jurisdiction. In each of the provinces and territories, except for Saskatchewan, a provincial distributor is responsible for purchasing cannabis from producers and selling products to its regulated retail distribution channels. In addition, in each province and territory, other than Saskatchewan and Manitoba, the provincial distributor is solely responsible for online sales. With respect to retail sales of cannabis, other than online sales, the provincial and territorial regulations in Prince Edward Island, Nova Scotia, New Brunswick, Quebec, and the Northwest Territories allow only for government-run cannabis stores, while the provincial and territorial regulations in Ontario, Manitoba, Saskatchewan, Alberta and Yukon leave the retail sale of cannabis, other than online sales, to the private sector. In Newfoundland, British Columbia and Nunavut, provincial and territorial regulations allow for a hybrid model in which both public and private stores can operate.</w:t>
      </w:r>
    </w:p>
    <w:p>
      <w:pPr>
        <w:spacing w:after="0" w:line="74"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The regulations promulgated under the Cannabis Act, or the Cannabis Regulations, provide more detail on the medical and adult-use regulatory regimes for cannabis, including regarding licensing, security clearances and physical security requirements, product practices, outdoor growing, security, packaging and labelling, cannabis-containing compounds, document retention requirements, reporting and disclosure requirements, the new access to cannabis for medical purposes regime and industrial hemp regulations (both of which are substantially similar to the medical cannabis and industrial hemp regulatory regimes that existed prior to the Cannabis Act coming into force). Under the Cannabis Act and the Cannabis Regulations, Health Canada has been granted the authority to issue a wide range of licenses, including licenses for standard cultivation, micro-cultivation, industrial hemp cultivation and nursery cultivation, licenses for standard processing and micro- processing, and sales licenses.</w:t>
      </w:r>
    </w:p>
    <w:p>
      <w:pPr>
        <w:spacing w:after="0" w:line="58"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Cannabis Act prohibits all cannabis promotion unless specifically authorized thereunder. Under Subsection 17(1) of the Cannabis Act, it is prohibited to promote cannabis or a cannabis accessory or any service related to cannabis, including (a) by communicating information about its price or distribution; (b) by doing so in a manner that there are reasonable grounds to believe could be appealing to young persons; (c) by means of a testimonial or endorsement, however displayed or communicated; (d) by means of the depiction of a person, character or animal, whether real or fictional; or (e) by presenting it or any of its brand elements in a manner that associates it or the brand element with, or evokes a positive or negative emotion about or image of, a way of life such as one that includes glamour, recreation, excitement, vitality, risk or daring.</w:t>
      </w:r>
    </w:p>
    <w:p>
      <w:pPr>
        <w:spacing w:after="0" w:line="70" w:lineRule="exact"/>
        <w:rPr>
          <w:sz w:val="20"/>
          <w:szCs w:val="20"/>
          <w:color w:val="auto"/>
        </w:rPr>
      </w:pPr>
    </w:p>
    <w:p>
      <w:pPr>
        <w:jc w:val="both"/>
        <w:ind w:left="300" w:right="319" w:firstLine="360"/>
        <w:spacing w:after="0" w:line="271" w:lineRule="auto"/>
        <w:rPr>
          <w:sz w:val="20"/>
          <w:szCs w:val="20"/>
          <w:color w:val="auto"/>
        </w:rPr>
      </w:pPr>
      <w:r>
        <w:rPr>
          <w:rFonts w:ascii="Arial" w:cs="Arial" w:eastAsia="Arial" w:hAnsi="Arial"/>
          <w:sz w:val="17"/>
          <w:szCs w:val="17"/>
          <w:color w:val="auto"/>
        </w:rPr>
        <w:t>Authorized promotions under the Cannabis Act include those by licensed businesses and others, limited to informational content or brand preference promotion. Informational promotion is promotion that contains factual information to the consumer about cannabis, cannabis accessories, and services related to cannabis, including their availability and price. Brand-preference promotion is promotion of cannabis, cannabis accessories, and services related to cannabis based on their brand characteristics. Businesses that are authorized to produce, sell or distribute cannabis under the Act may promote cannabis by means of an informational promotion or brand preference promotion so long as the person responsible for the promotion, if a telecommunication, has taken reasonable steps to ensure that the promotion cannot be accessed by a young person.</w:t>
      </w:r>
    </w:p>
    <w:p>
      <w:pPr>
        <w:spacing w:after="0" w:line="70"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color w:val="auto"/>
        </w:rPr>
        <w:t>As discussed elsewhere in this prospectus, we believe that Section 230 provides immunity from civil and state criminal liability to internet service provider intermediaries in the United States, such as us, for content provided on their platforms that they did not create or develop. While Article 19.17.2 of the United States-Mexico-Canada Agreement (“USMCA”), which became effective on July 1, 2020, contains language which is similar to Section 230(c)(1) of the Communications Decency Act, there is currently no statutory equivalent to Section 230 in Canada. While the case law in Canada on this point is not extensive, however, we believe that courts in Canada have tended to exclude digital platforms in Canada, such as us, from aiding-and-abetting liability for publishing third-party content on their platforms where the platform providers act as “mere conduits” for the content. For additional information, see the section entitled “Risk Factors—Risks Related to our Business and Industry.” We do not create or develop the information that appears in our clients’ listing pages and other advertising placements, although our moderation teams may take down a client’s information if it breaches our listing restrictions or admonish consumers who post reviews that violate our community terms of use (which, for example, prohibit profanity and racism). We do author and edit certain original content that appears in other sections of our site, such as WM News, WM Learn and WM Policy. All of these sections are general news and information, and none of these sections are advertisements for, or listing pages of, cannabis businesses. Currently, we require all cannabis retailers on Weedmaps to display a valid, unexpired state-issued license number on their listing. We have a dedicated Trust and Safety team that reviews license information, both on submission and on an ongoing basis, to ensure validity and accuracy. For certain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4" w:name="page85"/>
    <w:bookmarkEnd w:id="8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Weedmaps products or services, we may request additional verification and documentation. If, despite our policies to verify state-licensure, unlicensed or noncompliant businesses are able to access our products, it could subject us to legal or regulatory enforcement and negative publicity, which could adversely impact our business, operating results, financial condition, brand and reputation.</w:t>
      </w:r>
    </w:p>
    <w:p>
      <w:pPr>
        <w:spacing w:after="0" w:line="7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We have not been a defendant in a criminal action, nor have we been the subject of a civil or regulatory enforcement proceeding, prosecuted by a Canadian governmental authority based on our provision of products and solutions to the cannabis industry.</w:t>
      </w:r>
    </w:p>
    <w:p>
      <w:pPr>
        <w:spacing w:after="0" w:line="3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Rest of the World</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Legalized cannabis is expanding in other parts of the world with countries adopting varying degrees of legalization or decriminalization. We do not yet regard these countries as viable marketplaces for our products, though we have ongoing tests of a small number of listings in several markets where that product is legally permissible.</w:t>
      </w:r>
    </w:p>
    <w:p>
      <w:pPr>
        <w:spacing w:after="0" w:line="3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our business, we are subject to various claims and litigation. Our management believes that the outcome of such claims or litigation will not have a material adverse effect on our financial position, results of operations or cash flow.</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Additionally, from time to time, we are involved in legal proceedings and subject to claims that arise in the ordinary course of business. Although the results of legal proceedings and claims cannot be predicted with certainty, to our knowledge we are not currently party to any legal proceedings which, if determined adversely to us, would individually or taken together have a material adverse effect on our business, operating results, cash flows or financial condition. We also pursue litigation to protect our legal rights and additional litigation may be necessary in the future to enforce our intellectual property and our contractual rights, to protect our confidential information or to determine the validity and scope of the proprietary rights of others.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5" w:name="page86"/>
    <w:bookmarkEnd w:id="8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sets forth the names, ages and positions (as of December 31, 2021) of our directors and executive officers: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2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518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53"/>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r>
      <w:tr>
        <w:trPr>
          <w:trHeight w:val="311"/>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4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Christopher Beals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Brian Camire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42</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Counsel and Secretary</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Technology Officer and Chief Information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Juanjo Feijoo</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Chief Operating Officer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Arden Lee</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24"/>
        </w:trPr>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180" w:type="dxa"/>
            <w:vAlign w:val="bottom"/>
            <w:shd w:val="clear" w:color="auto" w:fill="CCEEFF"/>
          </w:tcPr>
          <w:p>
            <w:pPr>
              <w:spacing w:after="0"/>
              <w:rPr>
                <w:sz w:val="24"/>
                <w:szCs w:val="24"/>
                <w:color w:val="auto"/>
              </w:rPr>
            </w:pP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180" w:type="dxa"/>
            <w:vAlign w:val="bottom"/>
          </w:tcPr>
          <w:p>
            <w:pPr>
              <w:spacing w:after="0"/>
              <w:rPr>
                <w:sz w:val="23"/>
                <w:szCs w:val="23"/>
                <w:color w:val="auto"/>
              </w:rPr>
            </w:pP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Tony Aquila</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Douglas Francis</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Olga Gonzalez</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304"/>
        </w:trPr>
        <w:tc>
          <w:tcPr>
            <w:tcW w:w="27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Scott Gordon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80" w:type="dxa"/>
            <w:vAlign w:val="bottom"/>
            <w:tcBorders>
              <w:bottom w:val="single" w:sz="8" w:color="CCEEFF"/>
            </w:tcBorders>
            <w:shd w:val="clear" w:color="auto" w:fill="CCEEFF"/>
          </w:tcPr>
          <w:p>
            <w:pPr>
              <w:spacing w:after="0"/>
              <w:rPr>
                <w:sz w:val="24"/>
                <w:szCs w:val="24"/>
                <w:color w:val="auto"/>
              </w:rPr>
            </w:pPr>
          </w:p>
        </w:tc>
        <w:tc>
          <w:tcPr>
            <w:tcW w:w="5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70"/>
        </w:trPr>
        <w:tc>
          <w:tcPr>
            <w:tcW w:w="2700" w:type="dxa"/>
            <w:vAlign w:val="bottom"/>
            <w:gridSpan w:val="2"/>
          </w:tcPr>
          <w:p>
            <w:pPr>
              <w:spacing w:after="0"/>
              <w:rPr>
                <w:sz w:val="20"/>
                <w:szCs w:val="20"/>
                <w:color w:val="auto"/>
              </w:rPr>
            </w:pPr>
            <w:r>
              <w:rPr>
                <w:rFonts w:ascii="Arial" w:cs="Arial" w:eastAsia="Arial" w:hAnsi="Arial"/>
                <w:sz w:val="18"/>
                <w:szCs w:val="18"/>
                <w:color w:val="auto"/>
              </w:rPr>
              <w:t>Justin Hartfield</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80" w:type="dxa"/>
            <w:vAlign w:val="bottom"/>
          </w:tcPr>
          <w:p>
            <w:pPr>
              <w:spacing w:after="0"/>
              <w:rPr>
                <w:sz w:val="23"/>
                <w:szCs w:val="23"/>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Founder and Director</w:t>
            </w:r>
          </w:p>
        </w:tc>
      </w:tr>
      <w:tr>
        <w:trPr>
          <w:trHeight w:val="54"/>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5180" w:type="dxa"/>
            <w:vAlign w:val="bottom"/>
          </w:tcPr>
          <w:p>
            <w:pPr>
              <w:spacing w:after="0"/>
              <w:rPr>
                <w:sz w:val="4"/>
                <w:szCs w:val="4"/>
                <w:color w:val="auto"/>
              </w:rPr>
            </w:pPr>
          </w:p>
        </w:tc>
      </w:tr>
      <w:tr>
        <w:trPr>
          <w:trHeight w:val="270"/>
        </w:trPr>
        <w:tc>
          <w:tcPr>
            <w:tcW w:w="2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Fiona Tan</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80" w:type="dxa"/>
            <w:vAlign w:val="bottom"/>
            <w:shd w:val="clear" w:color="auto" w:fill="CCEEFF"/>
          </w:tcPr>
          <w:p>
            <w:pPr>
              <w:spacing w:after="0"/>
              <w:rPr>
                <w:sz w:val="23"/>
                <w:szCs w:val="23"/>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54"/>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1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-3102610</wp:posOffset>
            </wp:positionV>
            <wp:extent cx="514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-3102610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i w:val="1"/>
          <w:iCs w:val="1"/>
          <w:color w:val="auto"/>
        </w:rPr>
        <w:t xml:space="preserve">Christopher Beals. </w:t>
      </w:r>
      <w:r>
        <w:rPr>
          <w:rFonts w:ascii="Arial" w:cs="Arial" w:eastAsia="Arial" w:hAnsi="Arial"/>
          <w:sz w:val="16"/>
          <w:szCs w:val="16"/>
          <w:color w:val="auto"/>
        </w:rPr>
        <w:t>Mr. Beals has served as our Chief Executive Officer and as a member of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since June 2021. Mr. Beals served as Legacy WMH’s Chief Executive Officer from March 2019 to June 2021 and as a member of its board of managers since October 2015. Mr. Beals previously served as Legacy WMH’s General Counsel from September 2015, and Legacy WMH’s President from February 2016 to March 2019. Mr. Beals previously served as Senior Vice President of Colbeck Capital Management from December 2014 to August 2015 and Senior Corporate Counsel &amp; Data Privacy Officer at T-Systems International GmbH from February 2013 to December 2014. He also previously worked as an associate at Davis Polk &amp; Wardwell LLP and Covington &amp; Burling LLP. Mr. Beals holds a B.S. in Systems Engineering and a B.A. in Economics from the University of Pennsylvania and a J.D. from the University of Pennsylvania Law School.</w:t>
      </w:r>
    </w:p>
    <w:p>
      <w:pPr>
        <w:spacing w:after="0" w:line="5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i w:val="1"/>
          <w:iCs w:val="1"/>
          <w:color w:val="auto"/>
        </w:rPr>
        <w:t xml:space="preserve">Brian Camire. </w:t>
      </w:r>
      <w:r>
        <w:rPr>
          <w:rFonts w:ascii="Arial" w:cs="Arial" w:eastAsia="Arial" w:hAnsi="Arial"/>
          <w:sz w:val="18"/>
          <w:szCs w:val="18"/>
          <w:color w:val="auto"/>
        </w:rPr>
        <w:t>Mr. Camire has served as our General Counsel and Secretary since June 2021. Mr. Camire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Legacy WMH’s General Counsel from May 2019 to June 2021. Prior to joining Legacy WMH, Mr. Camire served as Associate General Counsel of Snap Inc. from May 2016 until April 2019 and as Corporate Counsel from March 2015 to May 2016. From January 2011 to February 2015, Mr. Camire worked as an associate attorney at Cooley LLP. Mr. Camire holds a B.A. in Mathematics from Northwestern University and a J.D. from the University of Michigan Law School.</w:t>
      </w:r>
    </w:p>
    <w:p>
      <w:pPr>
        <w:spacing w:after="0" w:line="84"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 xml:space="preserve">Justin Dean. </w:t>
      </w:r>
      <w:r>
        <w:rPr>
          <w:rFonts w:ascii="Arial" w:cs="Arial" w:eastAsia="Arial" w:hAnsi="Arial"/>
          <w:sz w:val="17"/>
          <w:szCs w:val="17"/>
          <w:color w:val="auto"/>
        </w:rPr>
        <w:t>Mr. Dean has served as our Chief Technology Officer and Chief Information Officer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2021. Mr. Dean served as Legacy WMH’s Chief Technology Officer from December 2019 to June 2021 and Chief Information Officer since November 2018. He previously served as the Senior Vice President of Technology and Head of Infrastructure and Platform at Ticketmaster from February 2015 to November 2018, Vice President of Global Infrastructure and Head of Technical Operations at Shopzilla (formerly Bizrate) from January 2007 to February 2015 and Vice President of Information Technology at B3 Corp from 2002 to 2007. Mr. Dean started his career in technology while serving as a Network Systems Engineer in the U.S. Marine Corps from October 1995 to October 1999 and then went on to serve in senior technical architecture roles at National Realty Trust and Compuware (assigned to Sempra Energy).</w:t>
      </w:r>
    </w:p>
    <w:p>
      <w:pPr>
        <w:spacing w:after="0" w:line="7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i w:val="1"/>
          <w:iCs w:val="1"/>
          <w:color w:val="auto"/>
        </w:rPr>
        <w:t xml:space="preserve">Juanjo Feijoo. </w:t>
      </w:r>
      <w:r>
        <w:rPr>
          <w:rFonts w:ascii="Arial" w:cs="Arial" w:eastAsia="Arial" w:hAnsi="Arial"/>
          <w:sz w:val="18"/>
          <w:szCs w:val="18"/>
          <w:color w:val="auto"/>
        </w:rPr>
        <w:t>Mr. Feijoo has served as our Chief Operating Officer since July 2021 and as our Chief</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Officer from June 2021 to July 2021. Mr. Feijoo served as Legacy WMH’s Chief Marketing Officer from May 2019 to June 2021. Previously, Mr. Feijoo served as Senior Director of Customer Engagement for Creative Cloud at Adobe, a publicly-held global technology company, from 2017 to 2019. Prior to that, from 2015 to 2017, Mr. Feijoo served</w:t>
      </w:r>
    </w:p>
    <w:p>
      <w:pPr>
        <w:sectPr>
          <w:pgSz w:w="11900" w:h="16838" w:orient="portrait"/>
          <w:cols w:equalWidth="0" w:num="1">
            <w:col w:w="9019"/>
          </w:cols>
          <w:pgMar w:left="1440" w:top="265" w:right="1440" w:bottom="1440" w:gutter="0" w:footer="0" w:header="0"/>
        </w:sectPr>
      </w:pP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86" w:name="page87"/>
    <w:bookmarkEnd w:id="8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various roles at Maplebear inc (d/b/a Instacart), a private company, including Vice President of Central Operations &amp; Marketing. Prior that, from 2008 to 2015, Mr. Feijoo held several roles at Google, Inc, a publicly-held global technology company, including Head of Consumer Experience, Consumer Operations. Mr. Feijoo holds a B.S. in International Business Management from Oxford Brookes University.</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 xml:space="preserve">Arden Lee. </w:t>
      </w:r>
      <w:r>
        <w:rPr>
          <w:rFonts w:ascii="Arial" w:cs="Arial" w:eastAsia="Arial" w:hAnsi="Arial"/>
          <w:sz w:val="18"/>
          <w:szCs w:val="18"/>
          <w:color w:val="auto"/>
        </w:rPr>
        <w:t>Mr. Lee served as our Chief Financial Officer since June 2021. Mr. Lee served as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Chief Financial Officer from February 2019 to June 2021. Prior to joining Legacy WMH, Mr. Lee was the Vice President of Global Business Planning at Nike, Inc. from December 2016 to July 2018 and previously worked at Goldman Sachs &amp; Co. from April 2007 to November 2016, most recently holding the position of Managing Director of Investment Banking. Mr. Lee also previously served as Vice President, Investment Banking at Citigroup, Inc. and Vice President, Mergers and Acquisitions at Deutsche Bank Securities. He holds an A.B. in Economics from Princeton University.</w:t>
      </w:r>
    </w:p>
    <w:p>
      <w:pPr>
        <w:spacing w:after="0" w:line="33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i w:val="1"/>
          <w:iCs w:val="1"/>
          <w:color w:val="auto"/>
        </w:rPr>
        <w:t>Tony Aquila</w:t>
      </w:r>
      <w:r>
        <w:rPr>
          <w:rFonts w:ascii="Arial" w:cs="Arial" w:eastAsia="Arial" w:hAnsi="Arial"/>
          <w:sz w:val="17"/>
          <w:szCs w:val="17"/>
          <w:color w:val="auto"/>
        </w:rPr>
        <w:t>. Mr. Aquila has served as a member of our board of directors since June 2021. In June 2019,</w:t>
      </w:r>
      <w:r>
        <w:rPr>
          <w:rFonts w:ascii="Arial" w:cs="Arial" w:eastAsia="Arial" w:hAnsi="Arial"/>
          <w:sz w:val="17"/>
          <w:szCs w:val="17"/>
          <w:i w:val="1"/>
          <w:iCs w:val="1"/>
          <w:color w:val="auto"/>
        </w:rPr>
        <w:t xml:space="preserve"> </w:t>
      </w:r>
      <w:r>
        <w:rPr>
          <w:rFonts w:ascii="Arial" w:cs="Arial" w:eastAsia="Arial" w:hAnsi="Arial"/>
          <w:sz w:val="17"/>
          <w:szCs w:val="17"/>
          <w:color w:val="auto"/>
        </w:rPr>
        <w:t>Mr. Aquila founded AFV Partners, an affirmative low-leverage capital vehicle that invests in long-term mission critical software, data and technology businesses and serves as its Chairman and Chief Executive Officer since its founding. In 2005, Mr. Aquila founded Solera Holdings Inc., and led it as Chairman and Chief Executive Officer to a $1 billion initial public offering in 2007, and in the following years sourced and executed over 50 acquisitions significantly expanding Solera’s total addressable market. Mr. Aquila oversaw Solera’s $6.5 billion transaction from a public-to-private business in 2016. Mr. Aquila currently serves as the Chairman for Aircraft Performance Group, LLC, a global provider of mission critical flight operations software, since January 2020, RocketRoute Limited, global aviation services company, since March 2020, APG Avionics LLC, an aviation data and software company for the general aviation market, since September 2020 and Canoo Inc., a mobility technology company, since December 2020. From November 2018 to July 2020, Mr. Aquila served as the Global Chairman of Sportradar Group, a sports data and content company.</w:t>
      </w:r>
    </w:p>
    <w:p>
      <w:pPr>
        <w:spacing w:after="0" w:line="7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i w:val="1"/>
          <w:iCs w:val="1"/>
          <w:color w:val="auto"/>
        </w:rPr>
        <w:t>Douglas Francis</w:t>
      </w:r>
      <w:r>
        <w:rPr>
          <w:rFonts w:ascii="Arial" w:cs="Arial" w:eastAsia="Arial" w:hAnsi="Arial"/>
          <w:sz w:val="16"/>
          <w:szCs w:val="16"/>
          <w:color w:val="auto"/>
        </w:rPr>
        <w:t>. Mr. Francis has served as a member of our board of directors since June 2021. Mr. Francis is</w:t>
      </w:r>
      <w:r>
        <w:rPr>
          <w:rFonts w:ascii="Arial" w:cs="Arial" w:eastAsia="Arial" w:hAnsi="Arial"/>
          <w:sz w:val="16"/>
          <w:szCs w:val="16"/>
          <w:i w:val="1"/>
          <w:iCs w:val="1"/>
          <w:color w:val="auto"/>
        </w:rPr>
        <w:t xml:space="preserve"> </w:t>
      </w:r>
      <w:r>
        <w:rPr>
          <w:rFonts w:ascii="Arial" w:cs="Arial" w:eastAsia="Arial" w:hAnsi="Arial"/>
          <w:sz w:val="16"/>
          <w:szCs w:val="16"/>
          <w:color w:val="auto"/>
        </w:rPr>
        <w:t>a co-founder of Legacy WMH, and served as chairman of Legacy WMH’s board of managers since March 2019 and as a member of Legacy WMH’s board of managers prior to that. Mr. Francis previously served as Legacy WMH’s Chief Executive Officer from February 2016 until March 2019 and as Legacy WMH’s President from January 2009 to February 2016. Mr. Francis has served in management positions in each of Legacy WMH’s current subsidiaries. Mr. Francis holds a B.S. in Business Administration and Management from Chapman University.</w:t>
      </w:r>
    </w:p>
    <w:p>
      <w:pPr>
        <w:spacing w:after="0" w:line="56"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Brenda Freeman</w:t>
      </w:r>
      <w:r>
        <w:rPr>
          <w:rFonts w:ascii="Arial" w:cs="Arial" w:eastAsia="Arial" w:hAnsi="Arial"/>
          <w:sz w:val="17"/>
          <w:szCs w:val="17"/>
          <w:color w:val="auto"/>
        </w:rPr>
        <w:t>. Ms. Freeman has served as a member of our board of directors since June 2021.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2020, Ms. Freeman has served as Chief Executive Officer for Arteza, Inc., a direct-to-consumer arts and crafts manufacturing and supply company. Ms. Freeman founded and has served as President of Joyeux Advisory Group LLC, a firm providing advisory services to early-stage startups and Fortune 500 companies, since January 2018. From March 2016 to December 2018, Ms. Freeman was Chief Marketing Officer of Magic Leap, Inc., a virtual reality technology company, and from December 2018 to April 2019 was Senior Advisor to the Chief Executive Officer. From March 2015 to March 2016, Ms. Freeman served as Chief Marketing Officer of National Geographic Channel, a television network and channel. Ms. Freeman has been a member of the boards of directors of Blue Apron Holdings, Inc. since October 2020, of Caleres, Inc. since April 2017 and of Avnet, Inc. since November 2018. Ms. Freeman previously served on the board of directors of Herman Miller, Inc. from January 2016 to June 2019 and on the board of directors of RTW Retailwinds, Inc. from April 2019 to April 2020. Previously, Ms. Freeman served as Chief Marketing Officer at Turner Broadcasting Systems, Inc. and was Vice President, television marketing at DreamWorks Animation SKG Inc. Ms. Freeman holds a B.S. degree in chemical engineering and an M.B.A degree from the University of Maryland.</w:t>
      </w:r>
    </w:p>
    <w:p>
      <w:pPr>
        <w:spacing w:after="0" w:line="76"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Olga Gonzalez</w:t>
      </w:r>
      <w:r>
        <w:rPr>
          <w:rFonts w:ascii="Arial" w:cs="Arial" w:eastAsia="Arial" w:hAnsi="Arial"/>
          <w:sz w:val="18"/>
          <w:szCs w:val="18"/>
          <w:color w:val="auto"/>
        </w:rPr>
        <w:t>. Ms. Gonzalez has served as a member of our board of directors since June 2021. Since</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2021, Ms. Gonzalez has served as Global Business Leader for Wild Fork Foods, an online specialty food service. Prior to that, Ms. Gonzalez held various leadership positions at Walmart Inc., including Senior Vice President and Chief Financial Officer at Walmart México y Centroamérica from July 2017 to April 2020, Vice President Commercial &amp; Operations Finance at Walmart México y Centroamérica from October 2014 to June 2017, Chief Financial Officer at Walmart Chile from 2011 to 2014, and Vice President, Internal Audit Services Latin America at Walmart US from 2010 to 2011. Prior to that, Ms. Gonzalez had served as Director, Internal Audit at General Motors Company from 2006 to 2010 and from 1996 to 2004, Vice President, Enterprise Risk and Assurance Services at the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7" w:name="page88"/>
    <w:bookmarkEnd w:id="8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American Express Company from 2004 to 2006, and Internal Audit at Banco Santander from 1989 to 1996. Ms. Gonzalez holds a Bachelor of Business Administration degree from Pontificia Universidad Católica de Puerto Rico and an M.B.A. from Florida International University.</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 xml:space="preserve">Scott Gordon. </w:t>
      </w:r>
      <w:r>
        <w:rPr>
          <w:rFonts w:ascii="Arial" w:cs="Arial" w:eastAsia="Arial" w:hAnsi="Arial"/>
          <w:sz w:val="16"/>
          <w:szCs w:val="16"/>
          <w:color w:val="auto"/>
        </w:rPr>
        <w:t>Mr. Gordon has served as a member of our board of directors since June 2021. Mr. Gordon has</w:t>
      </w:r>
      <w:r>
        <w:rPr>
          <w:rFonts w:ascii="Arial" w:cs="Arial" w:eastAsia="Arial" w:hAnsi="Arial"/>
          <w:sz w:val="16"/>
          <w:szCs w:val="16"/>
          <w:i w:val="1"/>
          <w:iCs w:val="1"/>
          <w:color w:val="auto"/>
        </w:rPr>
        <w:t xml:space="preserve"> </w:t>
      </w:r>
      <w:r>
        <w:rPr>
          <w:rFonts w:ascii="Arial" w:cs="Arial" w:eastAsia="Arial" w:hAnsi="Arial"/>
          <w:sz w:val="16"/>
          <w:szCs w:val="16"/>
          <w:color w:val="auto"/>
        </w:rPr>
        <w:t>been the Chairman of Silver Spike’s board of directors and has served as its Chief Executive Officer since its inception. Since 2016, Mr. Gordon has been the co-founder and Chairman of Egg Rock Holdings, parent company of the Papa &amp; Barkley family of cannabis products with related subsidiary assets in manufacturing, processing, and logistics. Egg Rock Holdings also is the parent company of Papa &amp; Barkley Essentials, a hemp-derived CBD business based in Colorado. From 2016 to 2018, Mr. Gordon was also President of Fintech Advisory Inc., investment manager for a multibillion dollar family office fund focused on long-term and opportunistic investments in emerging markets. From late 2013 to 2016, Mr. Gordon served as a Portfolio Manager at Taconic Capital Advisors, a multi-strategy investment firm. Prior to joining Taconic, Mr. Gordon was a Partner and Portfolio Manager at Caxton Associates from 2009 to 2012. He was also a Senior Managing Director and Head of Emerging Markets at Marathon Asset Management from 2007 to 2009. Earlier in his career, Mr. Gordon held leadership positions at Bank of America and ING Capital. Mr. Gordon was a founding member of the Emerging Markets business at JP Morgan where he worked upon graduating from Bowdoin College in 1983.</w:t>
      </w:r>
    </w:p>
    <w:p>
      <w:pPr>
        <w:spacing w:after="0" w:line="6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Justin Hartfield</w:t>
      </w:r>
      <w:r>
        <w:rPr>
          <w:rFonts w:ascii="Arial" w:cs="Arial" w:eastAsia="Arial" w:hAnsi="Arial"/>
          <w:sz w:val="17"/>
          <w:szCs w:val="17"/>
          <w:color w:val="auto"/>
        </w:rPr>
        <w:t>. Mr. Hartfield has served as a member of our board of directors since June 2021. Mr. Hartfield</w:t>
      </w:r>
      <w:r>
        <w:rPr>
          <w:rFonts w:ascii="Arial" w:cs="Arial" w:eastAsia="Arial" w:hAnsi="Arial"/>
          <w:sz w:val="17"/>
          <w:szCs w:val="17"/>
          <w:i w:val="1"/>
          <w:iCs w:val="1"/>
          <w:color w:val="auto"/>
        </w:rPr>
        <w:t xml:space="preserve"> </w:t>
      </w:r>
      <w:r>
        <w:rPr>
          <w:rFonts w:ascii="Arial" w:cs="Arial" w:eastAsia="Arial" w:hAnsi="Arial"/>
          <w:sz w:val="17"/>
          <w:szCs w:val="17"/>
          <w:color w:val="auto"/>
        </w:rPr>
        <w:t>is a co-founder of Legacy WMH, and served as a member of Legacy WMH’s board of managers since inception and served as Legacy WMH’s chairman of the board from February 2016 to March 2019. Previously, Mr. Hartfield served as Legacy WMH’s Chief Executive Officer until February 2016. Mr. Hartfield holds a B.S. in Computer and Information Sciences and Supportive Services from the University of California, Irvine.</w:t>
      </w:r>
    </w:p>
    <w:p>
      <w:pPr>
        <w:spacing w:after="0" w:line="68"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Fiona Tan</w:t>
      </w:r>
      <w:r>
        <w:rPr>
          <w:rFonts w:ascii="Arial" w:cs="Arial" w:eastAsia="Arial" w:hAnsi="Arial"/>
          <w:sz w:val="17"/>
          <w:szCs w:val="17"/>
          <w:color w:val="auto"/>
        </w:rPr>
        <w:t>. Ms. Tan has served as a member of our board of directors since June 2021. Since September 2020,</w:t>
      </w:r>
      <w:r>
        <w:rPr>
          <w:rFonts w:ascii="Arial" w:cs="Arial" w:eastAsia="Arial" w:hAnsi="Arial"/>
          <w:sz w:val="17"/>
          <w:szCs w:val="17"/>
          <w:i w:val="1"/>
          <w:iCs w:val="1"/>
          <w:color w:val="auto"/>
        </w:rPr>
        <w:t xml:space="preserve"> </w:t>
      </w:r>
      <w:r>
        <w:rPr>
          <w:rFonts w:ascii="Arial" w:cs="Arial" w:eastAsia="Arial" w:hAnsi="Arial"/>
          <w:sz w:val="17"/>
          <w:szCs w:val="17"/>
          <w:color w:val="auto"/>
        </w:rPr>
        <w:t>Ms. Tan has served as Global Head of Customer and Supplier Technology for Wayfair LLC. Prior to that Ms. Tan held various leadership positions at Walmart Inc., including Head of Technology, Walmart US from March 2019 to September 2020, Senior Vice President, Engineering, Customer Technology, WalmartLabs from January 2017 to March 2019 and Vice President, Engineering, International Markets, WalmartLabs Strategy, and Operations from April 2014 to January 2017. Prior to that Ms. Tan was Vice President, Engineering for Ariba, Inc. Ms. Tan also previously worked for 16 years at TIBCO Software, Inc., as well as for Oracle Corporation. Ms. Tan holds an M.S. in Computer Science from Stanford University and a B.S. in Computer Science and Engineering from the Massachusetts Institute of Technology.</w:t>
      </w:r>
    </w:p>
    <w:p>
      <w:pPr>
        <w:spacing w:after="0" w:line="17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business and affairs are organized under the direction of our board of directors. Our board of directors consists of eight members. In addition, there is one vacancy on our board directors, which such vacancy will be filled by an affirmative vote of a majority of our board directors. The Chair of our board of directors is Christopher Beals. The primary responsibilities of our board of directors is to provide oversight, strategic guidance, counseling and direction to our management. Our board of directors meet on a regular basis and additionally as required.</w:t>
      </w:r>
    </w:p>
    <w:p>
      <w:pPr>
        <w:spacing w:after="0" w:line="53"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accordance with the terms of our charter, our board of directors is divided into three classes, Class I, Class II and Class III, with only one class of directors being elected in each year and each class serving a three-year term. There is no cumulative voting with respect to the election of directors, with the result that the holders of more than 50% of the shares voted for the election of directors can elect all of the directors.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board of directors is divided into the following classes:</w:t>
      </w:r>
    </w:p>
    <w:p>
      <w:pPr>
        <w:spacing w:after="0" w:line="117" w:lineRule="exact"/>
        <w:rPr>
          <w:sz w:val="20"/>
          <w:szCs w:val="20"/>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 which consists of Mr. Beals, Ms. Tan and one vacancy, whose terms will expire at our first annual meeting of stockholders to be held after the Business Combination;</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 which consists of Mr. Aquila, Mses. Gonzalez and Freeman, whose terms will expire at our second annual meeting of stockholders to be held after the Business Combination; and</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Class III, which consists of Messrs. Francis, Gordon, and Hartfield, whose terms will expire at our third annual meeting of stockholders to be held after the Business Combination.</w:t>
      </w:r>
    </w:p>
    <w:p>
      <w:pPr>
        <w:spacing w:after="0" w:line="1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Our board of directors determined that each of the directors on our board of directors other than Messrs. Beals, Hartfield and Mr. Francis are independent directors, as defined under the listing rules of The Nasdaq Stock Market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8" w:name="page89"/>
    <w:bookmarkEnd w:id="8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LLC (the “Nasdaq listing rules”), and our board of directors consists of a majority of “independent directors,” as defined under the rules of the SEC and Nasdaq listing rules relating to director independence requirements. In addition, we are subject to the rules of the SEC and Nasdaq relating to the membership, qualifications and operations of the audit committee, as discussed below.</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Lead Independent Director</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Christopher Beals, our Chief Executive Officer, serves as Chair of our board of directors. Mr. Beals is not “independent” as defined under the applicable rules and regulations of the SEC and the listing requirements and rules of Nasdaq. Our corporate governance guidelines provide that one of our independent directors may serve as the lead independent director at any time that Mr. Beals or anyone else who is not an independent director is serving as the Chair of our board of directors. The independent directors of our board of directors appointed Ms. Freeman to serve as our lead independent director. As lead independent director, Ms. Freeman presides over periodic meetings of our independent directors (including at any meetings of our board of directors where the Chair is not present) and coordinate certain activities of the independent directors.</w:t>
      </w:r>
    </w:p>
    <w:p>
      <w:pPr>
        <w:spacing w:after="0" w:line="32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established an audit committee, a compensation committee and a nominating and corporate governance committee. Our board of directors adopted a charter for each of these committees, which complies with the applicable requirements of current Nasdaq rules. We intend to comply with future requirements to the extent they will be applicable to us. Copies of the charters for each committee are available on the investor relations portion of our website.</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Audit Committee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audit committee consists of Mses. Gonzalez, Freeman and Mr. Gordon. Our board of directors has determined that each of the members of the audit committee satisfy the independence requirements of Nasdaq and Rule 10A-3 under the Exchange Act. Each member of the audit committee can read and understand fundamental financial statements in accordance with Nasdaq audit committee requirements. In arriving at this determination, our board of directors examined each audit committee member’s scope of experience and the nature of their prior and/or current employment.</w:t>
      </w:r>
    </w:p>
    <w:p>
      <w:pPr>
        <w:spacing w:after="0" w:line="84"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We named Ms. Gonzalez as the chair of the audit committee. Our board of directors determined that Ms. Gonzalez qualifies as an audit committee financial expert within the meaning of SEC regulations and meets the financial sophistication requirements of Nasdaq listing rules. In making this determination, our board of directors considered Ms. Gonzalez’s formal education and previous experience in financial roles. Both our independent registered public accounting firm and management periodically will meet privately with our audit committee.</w:t>
      </w:r>
    </w:p>
    <w:p>
      <w:pPr>
        <w:spacing w:after="0" w:line="1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the hiring, discharging and compensation of our independent registered public accounting firm; oversee the work of our independent registered public accounting firm;</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approve engagements of the independent registered public accounting firm to render any audit or permissible non-audit services;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qualifications, independence and performance of the independent registered public accounting firm;</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our financial statements and review our critical accounting policies and estimates;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approve related party transactions and any exchanges of Units pursuant to the exchange agreement that are proposed to be settled in cash;</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 and discuss with management and the independent registered public accounting firm the results of our annual audit, our quarterly financial statements and our publicly filed reports.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9" w:name="page90"/>
    <w:bookmarkEnd w:id="8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compensation committee consists of Messrs. Aquila and Gordon. We named Mr. Aquila as our chair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review and recommend policies relating to compensation and benefits of our officers and employees;</w:t>
      </w:r>
    </w:p>
    <w:p>
      <w:pPr>
        <w:spacing w:after="0" w:line="128" w:lineRule="exact"/>
        <w:rPr>
          <w:rFonts w:ascii="Arial" w:cs="Arial" w:eastAsia="Arial" w:hAnsi="Arial"/>
          <w:sz w:val="17"/>
          <w:szCs w:val="17"/>
          <w:color w:val="auto"/>
        </w:rPr>
      </w:pPr>
    </w:p>
    <w:p>
      <w:pPr>
        <w:ind w:left="1000" w:right="299" w:hanging="348"/>
        <w:spacing w:after="0" w:line="277" w:lineRule="auto"/>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 and approve corporate goals and objectives relevant to compensation of our chief executive officer and other senior officers;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 the performance of our officers in light of established goals and objectives;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recommend compensation of our officers based on its evaluations;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administer the issuance of stock options and other awards under our stock plans.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Nominating and Governance Committee</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Our nominating and corporate governance committee consists of Mses. Tan and Freeman. Ms. Freeman serves as the chair of the nominating and corporate governance committee. Our board of directors has determined that each of the members of our nominating and corporate governance committee satisfies the independence requirements of Nasdaq.</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functions of this committee include, among other things:</w:t>
      </w:r>
    </w:p>
    <w:p>
      <w:pPr>
        <w:spacing w:after="0" w:line="117" w:lineRule="exact"/>
        <w:rPr>
          <w:sz w:val="20"/>
          <w:szCs w:val="20"/>
          <w:color w:val="auto"/>
        </w:rPr>
      </w:pPr>
    </w:p>
    <w:p>
      <w:pPr>
        <w:ind w:left="1000" w:right="29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evaluate and make recommendations regarding the organization and governance of our board of directors and its committees;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assess the performance of members of our board of directors and make recommendations regarding committee and chair assignments;</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recommend desired qualifications for board of directors membership and conduct searches for potential members of our board of directors; and</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 and make recommendations with regard to our corporate governance guidelines.</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Our board of directors expects to review director compensation periodically to ensure that director compensation remains competitive such that we are able to recruit and retain qualified directors. We developed a board of directors’ compensation program that is designed to align compensation with our business objectives and the creation of stockholder value, while enabling us to attract, retain, incentivize and reward directors who contribute to our long-term success.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Our board of directors adopted a Code of Business Conduct and Ethics (the “Code of Conduct”), applicable to all of our employees, executive officers and directors. The Code of Conduct is available on our website at ir.weedmaps.com. Information contained on or accessible through our website is not a part of this prospectus, and the inclusion of our website address in this prospectus is an inactive textual reference only.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None of the intended members of our compensation committee has ever been our executive officer or employee. None of our executive officers currently serve, or has served during the last completed fiscal year, on the compensation committee or board of directors of any other entity that has one or more executive officers that will serve as a member of our board of directors or compensation committee.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0" w:name="page91"/>
    <w:bookmarkEnd w:id="9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charter eliminated our directors’ liability for monetary damages to the fullest extent permitted by applicable law.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our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Our charter requires us to indemnify and advance expenses to, to the fullest extent permitted by applicable law, our directors, officers and agents. We maintain a directors’ and officers’ insurance policy pursuant to which our directors and officers are insured against liability for actions taken in their capacities as directors and officers. Finally, our charter prohibits any retroactive changes to the rights or protections or increase the liability of any director in effect at the time of the alleged occurrence of any act or omission to act giving rise to liability or indemnification.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believe these provisions in our charter are necessary to attract and retain qualified persons as our directors and officers.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1" w:name="page92"/>
    <w:bookmarkEnd w:id="9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Our named executive officers, including our principal executive officer and the next two most highly compensated executive officers, as of December 31, 2020, were:</w:t>
      </w:r>
    </w:p>
    <w:p>
      <w:pPr>
        <w:spacing w:after="0" w:line="62" w:lineRule="exact"/>
        <w:rPr>
          <w:sz w:val="20"/>
          <w:szCs w:val="20"/>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Christopher Beals, Chief Executive Officer and manager;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Justin Dean, Chief Technology Officer and Chief Information Officer;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Steven Jung, President and Chief Operating Officer.</w:t>
      </w:r>
    </w:p>
    <w:p>
      <w:pPr>
        <w:spacing w:after="0" w:line="3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2020 Summary Compensation Table</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provides information regarding the compensation earned by or paid to our named executive officers with respect to December 31, 2020.</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Non-Equity</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Salary</w:t>
            </w:r>
          </w:p>
        </w:tc>
        <w:tc>
          <w:tcPr>
            <w:tcW w:w="7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700" w:type="dxa"/>
            <w:vAlign w:val="bottom"/>
            <w:gridSpan w:val="2"/>
            <w:vMerge w:val="continue"/>
          </w:tcPr>
          <w:p>
            <w:pPr>
              <w:spacing w:after="0"/>
              <w:rPr>
                <w:sz w:val="12"/>
                <w:szCs w:val="12"/>
                <w:color w:val="auto"/>
              </w:rPr>
            </w:pPr>
          </w:p>
        </w:tc>
        <w:tc>
          <w:tcPr>
            <w:tcW w:w="1000" w:type="dxa"/>
            <w:vAlign w:val="bottom"/>
            <w:gridSpan w:val="2"/>
          </w:tcPr>
          <w:p>
            <w:pPr>
              <w:spacing w:after="0" w:line="145" w:lineRule="exact"/>
              <w:rPr>
                <w:sz w:val="20"/>
                <w:szCs w:val="20"/>
                <w:color w:val="auto"/>
              </w:rPr>
            </w:pPr>
            <w:r>
              <w:rPr>
                <w:rFonts w:ascii="Arial" w:cs="Arial" w:eastAsia="Arial" w:hAnsi="Arial"/>
                <w:sz w:val="14"/>
                <w:szCs w:val="14"/>
                <w:b w:val="1"/>
                <w:bCs w:val="1"/>
                <w:color w:val="auto"/>
              </w:rPr>
              <w:t>Incentive Plan</w:t>
            </w: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vMerge w:val="restart"/>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10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344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vMerge w:val="continue"/>
          </w:tcPr>
          <w:p>
            <w:pPr>
              <w:spacing w:after="0"/>
              <w:rPr>
                <w:sz w:val="21"/>
                <w:szCs w:val="21"/>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right"/>
              <w:ind w:right="77"/>
              <w:spacing w:after="0" w:line="243"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3"/>
                <w:szCs w:val="23"/>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9"/>
              </w:rPr>
              <w:t>($)</w:t>
            </w:r>
            <w:r>
              <w:rPr>
                <w:rFonts w:ascii="Arial" w:cs="Arial" w:eastAsia="Arial" w:hAnsi="Arial"/>
                <w:sz w:val="23"/>
                <w:szCs w:val="23"/>
                <w:b w:val="1"/>
                <w:bCs w:val="1"/>
                <w:color w:val="auto"/>
                <w:w w:val="89"/>
                <w:vertAlign w:val="superscript"/>
              </w:rPr>
              <w:t>(2)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center"/>
              <w:spacing w:after="0" w:line="243" w:lineRule="exact"/>
              <w:rPr>
                <w:sz w:val="20"/>
                <w:szCs w:val="20"/>
                <w:color w:val="auto"/>
              </w:rPr>
            </w:pPr>
            <w:r>
              <w:rPr>
                <w:rFonts w:ascii="Arial" w:cs="Arial" w:eastAsia="Arial" w:hAnsi="Arial"/>
                <w:sz w:val="14"/>
                <w:szCs w:val="14"/>
                <w:b w:val="1"/>
                <w:bCs w:val="1"/>
                <w:color w:val="auto"/>
                <w:w w:val="83"/>
              </w:rPr>
              <w:t>($)</w:t>
            </w:r>
            <w:r>
              <w:rPr>
                <w:rFonts w:ascii="Arial" w:cs="Arial" w:eastAsia="Arial" w:hAnsi="Arial"/>
                <w:sz w:val="23"/>
                <w:szCs w:val="23"/>
                <w:b w:val="1"/>
                <w:bCs w:val="1"/>
                <w:color w:val="auto"/>
                <w:w w:val="83"/>
                <w:vertAlign w:val="superscript"/>
              </w:rPr>
              <w:t>(3)</w:t>
            </w:r>
          </w:p>
        </w:tc>
        <w:tc>
          <w:tcPr>
            <w:tcW w:w="120" w:type="dxa"/>
            <w:vAlign w:val="bottom"/>
            <w:tcBorders>
              <w:bottom w:val="single" w:sz="8" w:color="CCEEFF"/>
            </w:tcBorders>
          </w:tcPr>
          <w:p>
            <w:pPr>
              <w:spacing w:after="0"/>
              <w:rPr>
                <w:sz w:val="21"/>
                <w:szCs w:val="21"/>
                <w:color w:val="auto"/>
              </w:rPr>
            </w:pPr>
          </w:p>
        </w:tc>
        <w:tc>
          <w:tcPr>
            <w:tcW w:w="7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3"/>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600,000</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56"/>
        </w:trPr>
        <w:tc>
          <w:tcPr>
            <w:tcW w:w="356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Technology Officer and</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Information Officer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475,000</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190,000</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718,119</w:t>
            </w:r>
          </w:p>
        </w:tc>
        <w:tc>
          <w:tcPr>
            <w:tcW w:w="100" w:type="dxa"/>
            <w:vAlign w:val="bottom"/>
          </w:tcPr>
          <w:p>
            <w:pPr>
              <w:spacing w:after="0"/>
              <w:rPr>
                <w:sz w:val="20"/>
                <w:szCs w:val="20"/>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9"/>
              <w:spacing w:after="0"/>
              <w:rPr>
                <w:sz w:val="20"/>
                <w:szCs w:val="20"/>
                <w:color w:val="auto"/>
              </w:rPr>
            </w:pPr>
            <w:r>
              <w:rPr>
                <w:rFonts w:ascii="Arial" w:cs="Arial" w:eastAsia="Arial" w:hAnsi="Arial"/>
                <w:sz w:val="18"/>
                <w:szCs w:val="18"/>
                <w:color w:val="auto"/>
              </w:rPr>
              <w:t>24,940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1,408,059</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Jung</w:t>
            </w:r>
          </w:p>
        </w:tc>
        <w:tc>
          <w:tcPr>
            <w:tcW w:w="5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 xml:space="preserve">President and Chief </w:t>
            </w:r>
            <w:r>
              <w:rPr>
                <w:rFonts w:ascii="Arial" w:cs="Arial" w:eastAsia="Arial" w:hAnsi="Arial"/>
                <w:sz w:val="18"/>
                <w:szCs w:val="18"/>
                <w:color w:val="auto"/>
              </w:rPr>
              <w:t>Operating</w:t>
            </w:r>
            <w:r>
              <w:rPr>
                <w:rFonts w:ascii="Arial" w:cs="Arial" w:eastAsia="Arial" w:hAnsi="Arial"/>
                <w:sz w:val="18"/>
                <w:szCs w:val="18"/>
                <w:i w:val="1"/>
                <w:iCs w:val="1"/>
                <w:color w:val="auto"/>
              </w:rPr>
              <w:t xml:space="preserve"> Officer</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550,962</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697,200</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1,248,162</w:t>
            </w:r>
          </w:p>
        </w:tc>
        <w:tc>
          <w:tcPr>
            <w:tcW w:w="0" w:type="dxa"/>
            <w:vAlign w:val="bottom"/>
          </w:tcPr>
          <w:p>
            <w:pPr>
              <w:spacing w:after="0"/>
              <w:rPr>
                <w:sz w:val="1"/>
                <w:szCs w:val="1"/>
                <w:color w:val="auto"/>
              </w:rPr>
            </w:pPr>
          </w:p>
        </w:tc>
      </w:tr>
      <w:tr>
        <w:trPr>
          <w:trHeight w:val="54"/>
        </w:trPr>
        <w:tc>
          <w:tcPr>
            <w:tcW w:w="34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-1182370</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-1182370</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-1182370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-1182370</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2825750</wp:posOffset>
            </wp:positionH>
            <wp:positionV relativeFrom="paragraph">
              <wp:posOffset>-1182370</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2379980</wp:posOffset>
            </wp:positionH>
            <wp:positionV relativeFrom="paragraph">
              <wp:posOffset>-1182370</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145415</wp:posOffset>
            </wp:positionV>
            <wp:extent cx="82296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represent performance-based, discretionary bonuses.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Amounts reflect the grant date fair value of equity awards granted in 2020, in accordance with ASC 718. For information regarding assumptions underlying the value of equity awards, see Note 8 to our financial statements included elsewhere in this prospectus.</w:t>
      </w:r>
    </w:p>
    <w:p>
      <w:pPr>
        <w:spacing w:after="0" w:line="1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represent (a) group term life insurance premiums in excess of the broad-based benefit level and (b) with respect to Mr. Dean, $24,604 for a housing allowance.</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For 2020, the compensation programs for our named executive officers consisted of base salary and incentive compensation delivered in the form of Plan Units.</w:t>
      </w:r>
    </w:p>
    <w:p>
      <w:pPr>
        <w:spacing w:after="0" w:line="30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Base salary is set at a level that is intended to reflect the executive’s duties, authorities, contributions, prior experience and performance.</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Cash Bonus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We do not have a formal arrangement with our named executive officers providing for annual cash bonus awards. However, we have at times provided cash bonuses to certain members of our executive team on an ad hoc basis as deemed appropriate, in the form of spot bonuses or for achievement of certain milestones.</w:t>
      </w:r>
    </w:p>
    <w:p>
      <w:pPr>
        <w:spacing w:after="0" w:line="2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Equity-Based Incentive Awards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Our equity award program is the primary vehicle for offering long-term incentives to our executives. We believe that equity awards provide our executives with a strong link to long-term performance, create an ownership culture and help to align the interests of our executives and members. To date, we have used profits interests for this purpose. We believe that our equity awards are an important retention tool for our executive officers, as well as for our other employees. We award equity awards broadly to our employees, including to our non-executive employees.</w:t>
      </w:r>
    </w:p>
    <w:p>
      <w:pPr>
        <w:spacing w:after="0" w:line="53"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the Business Combination, all of the equity awards Legacy WMH has granted were made pursuant to the 2018 Plan. The terms of our equity plans are described under the section titled “-Employee Benefit Plans”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2" w:name="page93"/>
    <w:bookmarkEnd w:id="9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Benefits and Perquisites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provide benefits to our named executive officers on the same basis as provided to all of our employees, including health, dental and vision insurance; life insurance; accidental death and dismemberment insurance; disability insurance; and a tax-qualified Section 401(k) plan. We do not maintain any executive-specific benefit or executive perquisite programs.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Retirement Plans</w:t>
      </w:r>
    </w:p>
    <w:p>
      <w:pPr>
        <w:spacing w:after="0" w:line="117"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maintain a tax-qualified retirement plan that provides our employees, including our named executive officers, who satisfy certain eligibility requirements with an opportunity to save for retirement on a tax advantaged basis. Eligible employees are able to participate in the 401(k) plan as of the first day of the month following the date they complete three months of employment and participants are able to defer, either on a pre-tax basis or on an after-tax (Roth) basis through contributions to the 401(k) plan, up to 90% of their eligible compensation, but within the limits prescribed by the Code. All participants’ interests in their deferrals are 100% vested when contributed. Under the 401(k) plan, we make matching contributions of 100% of each participant’s elective deferrals of the first 1% of such participant’s eligible compensation plus 50% of each participant’s elective deferrals of the next 2% to 6% of such participant’s eligible compensation, up to a maximum matching contribution of 3.5% of eligible compensation.</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Executive Employment Arrangements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Christopher Beals</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Mr. Beals previously entered into an offer letter with Ghost Management Group, LLC, dated July 31, 2015. Mr. Beals’s current annual base salary is $600,000. If Mr. Beals’s employment is terminated by us other than for cause, Mr. Beals will be eligible to receive continued payment of his base salary for a period of three months, a prorated bonus for any partial year of employment for the year in which employment termination occurs, and company-paid premiums for COBRA continuation coverage for up to six months. Mr. Beals also is eligible to participate in the employee benefit plans generally available to our employees and maintained by us.</w:t>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Justin Dean</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Dean previously entered into an offer letter with Ghost Management Group, LLC, dated October 3, 2018. Pursuant to a subsequent change of employment status form, Mr. Dean’s current annual base salary is $475,000. Mr. Dean also is eligible to participate in the employee benefit plans generally available to our employees and maintained by us.</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Steven Jung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Mr. Jung previously entered into an offer letter with Ghost Management Group, LLC, dated May 17, 2017. Pursuant to a subsequent change of employment status form, Mr. Jung’s current annual base salary is $600,000. Mr. Jung also is eligible to participate in the employee benefit plans generally available to our employees and maintained by us.</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In connection with the Closing, Mr. Jung entered into a Strategic Advisor Agreement (the “Strategic Advisor Agreement”) with Ghost Management Group, LLC. Pursuant to the Strategic Advisor Agreement, Mr. Jung’s last day of active employment in his previous role as President and Chief Operating Officer of the Company and Ghost Management, LLC was on June 30, 2021, and he transitioned to a paid employee advisory role from July 1, 2021 through July 6, 2022 (the “Advisory Services Period”). The Strategic Advisor Agreement provides for Mr. Jung to be paid his regular salary during the Advisory Services Period and the continued vesting of the Class P units of WMH LLC held by Mr. Jung during the Advisory Services Period, each subject to a maximum aggregate amount, and a general release of claims in favor of Ghost Management Group, LLC.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3" w:name="page94"/>
    <w:bookmarkEnd w:id="9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following table presents estimated information regarding outstanding equity awards held by our named executive officers as of December 31, 2020.</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4"/>
          </w:tcPr>
          <w:p>
            <w:pPr>
              <w:ind w:left="320"/>
              <w:spacing w:after="0"/>
              <w:rPr>
                <w:sz w:val="20"/>
                <w:szCs w:val="20"/>
                <w:color w:val="auto"/>
              </w:rPr>
            </w:pPr>
            <w:r>
              <w:rPr>
                <w:rFonts w:ascii="Arial" w:cs="Arial" w:eastAsia="Arial" w:hAnsi="Arial"/>
                <w:sz w:val="14"/>
                <w:szCs w:val="14"/>
                <w:b w:val="1"/>
                <w:bCs w:val="1"/>
                <w:color w:val="auto"/>
              </w:rPr>
              <w:t>Equity Awards</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Vesting</w:t>
            </w:r>
          </w:p>
        </w:tc>
        <w:tc>
          <w:tcPr>
            <w:tcW w:w="10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that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Units that</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that</w:t>
            </w:r>
          </w:p>
        </w:tc>
        <w:tc>
          <w:tcPr>
            <w:tcW w:w="0" w:type="dxa"/>
            <w:vAlign w:val="bottom"/>
          </w:tcPr>
          <w:p>
            <w:pPr>
              <w:spacing w:after="0"/>
              <w:rPr>
                <w:sz w:val="1"/>
                <w:szCs w:val="1"/>
                <w:color w:val="auto"/>
              </w:rPr>
            </w:pPr>
          </w:p>
        </w:tc>
      </w:tr>
      <w:tr>
        <w:trPr>
          <w:trHeight w:val="148"/>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Have Not</w:t>
            </w: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Have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86"/>
        </w:trPr>
        <w:tc>
          <w:tcPr>
            <w:tcW w:w="4480" w:type="dxa"/>
            <w:vAlign w:val="bottom"/>
            <w:gridSpan w:val="2"/>
            <w:vMerge w:val="continue"/>
          </w:tcPr>
          <w:p>
            <w:pPr>
              <w:spacing w:after="0"/>
              <w:rPr>
                <w:sz w:val="16"/>
                <w:szCs w:val="16"/>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Date</w:t>
            </w: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Vested</w:t>
            </w: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Vested</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53"/>
        </w:trPr>
        <w:tc>
          <w:tcPr>
            <w:tcW w:w="43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Beals</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8/17/2015</w:t>
            </w:r>
          </w:p>
        </w:tc>
        <w:tc>
          <w:tcPr>
            <w:tcW w:w="20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53,333</w:t>
            </w:r>
            <w:r>
              <w:rPr>
                <w:rFonts w:ascii="Arial" w:cs="Arial" w:eastAsia="Arial" w:hAnsi="Arial"/>
                <w:sz w:val="29"/>
                <w:szCs w:val="29"/>
                <w:color w:val="auto"/>
                <w:w w:val="94"/>
                <w:vertAlign w:val="superscript"/>
              </w:rPr>
              <w:t>(1)</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480" w:type="dxa"/>
            <w:vAlign w:val="bottom"/>
            <w:gridSpan w:val="2"/>
          </w:tcPr>
          <w:p>
            <w:pPr>
              <w:spacing w:after="0"/>
              <w:rPr>
                <w:sz w:val="20"/>
                <w:szCs w:val="20"/>
                <w:color w:val="auto"/>
              </w:rPr>
            </w:pPr>
            <w:r>
              <w:rPr>
                <w:rFonts w:ascii="Arial" w:cs="Arial" w:eastAsia="Arial" w:hAnsi="Arial"/>
                <w:sz w:val="18"/>
                <w:szCs w:val="18"/>
                <w:color w:val="auto"/>
              </w:rPr>
              <w:t>Justin Dean</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11/05/2018</w:t>
            </w:r>
          </w:p>
        </w:tc>
        <w:tc>
          <w:tcPr>
            <w:tcW w:w="200" w:type="dxa"/>
            <w:vAlign w:val="bottom"/>
          </w:tcPr>
          <w:p>
            <w:pPr>
              <w:spacing w:after="0"/>
              <w:rPr>
                <w:sz w:val="24"/>
                <w:szCs w:val="24"/>
                <w:color w:val="auto"/>
              </w:rPr>
            </w:pPr>
          </w:p>
        </w:tc>
        <w:tc>
          <w:tcPr>
            <w:tcW w:w="880" w:type="dxa"/>
            <w:vAlign w:val="bottom"/>
          </w:tcPr>
          <w:p>
            <w:pPr>
              <w:jc w:val="right"/>
              <w:spacing w:after="0" w:line="364" w:lineRule="exact"/>
              <w:rPr>
                <w:sz w:val="20"/>
                <w:szCs w:val="20"/>
                <w:color w:val="auto"/>
              </w:rPr>
            </w:pPr>
            <w:r>
              <w:rPr>
                <w:rFonts w:ascii="Arial" w:cs="Arial" w:eastAsia="Arial" w:hAnsi="Arial"/>
                <w:sz w:val="35"/>
                <w:szCs w:val="35"/>
                <w:color w:val="auto"/>
                <w:w w:val="90"/>
                <w:vertAlign w:val="subscript"/>
              </w:rPr>
              <w:t>1,500</w:t>
            </w:r>
            <w:r>
              <w:rPr>
                <w:rFonts w:ascii="Arial" w:cs="Arial" w:eastAsia="Arial" w:hAnsi="Arial"/>
                <w:sz w:val="15"/>
                <w:szCs w:val="15"/>
                <w:color w:val="auto"/>
                <w:w w:val="90"/>
              </w:rPr>
              <w:t>(2)(3)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1,500</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700" w:type="dxa"/>
            <w:vAlign w:val="bottom"/>
          </w:tcPr>
          <w:p>
            <w:pPr>
              <w:ind w:left="26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64"/>
        </w:trPr>
        <w:tc>
          <w:tcPr>
            <w:tcW w:w="4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12/08/2020</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w w:val="90"/>
                <w:vertAlign w:val="subscript"/>
              </w:rPr>
              <w:t>2,000</w:t>
            </w:r>
            <w:r>
              <w:rPr>
                <w:rFonts w:ascii="Arial" w:cs="Arial" w:eastAsia="Arial" w:hAnsi="Arial"/>
                <w:sz w:val="15"/>
                <w:szCs w:val="15"/>
                <w:color w:val="auto"/>
                <w:w w:val="90"/>
              </w:rPr>
              <w:t>(2)(5)</w:t>
            </w:r>
          </w:p>
        </w:tc>
        <w:tc>
          <w:tcPr>
            <w:tcW w:w="20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ind w:left="26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64"/>
        </w:trPr>
        <w:tc>
          <w:tcPr>
            <w:tcW w:w="4480" w:type="dxa"/>
            <w:vAlign w:val="bottom"/>
            <w:gridSpan w:val="2"/>
          </w:tcPr>
          <w:p>
            <w:pPr>
              <w:spacing w:after="0"/>
              <w:rPr>
                <w:sz w:val="20"/>
                <w:szCs w:val="20"/>
                <w:color w:val="auto"/>
              </w:rPr>
            </w:pPr>
            <w:r>
              <w:rPr>
                <w:rFonts w:ascii="Arial" w:cs="Arial" w:eastAsia="Arial" w:hAnsi="Arial"/>
                <w:sz w:val="18"/>
                <w:szCs w:val="18"/>
                <w:color w:val="auto"/>
              </w:rPr>
              <w:t>Steven Jung</w:t>
            </w: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06/19/2017</w:t>
            </w:r>
          </w:p>
        </w:tc>
        <w:tc>
          <w:tcPr>
            <w:tcW w:w="200" w:type="dxa"/>
            <w:vAlign w:val="bottom"/>
          </w:tcPr>
          <w:p>
            <w:pPr>
              <w:spacing w:after="0"/>
              <w:rPr>
                <w:sz w:val="24"/>
                <w:szCs w:val="24"/>
                <w:color w:val="auto"/>
              </w:rPr>
            </w:pPr>
          </w:p>
        </w:tc>
        <w:tc>
          <w:tcPr>
            <w:tcW w:w="880" w:type="dxa"/>
            <w:vAlign w:val="bottom"/>
          </w:tcPr>
          <w:p>
            <w:pPr>
              <w:jc w:val="right"/>
              <w:spacing w:after="0" w:line="364" w:lineRule="exact"/>
              <w:rPr>
                <w:sz w:val="20"/>
                <w:szCs w:val="20"/>
                <w:color w:val="auto"/>
              </w:rPr>
            </w:pPr>
            <w:r>
              <w:rPr>
                <w:rFonts w:ascii="Arial" w:cs="Arial" w:eastAsia="Arial" w:hAnsi="Arial"/>
                <w:sz w:val="35"/>
                <w:szCs w:val="35"/>
                <w:color w:val="auto"/>
                <w:vertAlign w:val="subscript"/>
              </w:rPr>
              <w:t>544</w:t>
            </w:r>
            <w:r>
              <w:rPr>
                <w:rFonts w:ascii="Arial" w:cs="Arial" w:eastAsia="Arial" w:hAnsi="Arial"/>
                <w:sz w:val="15"/>
                <w:szCs w:val="15"/>
                <w:color w:val="auto"/>
              </w:rPr>
              <w:t>(2)(3)</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3,810</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700" w:type="dxa"/>
            <w:vAlign w:val="bottom"/>
          </w:tcPr>
          <w:p>
            <w:pPr>
              <w:ind w:left="26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365"/>
        </w:trPr>
        <w:tc>
          <w:tcPr>
            <w:tcW w:w="4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05/01/2018</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line="364" w:lineRule="exact"/>
              <w:rPr>
                <w:sz w:val="20"/>
                <w:szCs w:val="20"/>
                <w:color w:val="auto"/>
              </w:rPr>
            </w:pPr>
            <w:r>
              <w:rPr>
                <w:rFonts w:ascii="Arial" w:cs="Arial" w:eastAsia="Arial" w:hAnsi="Arial"/>
                <w:sz w:val="35"/>
                <w:szCs w:val="35"/>
                <w:color w:val="auto"/>
                <w:w w:val="90"/>
                <w:vertAlign w:val="subscript"/>
              </w:rPr>
              <w:t>1,500</w:t>
            </w:r>
            <w:r>
              <w:rPr>
                <w:rFonts w:ascii="Arial" w:cs="Arial" w:eastAsia="Arial" w:hAnsi="Arial"/>
                <w:sz w:val="15"/>
                <w:szCs w:val="15"/>
                <w:color w:val="auto"/>
                <w:w w:val="90"/>
              </w:rPr>
              <w:t>(2)(3)</w:t>
            </w: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r>
              <w:rPr>
                <w:rFonts w:ascii="Arial" w:cs="Arial" w:eastAsia="Arial" w:hAnsi="Arial"/>
                <w:sz w:val="29"/>
                <w:szCs w:val="29"/>
                <w:color w:val="auto"/>
                <w:vertAlign w:val="superscript"/>
              </w:rPr>
              <w:t>(2)</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ind w:left="260"/>
              <w:spacing w:after="0" w:line="364" w:lineRule="exact"/>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471"/>
        </w:trPr>
        <w:tc>
          <w:tcPr>
            <w:tcW w:w="4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w w:val="99"/>
              </w:rPr>
              <w:t>04/06/2020</w:t>
            </w:r>
          </w:p>
        </w:tc>
        <w:tc>
          <w:tcPr>
            <w:tcW w:w="2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35"/>
                <w:szCs w:val="35"/>
                <w:color w:val="auto"/>
                <w:w w:val="90"/>
                <w:vertAlign w:val="subscript"/>
              </w:rPr>
              <w:t>3,500</w:t>
            </w:r>
            <w:r>
              <w:rPr>
                <w:rFonts w:ascii="Arial" w:cs="Arial" w:eastAsia="Arial" w:hAnsi="Arial"/>
                <w:sz w:val="15"/>
                <w:szCs w:val="15"/>
                <w:color w:val="auto"/>
                <w:w w:val="90"/>
              </w:rPr>
              <w:t>(2)(6)</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w:t>
            </w:r>
            <w:r>
              <w:rPr>
                <w:rFonts w:ascii="Arial" w:cs="Arial" w:eastAsia="Arial" w:hAnsi="Arial"/>
                <w:sz w:val="29"/>
                <w:szCs w:val="29"/>
                <w:color w:val="auto"/>
                <w:vertAlign w:val="superscript"/>
              </w:rPr>
              <w:t>(2)</w:t>
            </w:r>
          </w:p>
        </w:tc>
        <w:tc>
          <w:tcPr>
            <w:tcW w:w="200" w:type="dxa"/>
            <w:vAlign w:val="bottom"/>
          </w:tcPr>
          <w:p>
            <w:pPr>
              <w:spacing w:after="0"/>
              <w:rPr>
                <w:sz w:val="24"/>
                <w:szCs w:val="24"/>
                <w:color w:val="auto"/>
              </w:rPr>
            </w:pPr>
          </w:p>
        </w:tc>
        <w:tc>
          <w:tcPr>
            <w:tcW w:w="700" w:type="dxa"/>
            <w:vAlign w:val="bottom"/>
          </w:tcPr>
          <w:p>
            <w:pPr>
              <w:ind w:left="260"/>
              <w:spacing w:after="0"/>
              <w:rPr>
                <w:sz w:val="20"/>
                <w:szCs w:val="20"/>
                <w:color w:val="auto"/>
              </w:rPr>
            </w:pPr>
            <w:r>
              <w:rPr>
                <w:rFonts w:ascii="Arial" w:cs="Arial" w:eastAsia="Arial" w:hAnsi="Arial"/>
                <w:sz w:val="35"/>
                <w:szCs w:val="35"/>
                <w:color w:val="auto"/>
                <w:vertAlign w:val="subscript"/>
              </w:rPr>
              <w:t>—</w:t>
            </w:r>
            <w:r>
              <w:rPr>
                <w:rFonts w:ascii="Arial" w:cs="Arial" w:eastAsia="Arial" w:hAnsi="Arial"/>
                <w:sz w:val="15"/>
                <w:szCs w:val="15"/>
                <w:color w:val="auto"/>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-1472565</wp:posOffset>
            </wp:positionV>
            <wp:extent cx="12001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-1472565</wp:posOffset>
            </wp:positionV>
            <wp:extent cx="1200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-1472565</wp:posOffset>
            </wp:positionV>
            <wp:extent cx="12001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2919730</wp:posOffset>
            </wp:positionH>
            <wp:positionV relativeFrom="paragraph">
              <wp:posOffset>-1472565</wp:posOffset>
            </wp:positionV>
            <wp:extent cx="1200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69850</wp:posOffset>
            </wp:positionV>
            <wp:extent cx="8229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38" w:lineRule="exact"/>
        <w:rPr>
          <w:sz w:val="20"/>
          <w:szCs w:val="20"/>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Class A-3 units.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Class B units.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Twenty-five percent of the units subject to this equity award will vest on the one-year anniversary of the vesting commencement date, and thereafter the remaining seventy-five percent of the units will vest equally on a quarterly pro-rata basis over the next three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2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Class A-3 units and Class B units represent profits interests in WM Holding Company, LLC. No value is realized as a result of vesting of these units and consistent with FASB ASC Topic 718, the grant date fair value of Class A-3 and Class B units is $0.</w:t>
      </w:r>
    </w:p>
    <w:p>
      <w:pPr>
        <w:spacing w:after="0" w:line="11" w:lineRule="exact"/>
        <w:rPr>
          <w:rFonts w:ascii="Arial" w:cs="Arial" w:eastAsia="Arial" w:hAnsi="Arial"/>
          <w:sz w:val="14"/>
          <w:szCs w:val="14"/>
          <w:color w:val="auto"/>
        </w:rPr>
      </w:pPr>
    </w:p>
    <w:p>
      <w:pPr>
        <w:jc w:val="both"/>
        <w:ind w:left="640" w:right="299" w:hanging="348"/>
        <w:spacing w:after="0" w:line="255"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12.5% of the units subject to this equity award will vest on the six-month anniversary of the vesting commencement date, and thereafter the remaining 87.5% of the units will vest equally on a quarterly pro-rata basis over the next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2" w:lineRule="exact"/>
        <w:rPr>
          <w:rFonts w:ascii="Arial" w:cs="Arial" w:eastAsia="Arial" w:hAnsi="Arial"/>
          <w:sz w:val="13"/>
          <w:szCs w:val="13"/>
          <w:color w:val="auto"/>
        </w:rPr>
      </w:pPr>
    </w:p>
    <w:p>
      <w:pPr>
        <w:jc w:val="both"/>
        <w:ind w:left="640" w:right="299" w:hanging="348"/>
        <w:spacing w:after="0" w:line="264" w:lineRule="auto"/>
        <w:tabs>
          <w:tab w:leader="none" w:pos="640" w:val="left"/>
        </w:tabs>
        <w:numPr>
          <w:ilvl w:val="0"/>
          <w:numId w:val="47"/>
        </w:numPr>
        <w:rPr>
          <w:rFonts w:ascii="Arial" w:cs="Arial" w:eastAsia="Arial" w:hAnsi="Arial"/>
          <w:sz w:val="13"/>
          <w:szCs w:val="13"/>
          <w:color w:val="auto"/>
        </w:rPr>
      </w:pPr>
      <w:r>
        <w:rPr>
          <w:rFonts w:ascii="Arial" w:cs="Arial" w:eastAsia="Arial" w:hAnsi="Arial"/>
          <w:sz w:val="13"/>
          <w:szCs w:val="13"/>
          <w:color w:val="auto"/>
        </w:rPr>
        <w:t>The units subject to this equity award will vest equally on a quarterly pro-rata basis over four years, provided that such named executive officer is employed by or otherwise providing services to Ghost Management Group, LLC, or one of its designated affiliates as of each such vesting date and that notice of termination of such employment or services has not been provided on or prior to such vesting date.</w:t>
      </w:r>
    </w:p>
    <w:p>
      <w:pPr>
        <w:spacing w:after="0" w:line="1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Employee Benefit Plans</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2021 Equity Incentive Plan</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In June 2021, our board of directors adopted and our stockholders approved the WM Technology, Inc. 2021 Equity Incentive Plan (the “2021 Plan”). The 2021 Plan became effective immediately upon the Closing.</w:t>
      </w:r>
    </w:p>
    <w:p>
      <w:pPr>
        <w:spacing w:after="0" w:line="38"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Our employees, consultants and directors, and employees and consultants of our affiliates,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awards under 2021 Plan.</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Award Types</w:t>
      </w:r>
      <w:r>
        <w:rPr>
          <w:rFonts w:ascii="Arial" w:cs="Arial" w:eastAsia="Arial" w:hAnsi="Arial"/>
          <w:sz w:val="18"/>
          <w:szCs w:val="18"/>
          <w:color w:val="auto"/>
        </w:rPr>
        <w:t>. The equity incentive plan provides for the grant of incentive stock options (“ISOs”) to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and for the grant of nonstatutory stock options (“NSOs”), stock appreciation rights, restricted stock awards, restricted stock unit awards, performance awards and other forms of stock awards to employees, directors and consultants.</w:t>
      </w:r>
    </w:p>
    <w:p>
      <w:pPr>
        <w:spacing w:after="0" w:line="79"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The number of shares of common stock initially reserved for issuance under the equity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plan is the amount of shares of common stock equal to 11% of the sum of (i) the number of shares of our common stock outstanding as of the consummation of the Business Combination and (ii) the number of shares of our common stock underlying securities convertible into our common stock. The number of shares of common stock reserved for issuance under the equity incentive plan will automatically increase on January 1 of each year, for a period of ten years, from January 1, 2022 continuing through January 1, 2031, by 5% of the total number of shares of our capital stock outstanding on December 31 of the preceding calendar year, or a lesser number of shares as may be determined by our board of directors. The maximum number of shares that may be issued pursuant to the exercise of ISOs under the equity incentive plan is equal to 300% of the number of shares of common stock initially reserved under the equity incentive plan. Shares issued under the equity incentive plan may be authorized but unissued or reacquired shares. Shares subject to stock awards granted under the equity incentive plan that expire or terminate without being exercised in full, or that are paid out in cash rather than in shares, will not reduce the number of shares available for issuance under the equity incentive plan. Additionally, shares issued pursuant to stock awards under the equity</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4" w:name="page95"/>
    <w:bookmarkEnd w:id="9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263" w:lineRule="auto"/>
        <w:rPr>
          <w:sz w:val="20"/>
          <w:szCs w:val="20"/>
          <w:color w:val="auto"/>
        </w:rPr>
      </w:pPr>
      <w:r>
        <w:rPr>
          <w:rFonts w:ascii="Arial" w:cs="Arial" w:eastAsia="Arial" w:hAnsi="Arial"/>
          <w:sz w:val="18"/>
          <w:szCs w:val="18"/>
          <w:color w:val="auto"/>
        </w:rPr>
        <w:t>incentive plan that are repurchased or forfeited, as well as shares that are reacquired as consideration for the exercise or purchase price of a stock award or to satisfy tax withholding obligations related to a stock award, will become available for future grant under the equity incentive plan.</w:t>
      </w:r>
    </w:p>
    <w:p>
      <w:pPr>
        <w:spacing w:after="0" w:line="7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thereof, will have the authority to</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administer the equity incentive plan. Our board of directors may also delegate to one or more officers the authority to (i) designate employees other than officers to receive specified stock awards and (ii) determine the number of shares to be subject to such stock awards. Subject to the terms of the equity incentive plan, the plan administrator has the authority to determine the terms of awards, including recipients, the exercise price or strike price of stock awards, if any, the number of shares subject to each stock award, the fair market value of a share, the vesting schedule applicable to the awards, together with any vesting acceleration, the form of consideration, if any, payable upon exercise or settlement of the stock award and the terms and conditions of the award agreements for use under the equity incentive plan. The plan administrator has the power to modify outstanding awards under the equity incentive plan. Subject to the terms of the equity incentive plan, the plan administrator also has the authority to reprice any outstanding option or stock award, cancel and re-grant any outstanding option or stock award in exchange for new stock awards, cash or other consideration, or take any other action that is treated as a repricing under generally accepted accounting principles, with the consent of any materially adversely affected participant.</w:t>
      </w:r>
    </w:p>
    <w:p>
      <w:pPr>
        <w:spacing w:after="0" w:line="66"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ISOs and NSOs are granted under stock option agreements adopted by the plan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determines the exercise price for stock options, within the terms and conditions of the equity incentive plan, provided that the exercise price of a stock option generally cannot be less than 100% of the fair market value of a share of common stock on the date of grant (however, a stock option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and, if applicable, 424(a) of the Code). Options granted under the equity incentive plan vest at the rate specified in the stock option agreement as determined by the plan administrator. The plan administrator determines the term of stock options granted under the equity incentive plan, up to a maximum of ten years. Unless the terms of an optionholder’s stock option agreement provide otherwise, if an optionholder’s service relationship ceases for any reason other than disability, death or cause, the optionholder may generally exercise any vested options for a period of three months following the cessation of service. The option term may be extended in the event that the exercise of the option following such a termination of service is prohibited by applicable securities laws or our insider trading policy. If an optionholder’s service relationship ceases due to disability or death, or an optionholder dies within a certain period following cessation of service, the optionholder or a beneficiary may generally exercise any vested options for a period of 12 months in the event of disability and 18 months in the event of death. Options generally terminate immediately upon the termination of an optionholder’s service for cause. In no event may an option be exercised beyond the expiration of its term. Acceptable consideration for the purchase of common stock issued upon exercise of a stock option will be determined by the plan administrator and may include (i) cash, check, bank draft, or money order, (ii) a broker-assisted cashless exercise, (iii) the tender of shares of common stock previously owned by the optionholder, (iv) a net exercise of the option if it is an NSO and (v) other legal consideration approved by the plan administrator.</w:t>
      </w:r>
    </w:p>
    <w:p>
      <w:pPr>
        <w:spacing w:after="0" w:line="286"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i w:val="1"/>
          <w:iCs w:val="1"/>
          <w:color w:val="auto"/>
        </w:rPr>
        <w:t>Tax Limitations on ISOs</w:t>
      </w:r>
      <w:r>
        <w:rPr>
          <w:rFonts w:ascii="Arial" w:cs="Arial" w:eastAsia="Arial" w:hAnsi="Arial"/>
          <w:sz w:val="16"/>
          <w:szCs w:val="16"/>
          <w:color w:val="auto"/>
        </w:rPr>
        <w:t>. The aggregate fair market value, determined at the time of grant, of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with respect to ISOs that are exercisable for the first time by an optionholder during any calendar year under all stock plans maintained by us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option is not exercisable after the expiration of five years from the date of grant.</w:t>
      </w:r>
    </w:p>
    <w:p>
      <w:pPr>
        <w:spacing w:after="0" w:line="5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Restricted stock awards are granted under restricted stock award agreements adopted</w:t>
      </w:r>
      <w:r>
        <w:rPr>
          <w:rFonts w:ascii="Arial" w:cs="Arial" w:eastAsia="Arial" w:hAnsi="Arial"/>
          <w:sz w:val="16"/>
          <w:szCs w:val="16"/>
          <w:i w:val="1"/>
          <w:iCs w:val="1"/>
          <w:color w:val="auto"/>
        </w:rPr>
        <w:t xml:space="preserve"> </w:t>
      </w:r>
      <w:r>
        <w:rPr>
          <w:rFonts w:ascii="Arial" w:cs="Arial" w:eastAsia="Arial" w:hAnsi="Arial"/>
          <w:sz w:val="16"/>
          <w:szCs w:val="16"/>
          <w:color w:val="auto"/>
        </w:rPr>
        <w:t>by the plan administrator. A restricted stock award may be awarded in consideration for cash, check, bank draft or money order, past services, or any other form of legal consideration that may be acceptable to the plan administrator and permissible under applicable law. The plan administrator determines the terms and conditions of restricted stock</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5" w:name="page96"/>
    <w:bookmarkEnd w:id="9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awards, including vesting and forfeiture terms. Except as provided otherwise in the applicable award agreement, if a participant’s service relationship ends for any reason, we may receive through a forfeiture condition or a repurchase right any or all of the shares held by the participant under his or her restricted stock award that have not vested as of the date the participant terminates service.</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i w:val="1"/>
          <w:iCs w:val="1"/>
          <w:color w:val="auto"/>
        </w:rPr>
        <w:t>Restricted Stock Unit Awards</w:t>
      </w:r>
      <w:r>
        <w:rPr>
          <w:rFonts w:ascii="Arial" w:cs="Arial" w:eastAsia="Arial" w:hAnsi="Arial"/>
          <w:sz w:val="17"/>
          <w:szCs w:val="17"/>
          <w:color w:val="auto"/>
        </w:rPr>
        <w:t>. Restricted stock units are granted under restricted stock unit award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Restricted stock units may be granted in consideration for any form of legal consideration that may be acceptable to the plan administrator and permissible under applicable law. A restricted stock unit may be settled by cash, delivery of stock, a combination of cash and stock as deemed appropriate by the plan administrator, or in any other form of consideration set forth in the restricted stock unit agreement. Additionally, dividend equivalents may be credited in respect of shares covered by a restricted stock unit. Except as otherwise provided in the applicable award agreement, restricted stock units that have not vested will be forfeited once the participant’s continuous service ends for any reason.</w:t>
      </w:r>
    </w:p>
    <w:p>
      <w:pPr>
        <w:spacing w:after="0" w:line="70"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Stock appreciation rights are granted under stock appreciation grant agreements</w:t>
      </w:r>
      <w:r>
        <w:rPr>
          <w:rFonts w:ascii="Arial" w:cs="Arial" w:eastAsia="Arial" w:hAnsi="Arial"/>
          <w:sz w:val="17"/>
          <w:szCs w:val="17"/>
          <w:i w:val="1"/>
          <w:iCs w:val="1"/>
          <w:color w:val="auto"/>
        </w:rPr>
        <w:t xml:space="preserve"> </w:t>
      </w:r>
      <w:r>
        <w:rPr>
          <w:rFonts w:ascii="Arial" w:cs="Arial" w:eastAsia="Arial" w:hAnsi="Arial"/>
          <w:sz w:val="17"/>
          <w:szCs w:val="17"/>
          <w:color w:val="auto"/>
        </w:rPr>
        <w:t>adopted by the plan administrator. The plan administrator determines the purchase price or strike price for a stock appreciation right, which generally cannot be less than 100% of the fair market value of common stock on the date of grant (however, a stock appreciation right may be granted with an exercise or strike price lower than 100% of the fair market value on the date of grant of such award if such award is granted pursuant to an assumption of or substitution for another option pursuant to a corporate transaction, as such term is defined in the equity incentive plan, and in a manner consistent with the provisions of Sections 409A). A stock appreciation right granted under the equity incentive plan vests at the rate specified in the stock appreciation right agreement as determined by the plan administrator.</w:t>
      </w:r>
    </w:p>
    <w:p>
      <w:pPr>
        <w:spacing w:after="0" w:line="7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i w:val="1"/>
          <w:iCs w:val="1"/>
          <w:color w:val="auto"/>
        </w:rPr>
        <w:t>Performance Awards</w:t>
      </w:r>
      <w:r>
        <w:rPr>
          <w:rFonts w:ascii="Arial" w:cs="Arial" w:eastAsia="Arial" w:hAnsi="Arial"/>
          <w:sz w:val="16"/>
          <w:szCs w:val="16"/>
          <w:color w:val="auto"/>
        </w:rPr>
        <w:t>. The equity incentive plan permits the grant of performance-based stock and cash awards.</w:t>
      </w:r>
      <w:r>
        <w:rPr>
          <w:rFonts w:ascii="Arial" w:cs="Arial" w:eastAsia="Arial" w:hAnsi="Arial"/>
          <w:sz w:val="16"/>
          <w:szCs w:val="16"/>
          <w:i w:val="1"/>
          <w:iCs w:val="1"/>
          <w:color w:val="auto"/>
        </w:rPr>
        <w:t xml:space="preserve"> </w:t>
      </w:r>
      <w:r>
        <w:rPr>
          <w:rFonts w:ascii="Arial" w:cs="Arial" w:eastAsia="Arial" w:hAnsi="Arial"/>
          <w:sz w:val="16"/>
          <w:szCs w:val="16"/>
          <w:color w:val="auto"/>
        </w:rPr>
        <w:t>The plan administrator may structure awards so that the shares of common stock, cash, or other property will be issued or paid only following the achievement of certain pre-established performance goals during a designated performance period. The performance criteria that will be used to establish such performance goals may be based on any measure of performance selected by the plan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(i) in the award agreement at the time the award is granted or</w:t>
      </w:r>
    </w:p>
    <w:p>
      <w:pPr>
        <w:spacing w:after="0" w:line="1" w:lineRule="exact"/>
        <w:rPr>
          <w:sz w:val="20"/>
          <w:szCs w:val="20"/>
          <w:color w:val="auto"/>
        </w:rPr>
      </w:pPr>
    </w:p>
    <w:p>
      <w:pPr>
        <w:jc w:val="both"/>
        <w:ind w:left="300" w:right="299" w:hanging="8"/>
        <w:spacing w:after="0" w:line="284" w:lineRule="auto"/>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such other document setting forth the performance goals at the time the goals are established, the plan administrator will appropriately make adjustments in the method of calculating the attainment of performance goals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us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stockholders other than regular cash dividends; (9) to exclude the effects of stock based compensation and the award of bonuses under our bonus plans; (10) to exclude costs incurred in connection with potential acquisitions or divestitures that are required to expense under generally accepted accounting principles; and (11) to exclude the goodwill and intangible asset impairment charges that are required to be recorded under generally accepted accounting principles. In addition, the plan administrator retains the discretion to reduce or eliminate the compensation or economic benefit due upon attainment of the performance goals. Partial achievement of the specified criteria may result in the payment or vesting corresponding to the degree of achievement as specified in the applicable award agreement or the written terms of a performance cash award. The performance goals may differ from participant to participant and from award to award.</w:t>
      </w:r>
    </w:p>
    <w:p>
      <w:pPr>
        <w:spacing w:after="0" w:line="6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i w:val="1"/>
          <w:iCs w:val="1"/>
          <w:color w:val="auto"/>
        </w:rPr>
        <w:t>Units</w:t>
      </w:r>
      <w:r>
        <w:rPr>
          <w:rFonts w:ascii="Arial" w:cs="Arial" w:eastAsia="Arial" w:hAnsi="Arial"/>
          <w:sz w:val="16"/>
          <w:szCs w:val="16"/>
          <w:color w:val="auto"/>
        </w:rPr>
        <w:t>. The equity incentive plan permits the grant of awards in the form of any class of limited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interests in WMH LLC, the entity through which we conducts our business and an entity that is treated as a partnership for U.S. federal income tax purposes. Awards of Units will be valued by reference to, or otherwise determined by reference to or based on, shares of common stock. Units awarded under the equity incentive plan may be convertible, exchangeable or redeemable for other limited liability company interests in WMH or shares of</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6" w:name="page97"/>
    <w:bookmarkEnd w:id="9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4" w:lineRule="auto"/>
        <w:rPr>
          <w:sz w:val="20"/>
          <w:szCs w:val="20"/>
          <w:color w:val="auto"/>
        </w:rPr>
      </w:pPr>
      <w:r>
        <w:rPr>
          <w:rFonts w:ascii="Arial" w:cs="Arial" w:eastAsia="Arial" w:hAnsi="Arial"/>
          <w:sz w:val="16"/>
          <w:szCs w:val="16"/>
          <w:color w:val="auto"/>
        </w:rPr>
        <w:t>common stock, or may be valued by reference to the book value, fair market value or performance of WMH. Awards of Units may be intended to qualify as “profits interests” within the meaning of IRS Revenue Procedure 93-27, as clarified by IRS Revenue Procedure 2001-43, with respect to any participant who is rendering services to or for the benefit of WMH, including its subsidiaries. Awards of Units may be granted either alone or in addition to other awards granted under the equity incentive plan. Our board of directors will determine (i) the eligible participants to whom, and the time or times at which, awards of Units will be made; (ii) the number of Units to be awarded; (iii) the price, if any, to be paid by the participant for the acquisition of such Units (which may be less than the fair market value of the post-merger WMH unit; (iv) and the restrictions and conditions applicable to such award of Units, with related length of the service period for vesting, minimum or maximum performance thresholds, measurement procedures and length of the performance period to be established by our board of directors at the time of grant, in its sole discretion. Our board of directors may allow awards of Units to be held through a limited partnership, or similar “look-through” entity, and our board of directors may require such limited partnership or similar entity to impose restrictions on our partners or other beneficial owners that are not inconsistent with the terms of the equity incentive plan. The provisions of the grant of Units need not be the same with respect to each participant. The award agreement or other award documentation in respect of an award of Units may provide that the recipient of Units will be entitled to receive, currently or on a deferred or contingent basis, dividends or dividend equivalents with respect to the number of shares of common stock underlying the award or other distributions from WMH prior to vesting (whether based on a period of time or based on attainment of specified performance conditions), as determined at the time of grant by our board of directors, in its sole discretion, and our board of directors may provide that such amounts (if any) will be deemed to have been reinvested in additional shares of common stock or Units.</w:t>
      </w:r>
    </w:p>
    <w:p>
      <w:pPr>
        <w:spacing w:after="0" w:line="74"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i w:val="1"/>
          <w:iCs w:val="1"/>
          <w:color w:val="auto"/>
        </w:rPr>
        <w:t>Other Stock Awards</w:t>
      </w:r>
      <w:r>
        <w:rPr>
          <w:rFonts w:ascii="Arial" w:cs="Arial" w:eastAsia="Arial" w:hAnsi="Arial"/>
          <w:sz w:val="18"/>
          <w:szCs w:val="18"/>
          <w:color w:val="auto"/>
        </w:rPr>
        <w:t>. The plan administrator may grant other awards based in whole or in part by reference to</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The plan administrator will set the number of shares under the stock award and all other terms and conditions of such awards.</w:t>
      </w:r>
    </w:p>
    <w:p>
      <w:pPr>
        <w:spacing w:after="0" w:line="76"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Non-Employee Director Compensation Limit</w:t>
      </w:r>
      <w:r>
        <w:rPr>
          <w:rFonts w:ascii="Arial" w:cs="Arial" w:eastAsia="Arial" w:hAnsi="Arial"/>
          <w:sz w:val="18"/>
          <w:szCs w:val="18"/>
          <w:color w:val="auto"/>
        </w:rPr>
        <w:t>. The aggregate value of all compensation granted or paid by us to</w:t>
      </w:r>
      <w:r>
        <w:rPr>
          <w:rFonts w:ascii="Arial" w:cs="Arial" w:eastAsia="Arial" w:hAnsi="Arial"/>
          <w:sz w:val="18"/>
          <w:szCs w:val="18"/>
          <w:i w:val="1"/>
          <w:iCs w:val="1"/>
          <w:color w:val="auto"/>
        </w:rPr>
        <w:t xml:space="preserve"> </w:t>
      </w:r>
      <w:r>
        <w:rPr>
          <w:rFonts w:ascii="Arial" w:cs="Arial" w:eastAsia="Arial" w:hAnsi="Arial"/>
          <w:sz w:val="18"/>
          <w:szCs w:val="18"/>
          <w:color w:val="auto"/>
        </w:rPr>
        <w:t>any individual for service as a non-employee director with respect to any calendar year (such period, the “annual period”), including stock awards and cash fees paid by us to such non-employee director, will not exceed (i) $750,000 in total value or (ii) in the event such non-employee director is first appointed or elected to our board of directors during such annual period, $1,000,000 in total value. For purposes of these limitations, the value of any such stock awards is calculated based on the grant date fair value of such stock awards for financial reporting purposes.</w:t>
      </w:r>
    </w:p>
    <w:p>
      <w:pPr>
        <w:spacing w:after="0" w:line="8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appropriate adjustments will be made to (i) the class(es) and maximum number of shares of common stock subject to the equity incentive plan and the maximum number of shares by which the share reserve may annually increase; (ii) the class(es) and maximum number of shares that may be issued pursuant to the exercise of ISOs; and (iii) the class(es) and number of securities and exercise price, strike price or purchase price of common stock subject to outstanding awards.</w:t>
      </w:r>
    </w:p>
    <w:p>
      <w:pPr>
        <w:spacing w:after="0" w:line="88" w:lineRule="exact"/>
        <w:rPr>
          <w:sz w:val="20"/>
          <w:szCs w:val="20"/>
          <w:color w:val="auto"/>
        </w:rPr>
      </w:pPr>
    </w:p>
    <w:p>
      <w:pPr>
        <w:jc w:val="both"/>
        <w:ind w:left="300" w:right="299" w:firstLine="360"/>
        <w:spacing w:after="0" w:line="267"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The following applies to stock awards under the equity incentive plan in the event of a</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corporate transaction, as defined in the equity incentive plan, unless otherwise provided in a participant’s stock award agreement or other written agreement with us or unless otherwise expressly provided by the plan administrator at the time of grant. In the event of a corporate transaction, any stock awards outstanding under the equity incentive plan may be assumed, continued or substituted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such stock awards, then with respect to any such stock awards that are held by participants whose continuous service has not terminated prior to the effective time of the transaction, or current participants, the vesting (and exercisability, if applicable) of such stock awards will be accelerated in full to a date prior to the effective time of the transaction (contingent upon the effectiveness of the transaction), and such stock awards will terminate for no consideration if not exercised (if applicable) at or prior to the effective time of the transaction, and any reacquisition or repurchase rights held by us with respect to such stock awards will lapse (contingent upon the effectiveness of the transaction). With respect to performance awards with multiple vesting levels depending on performance level, unless otherwise provided by an award agreement or by the plan administrator, the award will accelerate at 100% of target. If the surviving or acquiring corporation (or its parent company) does not assume, continue or substitute such stock</w:t>
      </w:r>
    </w:p>
    <w:p>
      <w:pPr>
        <w:sectPr>
          <w:pgSz w:w="11900" w:h="16838" w:orient="portrait"/>
          <w:cols w:equalWidth="0" w:num="1">
            <w:col w:w="9019"/>
          </w:cols>
          <w:pgMar w:left="1440" w:top="265" w:right="1440"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97" w:name="page98"/>
    <w:bookmarkEnd w:id="9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8" w:lineRule="auto"/>
        <w:rPr>
          <w:sz w:val="20"/>
          <w:szCs w:val="20"/>
          <w:color w:val="auto"/>
        </w:rPr>
      </w:pPr>
      <w:r>
        <w:rPr>
          <w:rFonts w:ascii="Arial" w:cs="Arial" w:eastAsia="Arial" w:hAnsi="Arial"/>
          <w:sz w:val="16"/>
          <w:szCs w:val="16"/>
          <w:color w:val="auto"/>
        </w:rPr>
        <w:t>awards, then with respect to any such stock awards that are held by persons other than current participants, such awards will terminate for no consideration if not exercised (if applicable) prior to the effective time of the transaction, except that any reacquisition or repurchase rights held by us with respect to such stock awards will not terminate and may continue to be exercised notwithstanding the transaction. The plan administrator is not obligated to treat all stock awards or portions of stock awards in the same manner and is not obligated to take the same actions with respect to all participants. In the event a stock award will terminate if not exercised prior to the effective time of a transaction, the plan administrator may provide, in its sole discretion, that the holder of such stock award may not exercise such stock award but instead will receive a payment equal in value, at the effective time, to the excess (if any) of (1) the value of the property the participant would have received upon exercise of the stock award over (2) any exercise price payable by such holder in connection with such exercise.</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as defined under the equity incentive plan, awards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under the equity incentive plan will not receive automatic acceleration of vesting and exercisability, although this treatment may be provided for in an award agreement.</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will have the authority to amend, suspend, or terminate</w:t>
      </w:r>
      <w:r>
        <w:rPr>
          <w:rFonts w:ascii="Arial" w:cs="Arial" w:eastAsia="Arial" w:hAnsi="Arial"/>
          <w:sz w:val="18"/>
          <w:szCs w:val="18"/>
          <w:i w:val="1"/>
          <w:iCs w:val="1"/>
          <w:color w:val="auto"/>
        </w:rPr>
        <w:t xml:space="preserve"> </w:t>
      </w:r>
      <w:r>
        <w:rPr>
          <w:rFonts w:ascii="Arial" w:cs="Arial" w:eastAsia="Arial" w:hAnsi="Arial"/>
          <w:sz w:val="18"/>
          <w:szCs w:val="18"/>
          <w:color w:val="auto"/>
        </w:rPr>
        <w:t>the equity incentive plan, provided that such action does not materially impair the existing rights of any participant without such participant’s written consent. No ISOs may be granted after the tenth anniversary of the date the board of directors of Silver Spike adopted the equity incentive plan.</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Third Amended and Restated Equity Incentive Plan</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Legacy WMH’s Third Amended and Restated Equity Incentive Plan (the “2018 Plan”), was adopted by the board of managers of Legacy WMH and approved by its members in August 2018. The 2018 Plan was subsequently amended by the Legacy WMH board of managers on December 10, 2020. The 2018 Plan permitted the grant of Legacy WMH’s Class B units and Class A-3 units (the “Plan Units”), to Legacy WMH and its subsidiaries’ and affiliates’ employees, consultants, advisors, and independent contractors. As a result of the adoption of the 2021 Plan, no additional awards will be granted under the 2018 Plan. However, the 2018 Plan generally will continue to govern the terms and conditions of the outstanding awards previously granted under the 2018 Plan, as adjusted for the Business Combination and the Amended Operating Agreement.</w:t>
      </w:r>
    </w:p>
    <w:p>
      <w:pPr>
        <w:spacing w:after="0" w:line="7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 As of December 31, 2020, the maximum aggregate number of Plan Units authorized for</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under the 2018 Plan was 274,822, six of which Plan Units were available for grant as of the same date. Plan Units granted under the 2018 Plan that, under certain circumstances, are cancelled, repurchased, or redeemed by Legacy WMH were available for future grant under the 2018 Plan while the 2018 Plan remained in effect. As of March 31, 2021, 274,780 Plan Units were outstanding under the 2018 Plan.</w:t>
      </w:r>
    </w:p>
    <w:p>
      <w:pPr>
        <w:spacing w:after="0" w:line="68"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Prior to the Business Combination, the 2018 Plan was administered by Legacy WMH’s</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managers or one or more of Legacy WMH’s or its subsidiaries’ officers appointed by Legacy WMH’s board of managers. After the Business Combination, in our capacity as managing member of WMH LLC, we will administer the 2018 Plan as to any awards that remain outstanding thereunder. The administrator is authorized, in a nondiscriminatory manner, to interpret the 2018 Plan and the award agreements entered into under the 2018 Plan, prescribe rules relating to the 2018 Plan, and make all other determinations necessary or advisable for administering the 2018 Plan.</w:t>
      </w:r>
    </w:p>
    <w:p>
      <w:pPr>
        <w:spacing w:after="0" w:line="8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i w:val="1"/>
          <w:iCs w:val="1"/>
          <w:color w:val="auto"/>
        </w:rPr>
        <w:t>Plan Units</w:t>
      </w:r>
      <w:r>
        <w:rPr>
          <w:rFonts w:ascii="Arial" w:cs="Arial" w:eastAsia="Arial" w:hAnsi="Arial"/>
          <w:sz w:val="17"/>
          <w:szCs w:val="17"/>
          <w:color w:val="auto"/>
        </w:rPr>
        <w:t>. Plan Units granted under the 2018 Plan may be subject to various restrictions, including restrictions</w:t>
      </w:r>
      <w:r>
        <w:rPr>
          <w:rFonts w:ascii="Arial" w:cs="Arial" w:eastAsia="Arial" w:hAnsi="Arial"/>
          <w:sz w:val="17"/>
          <w:szCs w:val="17"/>
          <w:i w:val="1"/>
          <w:iCs w:val="1"/>
          <w:color w:val="auto"/>
        </w:rPr>
        <w:t xml:space="preserve"> </w:t>
      </w:r>
      <w:r>
        <w:rPr>
          <w:rFonts w:ascii="Arial" w:cs="Arial" w:eastAsia="Arial" w:hAnsi="Arial"/>
          <w:sz w:val="17"/>
          <w:szCs w:val="17"/>
          <w:color w:val="auto"/>
        </w:rPr>
        <w:t>on transferability and forfeiture provisions, as determined by the administrator and consistent with the 2018 Plan terms. Subject to the terms of the 2018 Plan, the administrator determined the number of Plan Units granted and other terms and conditions of such awards. The administrator imposed whatever conditions to vesting it determined to be appropriate. Plan Units that have not vested are subject to WMH LLC’s right of repurchase or forfeiture. The economic and other rights associated with Plan Units granted under the 2018 Plan are governed by the 2018 Plan, Amended Operating Agreement and the applicable award agreement.</w:t>
      </w:r>
    </w:p>
    <w:p>
      <w:pPr>
        <w:spacing w:after="0" w:line="6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The Plan Units are subject to certain transferability restrictions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requirements governed by the terms of the Amended Operating Agreement, the 2018 Plan and the applicable award agreement.</w:t>
      </w:r>
    </w:p>
    <w:p>
      <w:pPr>
        <w:spacing w:after="0" w:line="76"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i w:val="1"/>
          <w:iCs w:val="1"/>
          <w:color w:val="auto"/>
        </w:rPr>
        <w:t>Certain Adjustments</w:t>
      </w:r>
      <w:r>
        <w:rPr>
          <w:rFonts w:ascii="Arial" w:cs="Arial" w:eastAsia="Arial" w:hAnsi="Arial"/>
          <w:sz w:val="16"/>
          <w:szCs w:val="16"/>
          <w:color w:val="auto"/>
        </w:rPr>
        <w:t>. The outstanding Plan Units are subject to adjustment, exchange, replacement or, to the</w:t>
      </w:r>
      <w:r>
        <w:rPr>
          <w:rFonts w:ascii="Arial" w:cs="Arial" w:eastAsia="Arial" w:hAnsi="Arial"/>
          <w:sz w:val="16"/>
          <w:szCs w:val="16"/>
          <w:i w:val="1"/>
          <w:iCs w:val="1"/>
          <w:color w:val="auto"/>
        </w:rPr>
        <w:t xml:space="preserve"> </w:t>
      </w:r>
      <w:r>
        <w:rPr>
          <w:rFonts w:ascii="Arial" w:cs="Arial" w:eastAsia="Arial" w:hAnsi="Arial"/>
          <w:sz w:val="16"/>
          <w:szCs w:val="16"/>
          <w:color w:val="auto"/>
        </w:rPr>
        <w:t>extent then unvested, cancellation for no consideration by us, in our capacity as managing member of WMH LLC,</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8" w:name="page99"/>
    <w:bookmarkEnd w:id="9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311" w:lineRule="auto"/>
        <w:rPr>
          <w:sz w:val="20"/>
          <w:szCs w:val="20"/>
          <w:color w:val="auto"/>
        </w:rPr>
      </w:pPr>
      <w:r>
        <w:rPr>
          <w:rFonts w:ascii="Arial" w:cs="Arial" w:eastAsia="Arial" w:hAnsi="Arial"/>
          <w:sz w:val="16"/>
          <w:szCs w:val="16"/>
          <w:color w:val="auto"/>
        </w:rPr>
        <w:t>at our discretion so as to fairly and equitably and/or proportionately reflect any unit splits, reverse splits, dividends or distributions, recapitalizations, reclassifications, or other relevant changes in WMH LLC’s capitalization or corporate structure, as well as certain other adjustments as may be specified in the Amended Operating Agreement.</w:t>
      </w:r>
    </w:p>
    <w:p>
      <w:pPr>
        <w:spacing w:after="0" w:line="4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i w:val="1"/>
          <w:iCs w:val="1"/>
          <w:color w:val="auto"/>
        </w:rPr>
        <w:t>Amendment, Suspension and Termination</w:t>
      </w:r>
      <w:r>
        <w:rPr>
          <w:rFonts w:ascii="Arial" w:cs="Arial" w:eastAsia="Arial" w:hAnsi="Arial"/>
          <w:sz w:val="18"/>
          <w:szCs w:val="18"/>
          <w:color w:val="auto"/>
        </w:rPr>
        <w:t>. We, in our capacity as managing member of WMH LLC, have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amend, suspend or terminate all or any part of the 2018 Plan in our sole discretion, subject to the terms of the 2018 Plan and the Amended Operating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9" w:name="page100"/>
    <w:bookmarkEnd w:id="9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21"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following is a summary of transactions since January 1, 2019, to which we have been a party in which the amount involved exceeded $120,000 and in which any of our executive officers, directors, managers, promoters, beneficial holders of more than 5% of our membership interests, or any associates or affiliates thereof had or will have a direct or indirect material interest, other than compensation arrangements which are described in the section entitled “Executive Compensation.”</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Amended Operating Company Agreement</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Concurrently with the Closing, the WMH LLC operating agreement was further amended and restated in its entirety to become the Fourth Amended and Restated Operating Agreement (the “Amended Operating Agreement”). Messrs. Beals, Camire, Dean, Feijoo, Lee, Francis and Hartfield and Ghost Media Group, LLC all own Paired Interests and Class P Units as described in the section titled “Principal Securityholders.”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of the Units</w:t>
      </w:r>
    </w:p>
    <w:p>
      <w:pPr>
        <w:spacing w:after="0" w:line="11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Pursuant to the Amended Operating Agreement, the Units are entitled to share in the profits and losses of WMH LLC and to receive distributions as and if declared by the managing member of WMH LLC and have no voting rights. The Amended Operating Agreement generally establishes the rights and vesting conditions of the LTIP Units and the Class P Units, which are treated as profits interests in WMH LLC, and may be offered to directors, employees, officers, consultants or other service providers. LTIP Units and Class P Units have all the rights, privileges, preferences, and obligations as are specifically provided for in the Amended Operating Agreement, and as may otherwise be generally applicable to all classes of Units, however, LTIP Units and Class P Units are not entitled to vote on any matter subject to a vote of the members, except as otherwise required by law.</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Management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as the managing member of WMH LLC, have the sole vote on all matters that require a vote of members under the Amended Operating Agreement or applicable law. The business, property and affairs of WMH LLC are managed solely by the managing member, and the managing member cannot be removed or replaced except by the incumbent managing member.</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Distributions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We, as managing member of WMH LLC may, in our sole discretion, authorize distributions to the WMH LLC members (to the extent of available cash, as defined in the amended operating agreement). Subject to provisions in the Amended Operating Agreement governing tax distributions and the treatment of Class P Units and LTIP Units (as defined in the Amended Operating Agreement), all such distributions will be made pro rata in accordance each member’s number of Class P Units.</w:t>
      </w:r>
    </w:p>
    <w:p>
      <w:pPr>
        <w:spacing w:after="0" w:line="80" w:lineRule="exact"/>
        <w:rPr>
          <w:sz w:val="20"/>
          <w:szCs w:val="20"/>
          <w:color w:val="auto"/>
        </w:rPr>
      </w:pPr>
    </w:p>
    <w:p>
      <w:pPr>
        <w:jc w:val="both"/>
        <w:ind w:left="300" w:right="299" w:firstLine="360"/>
        <w:spacing w:after="0" w:line="283" w:lineRule="auto"/>
        <w:rPr>
          <w:sz w:val="20"/>
          <w:szCs w:val="20"/>
          <w:color w:val="auto"/>
        </w:rPr>
      </w:pPr>
      <w:r>
        <w:rPr>
          <w:rFonts w:ascii="Arial" w:cs="Arial" w:eastAsia="Arial" w:hAnsi="Arial"/>
          <w:sz w:val="16"/>
          <w:szCs w:val="16"/>
          <w:color w:val="auto"/>
        </w:rPr>
        <w:t>The holders of Class P Units will generally incur U.S. federal, state and local income taxes on their proportionate share of any net taxable income of WMH LLC. Net profits and net losses of WMH LLC will generally be allocated to its members pro rata in accordance with the percentages of their respective ownership of Units. The Amended Operating Agreement provides for pro rata cash distributions to the holders of Units for purposes of funding their tax obligations in respect of the taxable income of WMH LLC that is allocated to them. Generally, these tax distributions will be computed based on WMH LLC’s estimate of the net taxable income of WMH LLC allocable to each holder of Units multiplied by an assumed tax rate equal to the highest effective marginal combined U.S. federal, state and local income tax rate prescribed for an individual or corporate resident of California or New York, New York (taking into account the non-deductibility of certain expenses, the character of our income, and the deductibility of state and local income taxes, to the extent applicable, but not taking into account any deduction under Section 199A of the Code). As a result of (i) potential differences in the amount of net taxable income allocable to us and the other Unit holders, (ii) the lower tax rate applicable to corporations than individuals and</w:t>
      </w:r>
    </w:p>
    <w:p>
      <w:pPr>
        <w:spacing w:after="0" w:line="3" w:lineRule="exact"/>
        <w:rPr>
          <w:sz w:val="20"/>
          <w:szCs w:val="20"/>
          <w:color w:val="auto"/>
        </w:rPr>
      </w:pPr>
    </w:p>
    <w:p>
      <w:pPr>
        <w:jc w:val="both"/>
        <w:ind w:left="300" w:right="299" w:hanging="8"/>
        <w:spacing w:after="0" w:line="255" w:lineRule="auto"/>
        <w:tabs>
          <w:tab w:leader="none" w:pos="657"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use of an assumed tax rate in calculating WMH LLC’s distribution obligations, we may receive tax distributions significantly in excess of its tax liabilities and obligations to make payments under the Tax Receivable Agreement.</w:t>
      </w:r>
    </w:p>
    <w:p>
      <w:pPr>
        <w:spacing w:after="0" w:line="8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Upon the liquidation or winding up of WMH LLC, subject to the treatment of Class P Units and LTIP Units (as defined in the Amended Operating Agreement) and tax distributions, all net proceeds thereof will be distributed in accordance with each member’s number of Units.</w:t>
      </w:r>
    </w:p>
    <w:p>
      <w:pPr>
        <w:sectPr>
          <w:pgSz w:w="11900" w:h="16838" w:orient="portrait"/>
          <w:cols w:equalWidth="0" w:num="1">
            <w:col w:w="9019"/>
          </w:cols>
          <w:pgMar w:left="1440" w:top="265" w:right="1440" w:bottom="1440" w:gutter="0" w:footer="0" w:header="0"/>
        </w:sectPr>
      </w:pP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0" w:name="page101"/>
    <w:bookmarkEnd w:id="10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Transfer Restrictions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Amended Operating Agreement contains restrictions on transfers of units and requires the prior consent of the managing member for such transfers, except in specified cases, including (i) certain transfers to permitted transferees under certain conditions and (ii) exchanges of Units for shares of Class A Common Stock or cash pursuant to the exchange agreement.</w:t>
      </w:r>
    </w:p>
    <w:p>
      <w:pPr>
        <w:spacing w:after="0" w:line="23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Concurrently with the Closing, we, WMH LLC and the Unit holders, including Messrs. Beals, Camire, Dean, Feijoo, Lee, Francis and Hartfield and Ghost Media Group, LLC, as described in the section titled “Principal Securityholders,” entered into an exchange agreement (the “Exchange Agreement”). The terms of the Exchange Agreement provide the Unit holders (or certain permitted transferees thereof) with the right from time to time at and after 180 days following the Business Combination to exchange their c) for shares of Class A Common Stock on a one-for-one basis, subject to customary conversion rate adjustments for stock splits, stock dividends and reclassifications, and to exchange their vested Class P Units for shares of Class A Common Stock with a value equal to the value of such Class P Units less their participation threshold, or, in each case, at the Company’s election, the cash equivalent of such shares of Class A Common Stock. By default, each exchange will take the form of a redemption by us of the WMH Units in exchange for Class A Common Stock or cash, as applicable, unless we elect to effect such exchange directly with the applicable Unit holder. The shares of Class V Common Stock surrendered in any exchange will be immediately cancelled.</w:t>
      </w:r>
    </w:p>
    <w:p>
      <w:pPr>
        <w:spacing w:after="0" w:line="71"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Exchange Agreement provides that, as a general matter, a Unit holder does not have the right to exchange Units if we determine that such exchange would be prohibited by law or regulation or would violate other agreements with us and our subsidiaries to which the Unit holder may be subject, including the Amended Operating Agreement and the Exchange Agreement. Additionally, the Exchange Agreement contains restrictions on redemptions and exchanges intended to prevent WMH LLC from being treated as a “publicly traded partnership” for U.S. federal income tax purposes. These restrictions are modeled on certain safe harbors provided for under applicable U.S. federal income tax law. We may impose additional restrictions on exchanges that it determines to be necessary or advisable so that WMH LLC is not treated as a “publicly traded partnership” for U.S. federal income tax purposes.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Concurrently with the Closing, we, the Holder Representative and the Class A Unit holders, including Messrs. Beals, Francis and Hartfield and Ghost Media Group, LLC, as described in the section titled “Principal Securityholders,” entered into the tax receivable agreement, (the “Tax Receivable Agreement”), pursuant to which we are required to pay to holders of Class A Units, in the aggregate, 85% of the amount of cash savings, if any, in U.S. federal, state and local income tax or franchise tax that we actually realizes as a result of (i) increases to the tax basis of WMH LLC’s assets resulting from our acquisition of common units for cash in the Business Combination and future redemptions or exchanges of Class A Units for shares of Class A Common Stock or cash, (ii) tax benefits related to imputed interest or (iii) tax attributes resulting from payments made under Tax Receivable Agreement. The payment obligations under Tax Receivable Agreement are our obligations and not obligations of WMH LLC.</w:t>
      </w:r>
    </w:p>
    <w:p>
      <w:pPr>
        <w:spacing w:after="0" w:line="58"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We expect that the payments we will be required to make under the Tax Receivable Agreement will be substantial. Assuming no material changes in relevant tax law, that there are no future redemptions or exchanges of Class A Units and that we earn sufficient taxable income to realize all tax benefits that are subject to the tax receivable agreement, the tax savings associated with acquisitions of common units in the Business Combination would aggregate to approximately $151.3 million over 15 years from the Closing Date. Under this scenario, we would be required to pay to the Class A Unit holders approximately 85% of such amount, or $128.6 million, over the 15-year period from the Closing Date. The actual amounts we will be required to pay may materially differ from these hypothetical amounts, because potential future tax savings that we will be deemed to realize, and the Tax Receivable Agreement payments made by us, will be calculated based in part on the market value of the Class A Common Stock at the time of each redemption or exchange under the exchange agreement and the prevailing applicable tax rates applicable to us over the life of the Tax Receivable Agreement and will depend on us generating sufficient taxable income to realize the tax benefits that are subject to the Tax Receivable Agreement. Payments under the Tax Receivable Agreement are not conditioned on the Class A Unit holders’ continued ownership of WMH LLC.</w:t>
      </w:r>
    </w:p>
    <w:p>
      <w:pPr>
        <w:spacing w:after="0" w:line="7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 authority may challenge all or a part of the existing tax basis, tax basis increases, or other tax</w:t>
      </w:r>
    </w:p>
    <w:p>
      <w:pPr>
        <w:sectPr>
          <w:pgSz w:w="11900" w:h="16838" w:orient="portrait"/>
          <w:cols w:equalWidth="0" w:num="1">
            <w:col w:w="9019"/>
          </w:cols>
          <w:pgMar w:left="1440" w:top="265" w:right="1440" w:bottom="1440" w:gutter="0" w:footer="0" w:header="0"/>
        </w:sectPr>
      </w:pP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1" w:name="page102"/>
    <w:bookmarkEnd w:id="10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attributes subject to the Tax Receivable Agreement, and a court could sustain such challenge. The parties to the Tax Receivable Agreement will not reimburse us for any payments previously made if such tax basis or other tax benefits are subsequently disallowed, except that any excess payments made to a party under the Tax Receivable Agreement will be netted against future payments otherwise to be made under the Tax Receivable Agreement, if any, after the determination of such excess.</w:t>
      </w:r>
    </w:p>
    <w:p>
      <w:pPr>
        <w:spacing w:after="0" w:line="80"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In addition, the Tax Receivable Agreement provides that if (1) we breach any of our material obligations under the Tax Receivable Agreement (including in the event that we are more than three months late making a payment that is due under the Tax Receivable Agreement, except in the case of certain liquidity exceptions), (2) we are subject to certain bankruptcy, insolvency or similar proceedings, or (3) at any time, we elect an early termination of the Tax Receivable Agreement, our obligations under the Tax Receivable Agreement (with respect to all Class A Units, whether or not such units have been exchanged or redeemed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deductions, tax basis and other tax attributes subject to the Tax Receivable Agreement. The Tax Receivable Agreement also provides that, upon certain mergers, asset sales or other forms of business combination, or certain other changes of control, (A) our obligations under the Tax Receivable Agreement with respect to Class A Units that have been exchanged or redeemed prior to or in connection with such change of control transaction would accelerate and become payable in a lump sum as described above and (B) with respect to Class A Units that have not been exchanged as of such change of control transaction, our or our successor’s obligations under the Tax Receivable Agreement would be based on certain assumptions, including that our or our successor would have sufficient taxable income to fully utilize the increased tax deductions and tax basis and other benefits covered by the Tax Receivable Agreement. As a result, upon any acceleration of our obligations under the Tax Receivable Agreement (including upon a change of control), we could be required to make payments under the Tax Receivable Agreement that are greater than 85% of our actual cash tax savings, which could negatively impact its liquidity. The change of control provisions in the Tax Receivable Agreement may also result in situations where the Class A Unit holders have interests that differ from or are in addition to those of the Class A stockholders.</w:t>
      </w:r>
    </w:p>
    <w:p>
      <w:pPr>
        <w:spacing w:after="0" w:line="72"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Finally, because we are a holding company with no operations of our own, our ability to make payments under the Tax Receivable Agreement depends on our ability to make distributions to us. To the extent that we are unable to make payments under the tax receivable agreement for any reason, such payments will be deferred and will accrue interest until paid, which could negatively impact our results of operations and could also affect our liquidity in periods in which such payments are made.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Amended and Restated Registration Rights Agreement</w:t>
      </w:r>
    </w:p>
    <w:p>
      <w:pPr>
        <w:spacing w:after="0" w:line="121"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Concurrently with the Closing, Silver Spike Sponsor, LLC (“Silver Spike Sponsor”) and certain Unit holders, including Messrs. Beals, Camire, Dean, Feijoo, Lee, Francis and Hartfield, Silver Spike Sponsor, LLC and Ghost Media Group, LLC, as described in the section titled “Principal Securityholders,” entered into the Amended and Restated Registration Rights Agreement, dated June 16, 2021, among us and certain of our stockholders (the “Amended and Restated Registration Rights Agreement”). As a result, Silver Spike Sponsor, LLC and such certain Unit holders are able to make a written demand for registration under the Securities Act of all or a portion of their registrable securities, subject to a maximum of three such demand registrations for Silver Spike Sponsor, LLC and three such demand registrations for such certain Unit holders thereto, in each case so long as such demand includes a number of registrable securities with a total offering price in excess of $10.0 million. Any such demand may be in the form of an underwritten offering, it being understood that we will not be able to conduct more than two underwritten offerings where the expected aggregate proceeds are less than $25.0 million but in excess of $10.0 million in any 12-month period. In addition, the holders of registrable securities will have “piggy-back” registration rights to include their securities in other registration statements filed by us. We have also agreed to file within 45 days of the Closing a resale shelf registration statement covering the resale of all registrable securities.</w:t>
      </w:r>
    </w:p>
    <w:p>
      <w:pPr>
        <w:spacing w:after="0" w:line="20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Silver Spike Related Transactions and Agreements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June 2019, Silver Spike Sponsor purchased 7,187,500 founder shares for an aggregate purchase price of $25,000, or $0.004 per share. On September 23, 2019, in connection with the expiration of the underwriter’s over-allotment option, Silver Spike Sponsor surrendered 937,500 founder shares. In connection with the closing of Silver Spike’s IPO, Silver Spike Sponsor granted sponsor LLC equity interests to Silver Spike’s independent directors that collectively comprised approximately 1% of the outstanding equity interests in Silver Spike Sponsor.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2" w:name="page103"/>
    <w:bookmarkEnd w:id="10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Silver Spike Sponsor purchased an aggregate of 7,000,000 Private Placement Warrants for a purchase price of $1.00 per warrant in a private placement simultaneously with the closing of Silver Spike’s IPO. Each Private Placement Warrant may be exercised for one share of Class A Common Stock at a price of $11.50 per share, subject to adjustment as provided herein. The Private Placement Warrants (including the Class A Common Stock issuable upon exercise of the Private Placement Warrants) may not, subject to certain limited exceptions, be transferred, assigned or sold by it until 30 days after the completion of the Business Combination.</w:t>
      </w:r>
    </w:p>
    <w:p>
      <w:pPr>
        <w:spacing w:after="0" w:line="56"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Silver Spike entered into an Administrative Services Agreement pursuant to which Silver Spike paid Silver Spike Sponsor up to $20,000 per month for office space, administrative and support services. Upon completion of the Business Combination, Silver Spike ceased paying any of these monthly fees. As of the Closing Date, Silver Spike Sponsor was paid an aggregate of $79,074 for office space, administrative and support services and was entitled to be reimbursed for any out-of-pocket expenses.</w:t>
      </w:r>
    </w:p>
    <w:p>
      <w:pPr>
        <w:spacing w:after="0" w:line="80"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Silver Spike Sponsor, Silver Spike’s officers and directors, or any of their respective affiliates, were reimbursed for any out-of-pocket expenses incurred in connection with activities on Silver Spike’s behalf, such as identifying potential target businesses and performing due diligence on suitable business combinations. As of the Closing Date, Silver Spike Sponsor, and its respective affiliates were paid an aggregate of $88,252.</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Silver Spike Sponsor agreed to loan Silver Spike $250,000 under an unsecured promissory note to be used for Silver Spike’s working capital expenses. These loans are non-interest bearing and unsecured. The value of Silver Spike Sponsor’s interest in this loan transaction corresponded to the principal amount outstanding under any such loan. On February 18, 2021, Silver Spike Sponsor agreed to loan Silver Spike an additional $750,000 under an additional unsecured promissory note to be used for the payment of working capital expenses, including expenses incurred in connection with the Business Combination. The notes were non-interest bearing, unsecured and repaid on the Closing Date.</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In connection with the execution of the Merger Agreement, Silver Spike entered into a Subscription Agreement with (i) Silver Spike Opportunities I, LLC, an entity affiliated with certain directors and officers of Silver Spike, for the purchase of 3,500,000 shares of Silver Spike’s Class A ordinary shares for an aggregate purchase price of $35,000,000 and (ii) AFV Partners SPV-5 (WM) LLC, an entity affiliated with Tony Aquila, one of our directors, for the purchase of 5,000,000 PIPE Shares for an aggregate purchase price of $50.0 million, in each case on the same on the same terms and conditions as the form of Subscription Agreement, which is an exhibit to the registration statement of which this prospectus is a part.</w:t>
      </w:r>
    </w:p>
    <w:p>
      <w:pPr>
        <w:spacing w:after="0" w:line="17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Legacy WMH Transactions and Agreements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Employment Relationships</w:t>
      </w:r>
    </w:p>
    <w:p>
      <w:pPr>
        <w:spacing w:after="0" w:line="117"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Certain immediate family members of Douglas Francis, Legacy WMH’s former chief executive officer and a current member of our board of managers, provide services to us for compensation, as described below:</w:t>
      </w:r>
    </w:p>
    <w:p>
      <w:pPr>
        <w:spacing w:after="0" w:line="38" w:lineRule="exact"/>
        <w:rPr>
          <w:sz w:val="20"/>
          <w:szCs w:val="20"/>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Russell Francis was formerly employed as one of our UI/UX developers. Mr. R. Francis, who is a brother of Mr. Francis, earned $198,606 and $15,300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Troy Francis formerly provided services to us as an independent contractor. Mr. T. Francis, who is a brother of Mr. Francis, earned $151,320 and $4,602 in compensation in 2019 and 2020, respectively, and no compensation in the year ended December 31, 2021.</w:t>
      </w:r>
    </w:p>
    <w:p>
      <w:pPr>
        <w:spacing w:after="0" w:line="75" w:lineRule="exact"/>
        <w:rPr>
          <w:rFonts w:ascii="Arial" w:cs="Arial" w:eastAsia="Arial" w:hAnsi="Arial"/>
          <w:sz w:val="18"/>
          <w:szCs w:val="18"/>
          <w:color w:val="auto"/>
        </w:rPr>
      </w:pPr>
    </w:p>
    <w:p>
      <w:pPr>
        <w:jc w:val="both"/>
        <w:ind w:left="1000" w:right="319" w:hanging="348"/>
        <w:spacing w:after="0" w:line="286" w:lineRule="auto"/>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Kathleen Joosten was formerly employed as a corporate attorney in our legal department. Ms. Joosten, who is the sister-in-law of Mr. Francis, earned $163,462 and $167,427 in compensation in 2019 and 2020, respectively, and $151,889 in compensation in the year ended December 31, 2021.</w:t>
      </w:r>
    </w:p>
    <w:p>
      <w:pPr>
        <w:spacing w:after="0" w:line="57" w:lineRule="exact"/>
        <w:rPr>
          <w:rFonts w:ascii="Arial" w:cs="Arial" w:eastAsia="Arial" w:hAnsi="Arial"/>
          <w:sz w:val="17"/>
          <w:szCs w:val="17"/>
          <w:color w:val="auto"/>
        </w:rPr>
      </w:pPr>
    </w:p>
    <w:p>
      <w:pPr>
        <w:jc w:val="both"/>
        <w:ind w:left="1000" w:right="299" w:hanging="348"/>
        <w:spacing w:after="0" w:line="263" w:lineRule="auto"/>
        <w:tabs>
          <w:tab w:leader="none" w:pos="10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Len Townsend, who is Justin Hartfield’s father-in-law, formerly provided services to us as an independent contractor. Mr. Townsend earned $240,000 in 2019 and no compensation in 2020 and 2021, respectively, and no compensation in the year ended December 31, 2021.</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Other Enterprises</w:t>
      </w:r>
    </w:p>
    <w:p>
      <w:pPr>
        <w:spacing w:after="0" w:line="117" w:lineRule="exact"/>
        <w:rPr>
          <w:sz w:val="20"/>
          <w:szCs w:val="20"/>
          <w:color w:val="auto"/>
        </w:rPr>
      </w:pPr>
    </w:p>
    <w:p>
      <w:pPr>
        <w:ind w:left="300" w:right="319" w:firstLine="360"/>
        <w:spacing w:after="0" w:line="342" w:lineRule="auto"/>
        <w:rPr>
          <w:sz w:val="20"/>
          <w:szCs w:val="20"/>
          <w:color w:val="auto"/>
        </w:rPr>
      </w:pPr>
      <w:r>
        <w:rPr>
          <w:rFonts w:ascii="Arial" w:cs="Arial" w:eastAsia="Arial" w:hAnsi="Arial"/>
          <w:sz w:val="16"/>
          <w:szCs w:val="16"/>
          <w:color w:val="auto"/>
        </w:rPr>
        <w:t>WCC MGMT, LLC is a business of which each of Messrs. Francis and Hartfield indirectly own a minority interest. WCC MGMT, LLC uses our listing products and has participated in other brand promotion opportunities.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3" w:name="page104"/>
    <w:bookmarkEnd w:id="10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WCC MGMT, LLC paid us a total of $98,495, $536,750 and $507,935 in 2019, 2020 and 2021 respectively, for such products and services. Mr. Beals indirectly owned a minority interest in WCC MGMT, LLC, but relinquished his indirect interest in April 2019.</w:t>
      </w:r>
    </w:p>
    <w:p>
      <w:pPr>
        <w:spacing w:after="0" w:line="76"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DICA Distribution, LLC is a company of which Mr. Francis indirectly owned 47.5%, Mr. Hartfield indirectly owned 47.5% and Mr. Beals indirectly owned 5% of the equity interests. DICA Distribution, LLC leased premises pursuant to a lease, in connection with which we issued a guaranty in favor of the landlord. The value of the underlying lease was $502,272 and $171,505 in 2018 and 2019, respectively. In April 2019, Mr. Beals relinquished his indirect interest in DICA Distribution, LLC. In May 2019, DICA Distribution, LLC merged with and into WCC MGMT, LLC and our guaranty was released by the landlord.</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Searchcore Payments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August 2012, Searchcore, Inc., or Searchcore, purchased all of the equity ownership that Messrs. Francis and Hartfield held in Searchcore for an installment note in the amount of $1.6 million payable to each of Messrs. Francis and Hartfield. Pursuant to certain reorganization transactions, the notes were ultimately assigned to Weedmaps Media, LLC, one of our wholly owned subsidiaries.</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a note payable to Mr. Hartfield and that certain Global Securities Purchase, Consulting, and Resignation Agreement dated as of July 31, 2012, by and among Searchcore, Weedmaps Media, Inc. and Justin Hartfield, we paid Mr. Hartfield $0, $0 and $0 in 2019, 2020 and 2021 respectively. All obligations to Mr. Francis and Mr. Hartfield under these arrangements have been paid in full.</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We have entered into employment and other agreements with certain of our executive officers. For a description of agreements with our named executive officers, see the sections entitled “Executive Compensation—Executive Employment Arrangements” and “—Outstanding Equity Awards at December 31, 2020.”</w:t>
      </w:r>
    </w:p>
    <w:p>
      <w:pPr>
        <w:spacing w:after="0" w:line="4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We have granted equity awards to certain of our executive officers. For a description of equity awards granted to our named executive officers, see the section entitled “Executive Compensation.”</w:t>
      </w:r>
    </w:p>
    <w:p>
      <w:pPr>
        <w:spacing w:after="0" w:line="62" w:lineRule="exact"/>
        <w:rPr>
          <w:sz w:val="20"/>
          <w:szCs w:val="20"/>
          <w:color w:val="auto"/>
        </w:rPr>
      </w:pPr>
    </w:p>
    <w:p>
      <w:pPr>
        <w:jc w:val="both"/>
        <w:ind w:left="300" w:right="319" w:firstLine="360"/>
        <w:spacing w:after="0" w:line="308" w:lineRule="auto"/>
        <w:rPr>
          <w:sz w:val="20"/>
          <w:szCs w:val="20"/>
          <w:color w:val="auto"/>
        </w:rPr>
      </w:pPr>
      <w:r>
        <w:rPr>
          <w:rFonts w:ascii="Arial" w:cs="Arial" w:eastAsia="Arial" w:hAnsi="Arial"/>
          <w:sz w:val="17"/>
          <w:szCs w:val="17"/>
          <w:color w:val="auto"/>
        </w:rPr>
        <w:t>We entered into indemnification agreements with our directors and executive officers. For a description of these agreements, see the section entitled “Management—Limitation of Liability and Indemnification.”</w:t>
      </w:r>
    </w:p>
    <w:p>
      <w:pPr>
        <w:spacing w:after="0" w:line="1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Our board of directors has adopted a written Related Person Transactions Policy that sets forth our policies and procedures regarding the identification, review, consideration and oversight of related-person transactions. For purposes of our policy, a related-person transaction is a transaction, arrangement or relationship (or any series of similar transactions, arrangements or relationships) in which we and any related person are, were or will be participants, in which the amount involved exceeds $120,000. Transactions involving compensation for services provided to us as an employee, consultant or director will not be considered related-person transactions under this policy.</w:t>
      </w:r>
    </w:p>
    <w:p>
      <w:pPr>
        <w:spacing w:after="0" w:line="8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Under the policy, a related person is any executive officer, director, nominee to become a director or a security holder known by us to beneficially own more than 5% of any class of our voting securities (a “significant stockholder”), including any of their immediate family members and affiliates, including entities controlled by such persons or such person has a 5% or greater beneficial ownership interest.</w:t>
      </w:r>
    </w:p>
    <w:p>
      <w:pPr>
        <w:spacing w:after="0" w:line="7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Each director and executive officer shall identify, and we shall request each significant stockholder to identify, any related-person transaction involving such director, executive officer or significant stockholder or his, her or its immediate family members and inform our audit committee pursuant to this policy before such related person may engage in the transaction.</w:t>
      </w:r>
    </w:p>
    <w:p>
      <w:pPr>
        <w:spacing w:after="0" w:line="79"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considering related-person transactions, our audit committee takes into account the relevant available facts and circumstances, which may include, but are not limited to:</w:t>
      </w:r>
    </w:p>
    <w:p>
      <w:pPr>
        <w:spacing w:after="0" w:line="62" w:lineRule="exact"/>
        <w:rPr>
          <w:sz w:val="20"/>
          <w:szCs w:val="20"/>
          <w:color w:val="auto"/>
        </w:rPr>
      </w:pPr>
    </w:p>
    <w:p>
      <w:pPr>
        <w:ind w:left="1000" w:hanging="348"/>
        <w:spacing w:after="0"/>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 cost and benefits to us;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4" w:name="page105"/>
    <w:bookmarkEnd w:id="10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of the transaction;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audit committee shall approve only those related-party transactions that, in light of known circumstances, are in, or are not inconsistent with, our best interests and our stockholders, as our audit committee determines in the good faith exercise of its discretion.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5" w:name="page106"/>
    <w:bookmarkEnd w:id="10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SECURITYHOLDERS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February 18, 2022, by:</w:t>
      </w:r>
    </w:p>
    <w:p>
      <w:pPr>
        <w:spacing w:after="0" w:line="62" w:lineRule="exact"/>
        <w:rPr>
          <w:sz w:val="20"/>
          <w:szCs w:val="20"/>
          <w:color w:val="auto"/>
        </w:rPr>
      </w:pPr>
    </w:p>
    <w:p>
      <w:pPr>
        <w:ind w:left="1000" w:right="319" w:hanging="348"/>
        <w:spacing w:after="0" w:line="277" w:lineRule="auto"/>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person who is known by us to be the beneficial owner of more than 5% of the outstanding shares of our Common Stock;</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each of our current named executive officers and directors;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Beneficial ownership is determined according to the rules of the SEC, which generally provides that a person has beneficial ownership of a security if he, she or it possesses sole or shared voting or investment power over that security, including options and warrants that are currently exercisable or exercisable within 60 days.</w:t>
      </w:r>
    </w:p>
    <w:p>
      <w:pPr>
        <w:spacing w:after="0" w:line="4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The beneficial ownership percentages set forth in the table below are based on 135,901,414 shares of our Class A Common Stock and Class V Common Stock issued and outstanding as of February 18, 2022 and do not take into account the issuance of any shares of Class A Common Stock upon (i) the exercise of 19,499,993 Warrants to purchase an aggregate of 19,499,993 shares of Class A Common Stock or (ii) the exchange of 25,660,529 Class P Units for up to 25,660,529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58"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shares of our Common Stock.</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5"/>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Shares of</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Class 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Class V</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Combined %</w:t>
            </w:r>
          </w:p>
        </w:tc>
        <w:tc>
          <w:tcPr>
            <w:tcW w:w="0" w:type="dxa"/>
            <w:vAlign w:val="bottom"/>
          </w:tcPr>
          <w:p>
            <w:pPr>
              <w:spacing w:after="0"/>
              <w:rPr>
                <w:sz w:val="1"/>
                <w:szCs w:val="1"/>
                <w:color w:val="auto"/>
              </w:rPr>
            </w:pPr>
          </w:p>
        </w:tc>
      </w:tr>
      <w:tr>
        <w:trPr>
          <w:trHeight w:val="128"/>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2"/>
              </w:rPr>
              <w:t>Common</w:t>
            </w: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 of Class A</w:t>
            </w:r>
          </w:p>
        </w:tc>
        <w:tc>
          <w:tcPr>
            <w:tcW w:w="9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 of Class V</w:t>
            </w:r>
          </w:p>
        </w:tc>
        <w:tc>
          <w:tcPr>
            <w:tcW w:w="820" w:type="dxa"/>
            <w:vAlign w:val="bottom"/>
          </w:tcPr>
          <w:p>
            <w:pPr>
              <w:ind w:left="320"/>
              <w:spacing w:after="0"/>
              <w:rPr>
                <w:sz w:val="20"/>
                <w:szCs w:val="20"/>
                <w:color w:val="auto"/>
              </w:rPr>
            </w:pPr>
            <w:r>
              <w:rPr>
                <w:rFonts w:ascii="Arial" w:cs="Arial" w:eastAsia="Arial" w:hAnsi="Arial"/>
                <w:sz w:val="14"/>
                <w:szCs w:val="14"/>
                <w:b w:val="1"/>
                <w:bCs w:val="1"/>
                <w:color w:val="auto"/>
              </w:rPr>
              <w:t>of</w:t>
            </w:r>
          </w:p>
        </w:tc>
        <w:tc>
          <w:tcPr>
            <w:tcW w:w="0" w:type="dxa"/>
            <w:vAlign w:val="bottom"/>
          </w:tcPr>
          <w:p>
            <w:pPr>
              <w:spacing w:after="0"/>
              <w:rPr>
                <w:sz w:val="1"/>
                <w:szCs w:val="1"/>
                <w:color w:val="auto"/>
              </w:rPr>
            </w:pPr>
          </w:p>
        </w:tc>
      </w:tr>
      <w:tr>
        <w:trPr>
          <w:trHeight w:val="149"/>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r>
              <w:rPr>
                <w:rFonts w:ascii="Arial" w:cs="Arial" w:eastAsia="Arial" w:hAnsi="Arial"/>
                <w:sz w:val="23"/>
                <w:szCs w:val="23"/>
                <w:b w:val="1"/>
                <w:bCs w:val="1"/>
                <w:color w:val="auto"/>
                <w:vertAlign w:val="superscript"/>
              </w:rPr>
              <w:t>(1)</w:t>
            </w:r>
          </w:p>
        </w:tc>
        <w:tc>
          <w:tcPr>
            <w:tcW w:w="16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Common</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Total Voting</w:t>
            </w:r>
          </w:p>
        </w:tc>
        <w:tc>
          <w:tcPr>
            <w:tcW w:w="0" w:type="dxa"/>
            <w:vAlign w:val="bottom"/>
          </w:tcPr>
          <w:p>
            <w:pPr>
              <w:spacing w:after="0"/>
              <w:rPr>
                <w:sz w:val="1"/>
                <w:szCs w:val="1"/>
                <w:color w:val="auto"/>
              </w:rPr>
            </w:pPr>
          </w:p>
        </w:tc>
      </w:tr>
      <w:tr>
        <w:trPr>
          <w:trHeight w:val="243"/>
        </w:trPr>
        <w:tc>
          <w:tcPr>
            <w:tcW w:w="36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Owned</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960" w:type="dxa"/>
            <w:vAlign w:val="bottom"/>
            <w:gridSpan w:val="2"/>
          </w:tcPr>
          <w:p>
            <w:pPr>
              <w:jc w:val="center"/>
              <w:ind w:right="140"/>
              <w:spacing w:after="0" w:line="243" w:lineRule="exact"/>
              <w:rPr>
                <w:sz w:val="20"/>
                <w:szCs w:val="20"/>
                <w:color w:val="auto"/>
              </w:rPr>
            </w:pPr>
            <w:r>
              <w:rPr>
                <w:rFonts w:ascii="Arial" w:cs="Arial" w:eastAsia="Arial" w:hAnsi="Arial"/>
                <w:sz w:val="14"/>
                <w:szCs w:val="14"/>
                <w:b w:val="1"/>
                <w:bCs w:val="1"/>
                <w:color w:val="auto"/>
                <w:w w:val="88"/>
              </w:rPr>
              <w:t>Owned</w:t>
            </w:r>
            <w:r>
              <w:rPr>
                <w:rFonts w:ascii="Arial" w:cs="Arial" w:eastAsia="Arial" w:hAnsi="Arial"/>
                <w:sz w:val="23"/>
                <w:szCs w:val="23"/>
                <w:b w:val="1"/>
                <w:bCs w:val="1"/>
                <w:color w:val="auto"/>
                <w:w w:val="88"/>
                <w:vertAlign w:val="superscript"/>
              </w:rPr>
              <w:t>(2)</w:t>
            </w:r>
          </w:p>
        </w:tc>
        <w:tc>
          <w:tcPr>
            <w:tcW w:w="9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820" w:type="dxa"/>
            <w:vAlign w:val="bottom"/>
          </w:tcPr>
          <w:p>
            <w:pPr>
              <w:jc w:val="center"/>
              <w:spacing w:after="0" w:line="243" w:lineRule="exact"/>
              <w:rPr>
                <w:sz w:val="20"/>
                <w:szCs w:val="20"/>
                <w:color w:val="auto"/>
              </w:rPr>
            </w:pPr>
            <w:r>
              <w:rPr>
                <w:rFonts w:ascii="Arial" w:cs="Arial" w:eastAsia="Arial" w:hAnsi="Arial"/>
                <w:sz w:val="14"/>
                <w:szCs w:val="14"/>
                <w:b w:val="1"/>
                <w:bCs w:val="1"/>
                <w:color w:val="auto"/>
                <w:w w:val="85"/>
              </w:rPr>
              <w:t>Power</w:t>
            </w:r>
            <w:r>
              <w:rPr>
                <w:rFonts w:ascii="Arial" w:cs="Arial" w:eastAsia="Arial" w:hAnsi="Arial"/>
                <w:sz w:val="23"/>
                <w:szCs w:val="23"/>
                <w:b w:val="1"/>
                <w:bCs w:val="1"/>
                <w:color w:val="auto"/>
                <w:w w:val="85"/>
                <w:vertAlign w:val="superscript"/>
              </w:rPr>
              <w:t>(3)</w:t>
            </w:r>
          </w:p>
        </w:tc>
        <w:tc>
          <w:tcPr>
            <w:tcW w:w="0" w:type="dxa"/>
            <w:vAlign w:val="bottom"/>
          </w:tcPr>
          <w:p>
            <w:pPr>
              <w:spacing w:after="0"/>
              <w:rPr>
                <w:sz w:val="1"/>
                <w:szCs w:val="1"/>
                <w:color w:val="auto"/>
              </w:rPr>
            </w:pPr>
          </w:p>
        </w:tc>
      </w:tr>
      <w:tr>
        <w:trPr>
          <w:trHeight w:val="311"/>
        </w:trPr>
        <w:tc>
          <w:tcPr>
            <w:tcW w:w="36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spacing w:after="0"/>
              <w:rPr>
                <w:sz w:val="24"/>
                <w:szCs w:val="24"/>
                <w:color w:val="auto"/>
              </w:rPr>
            </w:pPr>
          </w:p>
        </w:tc>
        <w:tc>
          <w:tcPr>
            <w:tcW w:w="16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140" w:type="dxa"/>
            <w:vAlign w:val="bottom"/>
            <w:tcBorders>
              <w:top w:val="single" w:sz="8" w:color="CCEEFF"/>
              <w:bottom w:val="single" w:sz="8" w:color="CCEEFF"/>
            </w:tcBorders>
            <w:shd w:val="clear" w:color="auto" w:fill="CCEEFF"/>
          </w:tcPr>
          <w:p>
            <w:pPr>
              <w:spacing w:after="0"/>
              <w:rPr>
                <w:sz w:val="24"/>
                <w:szCs w:val="24"/>
                <w:color w:val="auto"/>
              </w:rPr>
            </w:pPr>
          </w:p>
        </w:tc>
        <w:tc>
          <w:tcPr>
            <w:tcW w:w="82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Christopher Beals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130,208</w:t>
            </w:r>
          </w:p>
        </w:tc>
        <w:tc>
          <w:tcPr>
            <w:tcW w:w="160" w:type="dxa"/>
            <w:vAlign w:val="bottom"/>
          </w:tcPr>
          <w:p>
            <w:pPr>
              <w:spacing w:after="0"/>
              <w:rPr>
                <w:sz w:val="23"/>
                <w:szCs w:val="23"/>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6,166,819</w:t>
            </w:r>
          </w:p>
        </w:tc>
        <w:tc>
          <w:tcPr>
            <w:tcW w:w="140" w:type="dxa"/>
            <w:vAlign w:val="bottom"/>
          </w:tcPr>
          <w:p>
            <w:pPr>
              <w:spacing w:after="0"/>
              <w:rPr>
                <w:sz w:val="23"/>
                <w:szCs w:val="23"/>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23"/>
                <w:szCs w:val="23"/>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Dean</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54,686</w:t>
            </w: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Steven Jung</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Tony Aquila</w:t>
            </w:r>
            <w:r>
              <w:rPr>
                <w:rFonts w:ascii="Arial" w:cs="Arial" w:eastAsia="Arial" w:hAnsi="Arial"/>
                <w:sz w:val="29"/>
                <w:szCs w:val="29"/>
                <w:color w:val="auto"/>
                <w:vertAlign w:val="superscript"/>
              </w:rPr>
              <w:t>(4)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Arial" w:cs="Arial" w:eastAsia="Arial" w:hAnsi="Arial"/>
                <w:sz w:val="18"/>
                <w:szCs w:val="18"/>
                <w:color w:val="auto"/>
              </w:rPr>
              <w:t>Douglas Francis</w:t>
            </w:r>
            <w:r>
              <w:rPr>
                <w:rFonts w:ascii="Arial" w:cs="Arial" w:eastAsia="Arial" w:hAnsi="Arial"/>
                <w:sz w:val="29"/>
                <w:szCs w:val="29"/>
                <w:color w:val="auto"/>
                <w:vertAlign w:val="superscript"/>
              </w:rPr>
              <w:t>(5)</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27,700,850</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42.3%</w:t>
            </w:r>
          </w:p>
        </w:tc>
        <w:tc>
          <w:tcPr>
            <w:tcW w:w="14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Justin Hartfield</w:t>
            </w:r>
            <w:r>
              <w:rPr>
                <w:rFonts w:ascii="Arial" w:cs="Arial" w:eastAsia="Arial" w:hAnsi="Arial"/>
                <w:sz w:val="29"/>
                <w:szCs w:val="29"/>
                <w:color w:val="auto"/>
                <w:vertAlign w:val="superscript"/>
              </w:rPr>
              <w:t>(6)</w:t>
            </w:r>
          </w:p>
        </w:tc>
        <w:tc>
          <w:tcPr>
            <w:tcW w:w="1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29,328,310</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Scott Gordon</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Fiona Tan</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tcPr>
          <w:p>
            <w:pPr>
              <w:spacing w:after="0"/>
              <w:rPr>
                <w:sz w:val="20"/>
                <w:szCs w:val="20"/>
                <w:color w:val="auto"/>
              </w:rPr>
            </w:pPr>
            <w:r>
              <w:rPr>
                <w:rFonts w:ascii="Arial" w:cs="Arial" w:eastAsia="Arial" w:hAnsi="Arial"/>
                <w:sz w:val="18"/>
                <w:szCs w:val="18"/>
                <w:color w:val="auto"/>
              </w:rPr>
              <w:t>Olga Gonzalez</w:t>
            </w:r>
          </w:p>
        </w:tc>
        <w:tc>
          <w:tcPr>
            <w:tcW w:w="160" w:type="dxa"/>
            <w:vAlign w:val="bottom"/>
          </w:tcPr>
          <w:p>
            <w:pPr>
              <w:spacing w:after="0"/>
              <w:rPr>
                <w:sz w:val="23"/>
                <w:szCs w:val="23"/>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7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36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Brenda Freeman</w:t>
            </w:r>
          </w:p>
        </w:tc>
        <w:tc>
          <w:tcPr>
            <w:tcW w:w="1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Arial" w:cs="Arial" w:eastAsia="Arial" w:hAnsi="Arial"/>
                <w:sz w:val="18"/>
                <w:szCs w:val="18"/>
                <w:b w:val="1"/>
                <w:bCs w:val="1"/>
                <w:color w:val="auto"/>
              </w:rPr>
              <w:t>All Directors and Executive Officers of the</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3680" w:type="dxa"/>
            <w:vAlign w:val="bottom"/>
          </w:tcPr>
          <w:p>
            <w:pPr>
              <w:ind w:left="180"/>
              <w:spacing w:after="0" w:line="324" w:lineRule="exact"/>
              <w:rPr>
                <w:sz w:val="20"/>
                <w:szCs w:val="20"/>
                <w:color w:val="auto"/>
              </w:rPr>
            </w:pPr>
            <w:r>
              <w:rPr>
                <w:rFonts w:ascii="Arial" w:cs="Arial" w:eastAsia="Arial" w:hAnsi="Arial"/>
                <w:sz w:val="18"/>
                <w:szCs w:val="18"/>
                <w:b w:val="1"/>
                <w:bCs w:val="1"/>
                <w:color w:val="auto"/>
              </w:rPr>
              <w:t>Company as a Group (12 Individuals)</w:t>
            </w:r>
            <w:r>
              <w:rPr>
                <w:rFonts w:ascii="Arial" w:cs="Arial" w:eastAsia="Arial" w:hAnsi="Arial"/>
                <w:sz w:val="29"/>
                <w:szCs w:val="29"/>
                <w:b w:val="1"/>
                <w:bCs w:val="1"/>
                <w:color w:val="auto"/>
                <w:vertAlign w:val="superscript"/>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5,445,308</w:t>
            </w:r>
          </w:p>
        </w:tc>
        <w:tc>
          <w:tcPr>
            <w:tcW w:w="16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0"/>
              </w:rPr>
              <w:t>54,726,788</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83.5%</w:t>
            </w:r>
          </w:p>
        </w:tc>
        <w:tc>
          <w:tcPr>
            <w:tcW w:w="140" w:type="dxa"/>
            <w:vAlign w:val="bottom"/>
          </w:tcPr>
          <w:p>
            <w:pPr>
              <w:spacing w:after="0"/>
              <w:rPr>
                <w:sz w:val="24"/>
                <w:szCs w:val="24"/>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304"/>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Five Percent Holders:</w:t>
            </w: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680" w:type="dxa"/>
            <w:vAlign w:val="bottom"/>
          </w:tcPr>
          <w:p>
            <w:pPr>
              <w:spacing w:after="0"/>
              <w:rPr>
                <w:sz w:val="20"/>
                <w:szCs w:val="20"/>
                <w:color w:val="auto"/>
              </w:rPr>
            </w:pPr>
            <w:r>
              <w:rPr>
                <w:rFonts w:ascii="Arial" w:cs="Arial" w:eastAsia="Arial" w:hAnsi="Arial"/>
                <w:sz w:val="18"/>
                <w:szCs w:val="18"/>
                <w:color w:val="auto"/>
              </w:rPr>
              <w:t>Ghost Media Group, LLC</w:t>
            </w:r>
            <w:r>
              <w:rPr>
                <w:rFonts w:ascii="Arial" w:cs="Arial" w:eastAsia="Arial" w:hAnsi="Arial"/>
                <w:sz w:val="29"/>
                <w:szCs w:val="29"/>
                <w:color w:val="auto"/>
                <w:vertAlign w:val="superscript"/>
              </w:rPr>
              <w:t>(5)(6)</w:t>
            </w:r>
          </w:p>
        </w:tc>
        <w:tc>
          <w:tcPr>
            <w:tcW w:w="160" w:type="dxa"/>
            <w:vAlign w:val="bottom"/>
          </w:tcPr>
          <w:p>
            <w:pPr>
              <w:spacing w:after="0"/>
              <w:rPr>
                <w:sz w:val="24"/>
                <w:szCs w:val="24"/>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8,469,191</w:t>
            </w:r>
          </w:p>
        </w:tc>
        <w:tc>
          <w:tcPr>
            <w:tcW w:w="140" w:type="dxa"/>
            <w:vAlign w:val="bottom"/>
          </w:tcPr>
          <w:p>
            <w:pPr>
              <w:spacing w:after="0"/>
              <w:rPr>
                <w:sz w:val="24"/>
                <w:szCs w:val="24"/>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24"/>
                <w:szCs w:val="24"/>
                <w:color w:val="auto"/>
              </w:rPr>
            </w:pPr>
          </w:p>
        </w:tc>
        <w:tc>
          <w:tcPr>
            <w:tcW w:w="820" w:type="dxa"/>
            <w:vAlign w:val="bottom"/>
          </w:tcPr>
          <w:p>
            <w:pPr>
              <w:ind w:left="3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64"/>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Luxor Capital Group, LP</w:t>
            </w:r>
            <w:r>
              <w:rPr>
                <w:rFonts w:ascii="Arial" w:cs="Arial" w:eastAsia="Arial" w:hAnsi="Arial"/>
                <w:sz w:val="29"/>
                <w:szCs w:val="29"/>
                <w:color w:val="auto"/>
                <w:vertAlign w:val="superscript"/>
              </w:rPr>
              <w:t>(8)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7,356,117</w:t>
            </w: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-3394075</wp:posOffset>
            </wp:positionV>
            <wp:extent cx="8572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4317365</wp:posOffset>
            </wp:positionH>
            <wp:positionV relativeFrom="paragraph">
              <wp:posOffset>-3394075</wp:posOffset>
            </wp:positionV>
            <wp:extent cx="857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3717290</wp:posOffset>
            </wp:positionH>
            <wp:positionV relativeFrom="paragraph">
              <wp:posOffset>-3394075</wp:posOffset>
            </wp:positionV>
            <wp:extent cx="8572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3100070</wp:posOffset>
            </wp:positionH>
            <wp:positionV relativeFrom="paragraph">
              <wp:posOffset>-3394075</wp:posOffset>
            </wp:positionV>
            <wp:extent cx="93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-3394075</wp:posOffset>
            </wp:positionV>
            <wp:extent cx="10287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120015</wp:posOffset>
            </wp:positionV>
            <wp:extent cx="8229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18" w:lineRule="exact"/>
        <w:rPr>
          <w:sz w:val="20"/>
          <w:szCs w:val="20"/>
          <w:color w:val="auto"/>
        </w:rPr>
      </w:pPr>
    </w:p>
    <w:p>
      <w:pPr>
        <w:ind w:left="640" w:hanging="348"/>
        <w:spacing w:after="0"/>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Unless otherwise noted, the business address of each of the following entities or individuals is 41 Discovery, Irvine, California 92618.</w:t>
      </w:r>
    </w:p>
    <w:p>
      <w:pPr>
        <w:spacing w:after="0" w:line="53"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4"/>
        </w:numPr>
        <w:rPr>
          <w:rFonts w:ascii="Arial" w:cs="Arial" w:eastAsia="Arial" w:hAnsi="Arial"/>
          <w:sz w:val="13"/>
          <w:szCs w:val="13"/>
          <w:color w:val="auto"/>
        </w:rPr>
      </w:pPr>
      <w:r>
        <w:rPr>
          <w:rFonts w:ascii="Arial" w:cs="Arial" w:eastAsia="Arial" w:hAnsi="Arial"/>
          <w:sz w:val="13"/>
          <w:szCs w:val="13"/>
          <w:color w:val="auto"/>
        </w:rPr>
        <w:t>Holders of Class A Common Stock and Class V Common Stock are entitled to one vote for each share of Class A Common Stock or Class V Common Stock, as the case may be, held by them. Each share of Class V Common Stock, together with a corresponding limited liability company interest in WMH LLC (together, a “Paired Interest”) is exchangeable for shares of Class A Common Stock on a one-for-one basis from time to time at and after December 13, 2021, unless we determine to pay cash consideration for such Paired Interests.</w:t>
      </w:r>
    </w:p>
    <w:p>
      <w:pPr>
        <w:spacing w:after="0" w:line="12" w:lineRule="exact"/>
        <w:rPr>
          <w:rFonts w:ascii="Arial" w:cs="Arial" w:eastAsia="Arial" w:hAnsi="Arial"/>
          <w:sz w:val="13"/>
          <w:szCs w:val="13"/>
          <w:color w:val="auto"/>
        </w:rPr>
      </w:pPr>
    </w:p>
    <w:p>
      <w:pPr>
        <w:ind w:left="640" w:right="299" w:hanging="348"/>
        <w:spacing w:after="0" w:line="253"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percentage of voting power of the holders of Class A Common Stock and Class V Common Stock voting together as a single class.</w:t>
      </w:r>
    </w:p>
    <w:p>
      <w:pPr>
        <w:spacing w:after="0" w:line="11" w:lineRule="exact"/>
        <w:rPr>
          <w:rFonts w:ascii="Arial" w:cs="Arial" w:eastAsia="Arial" w:hAnsi="Arial"/>
          <w:sz w:val="14"/>
          <w:szCs w:val="14"/>
          <w:color w:val="auto"/>
        </w:rPr>
      </w:pPr>
    </w:p>
    <w:p>
      <w:pPr>
        <w:jc w:val="both"/>
        <w:ind w:left="640" w:right="299" w:hanging="348"/>
        <w:spacing w:after="0" w:line="238" w:lineRule="auto"/>
        <w:tabs>
          <w:tab w:leader="none" w:pos="6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5,000,000 shares in the aggregate of shares of Class A Common Stock held by AFV Partners SPV-5 LLC (“AFV 5”), AFV Partners SPV-6 LLC (“AFV 6”) and a controlled affiliated entity of Tony Aquila upon the completion of the business combination pursuant to the</w:t>
      </w:r>
    </w:p>
    <w:p>
      <w:pPr>
        <w:sectPr>
          <w:pgSz w:w="11900" w:h="16838" w:orient="portrait"/>
          <w:cols w:equalWidth="0" w:num="1">
            <w:col w:w="9019"/>
          </w:cols>
          <w:pgMar w:left="1440" w:top="265" w:right="1440"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6" w:name="page107"/>
    <w:bookmarkEnd w:id="10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29" w:lineRule="auto"/>
        <w:rPr>
          <w:sz w:val="20"/>
          <w:szCs w:val="20"/>
          <w:color w:val="auto"/>
        </w:rPr>
      </w:pPr>
      <w:r>
        <w:rPr>
          <w:rFonts w:ascii="Arial" w:cs="Arial" w:eastAsia="Arial" w:hAnsi="Arial"/>
          <w:sz w:val="14"/>
          <w:szCs w:val="14"/>
          <w:color w:val="auto"/>
        </w:rPr>
        <w:t>PIPE subscription financing. Mr. Aquila is the Chairman and CEO of AFV Partners LLC, which exercises ultimate voting and investment power with respect to the shares held by AFV 5 and AFV 6. Furthermore, Mr. Aquila will personally hold a portion of the shares of Class A Common Stock and will be the sole member with ultimate voting and investment power with respect to the shares held by the controlled entity to be formed to hold the shares of Class A Common Stock. As such, Mr. Aquila may be deemed to be a beneficial owner of the shares held by AFV 5, AFV 6 and the controlled affiliated entity. The business address of the reporting person is 2126 Hamilton Road Suite 260, Argyle, TX 76226.</w:t>
      </w:r>
    </w:p>
    <w:p>
      <w:pPr>
        <w:spacing w:after="0" w:line="23" w:lineRule="exact"/>
        <w:rPr>
          <w:sz w:val="20"/>
          <w:szCs w:val="20"/>
          <w:color w:val="auto"/>
        </w:rPr>
      </w:pPr>
    </w:p>
    <w:p>
      <w:pPr>
        <w:jc w:val="both"/>
        <w:ind w:left="640" w:right="299" w:hanging="348"/>
        <w:spacing w:after="0" w:line="251"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17,162,485 shares of Class V Common Stock held by Mr. Francis, 8,469,191 shares of Class V Common Stock held by Ghost Media Group, LLC, 600,618 shares of Class V Common Stock held by Genco Incentives, LLC and 1,468,555 shares of Class V Common Stock held by WM Founders Legacy I, LLC. Ghost Media Group, LLC is controlled by Messrs. Francis and Hartfield and WM Founders Legacy I, LLC and Genco Incentives, LLC are controlled by Mr. Francis. Accordingly, Mr. Francis may be deemed to be a beneficial owner of the Class A Units held by Ghost Media Group, LLC, Genco Incentives, LLC and WM Founders Legacy I, LLC.</w:t>
      </w:r>
    </w:p>
    <w:p>
      <w:pPr>
        <w:spacing w:after="0" w:line="14" w:lineRule="exact"/>
        <w:rPr>
          <w:rFonts w:ascii="Arial" w:cs="Arial" w:eastAsia="Arial" w:hAnsi="Arial"/>
          <w:sz w:val="13"/>
          <w:szCs w:val="13"/>
          <w:color w:val="auto"/>
        </w:rPr>
      </w:pPr>
    </w:p>
    <w:p>
      <w:pPr>
        <w:jc w:val="both"/>
        <w:ind w:left="640" w:right="299" w:hanging="348"/>
        <w:spacing w:after="0" w:line="255"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19,288,160 shares of Class V Common Stock held by Mr. Hartfield, 8,469,191 shares of Class V Common Stock held by Ghost Media Group, LLC and 1,570,959 shares of Class V Common Stock held by WM Founders Legacy II, LLC. Ghost Media Group, LLC is controlled by Messrs. Hartfield and Francis and WM Founders Legacy II, LLC is controlled by Mr. Hartfield. Accordingly, Mr. Hartfield may be deemed to be a beneficial owner of the shares held by Ghost Media Group, LLC and WM Founders Legacy II, LLC.</w:t>
      </w:r>
    </w:p>
    <w:p>
      <w:pPr>
        <w:spacing w:after="0" w:line="12" w:lineRule="exact"/>
        <w:rPr>
          <w:rFonts w:ascii="Arial" w:cs="Arial" w:eastAsia="Arial" w:hAnsi="Arial"/>
          <w:sz w:val="13"/>
          <w:szCs w:val="13"/>
          <w:color w:val="auto"/>
        </w:rPr>
      </w:pPr>
    </w:p>
    <w:p>
      <w:pPr>
        <w:ind w:left="640" w:hanging="348"/>
        <w:spacing w:after="0"/>
        <w:tabs>
          <w:tab w:leader="none" w:pos="6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Consists of 54,726,788 shares of Class V Common Stock beneficially owned by our directors and executive officers.</w:t>
      </w:r>
    </w:p>
    <w:p>
      <w:pPr>
        <w:spacing w:after="0" w:line="41"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5"/>
        </w:numPr>
        <w:rPr>
          <w:rFonts w:ascii="Arial" w:cs="Arial" w:eastAsia="Arial" w:hAnsi="Arial"/>
          <w:sz w:val="13"/>
          <w:szCs w:val="13"/>
          <w:color w:val="auto"/>
        </w:rPr>
      </w:pPr>
      <w:r>
        <w:rPr>
          <w:rFonts w:ascii="Arial" w:cs="Arial" w:eastAsia="Arial" w:hAnsi="Arial"/>
          <w:sz w:val="13"/>
          <w:szCs w:val="13"/>
          <w:color w:val="auto"/>
        </w:rPr>
        <w:t>Includes 7,244,585 shares of Class A Common Stock held by Lugard Road Capital Master Fund, LP (“Lugard”) beneficially owned by Luxor Capital Group, LP, the investment manager of Lugard, 36,888 shares of Class A Common Stock held by Luxor Capital Partners Offshore Master Fund, LP (“Luxor Offshore”) beneficially owned by Luxor Capital Group, LP, the investment manager of Luxor Offshore, 60,148 shares of Class A Common Stock held by Luxor Capital Partners, LP (“Luxor Capital”) beneficially owned by Luxor Capital Group, LP, the investment manager of Luxor Capital and 14,496 shares of Class A Common Stock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7" w:name="page108"/>
    <w:bookmarkEnd w:id="10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Registration Rights Agreement, the Subscription Agreements and the Warrant Agreement, we agreed to file a registration statement with the SEC for the purposes of registering for resale</w:t>
      </w:r>
    </w:p>
    <w:p>
      <w:pPr>
        <w:spacing w:after="0" w:line="2" w:lineRule="exact"/>
        <w:rPr>
          <w:sz w:val="20"/>
          <w:szCs w:val="20"/>
          <w:color w:val="auto"/>
        </w:rPr>
      </w:pPr>
    </w:p>
    <w:p>
      <w:pPr>
        <w:jc w:val="both"/>
        <w:ind w:left="300" w:right="299" w:hanging="8"/>
        <w:spacing w:after="0" w:line="255" w:lineRule="auto"/>
        <w:tabs>
          <w:tab w:leader="none" w:pos="528"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Private Placement Warrants (and the shares of Class A Common Stock that may be issued upon exercise of the Private Placement Warrants) and (ii) the shares of our Class A Common Stock issued to the Selling Securityholders.</w:t>
      </w:r>
    </w:p>
    <w:p>
      <w:pPr>
        <w:spacing w:after="0" w:line="82"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63,738,563 shares of our Common Stock issued and outstanding as of June 16, 2021 and do not take into account the issuance of any shares of Class A Common Stock upon (i) the exercise of 19,499,993 Warrants to purchase an aggregate of 19,499,993 shares of Class A Common Stock, (ii) the exchange of 25,896,042 Class P Units for up to 25,896,042 shares of Class A Common Stock or (iii) the exchange of 65,502,347 Paired Interest for up to 65,502,347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6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84"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Up to 12,499,933 shares of Class A Common Stock issuable upon exercise of the Public Warrants are not included in the table below, unless specifically indicated in the footnotes therein.</w:t>
      </w:r>
    </w:p>
    <w:p>
      <w:pPr>
        <w:spacing w:after="0" w:line="12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ind w:left="280"/>
              <w:spacing w:after="0" w:line="149" w:lineRule="exact"/>
              <w:rPr>
                <w:sz w:val="20"/>
                <w:szCs w:val="20"/>
                <w:color w:val="auto"/>
              </w:rPr>
            </w:pPr>
            <w:r>
              <w:rPr>
                <w:rFonts w:ascii="Arial" w:cs="Arial" w:eastAsia="Arial" w:hAnsi="Arial"/>
                <w:sz w:val="14"/>
                <w:szCs w:val="14"/>
                <w:b w:val="1"/>
                <w:bCs w:val="1"/>
                <w:color w:val="auto"/>
              </w:rPr>
              <w:t>Common Stock</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Warrants</w:t>
            </w:r>
          </w:p>
        </w:tc>
        <w:tc>
          <w:tcPr>
            <w:tcW w:w="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left="505"/>
              <w:spacing w:after="0" w:line="149" w:lineRule="exact"/>
              <w:rPr>
                <w:sz w:val="20"/>
                <w:szCs w:val="20"/>
                <w:color w:val="auto"/>
              </w:rPr>
            </w:pPr>
            <w:r>
              <w:rPr>
                <w:rFonts w:ascii="Arial" w:cs="Arial" w:eastAsia="Arial" w:hAnsi="Arial"/>
                <w:sz w:val="14"/>
                <w:szCs w:val="14"/>
                <w:b w:val="1"/>
                <w:bCs w:val="1"/>
                <w:color w:val="auto"/>
                <w:w w:val="97"/>
              </w:rPr>
              <w:t>After</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5"/>
              </w:rPr>
              <w:t>Warrants Beneficially</w:t>
            </w:r>
          </w:p>
        </w:tc>
        <w:tc>
          <w:tcPr>
            <w:tcW w:w="0" w:type="dxa"/>
            <w:vAlign w:val="bottom"/>
          </w:tcPr>
          <w:p>
            <w:pPr>
              <w:spacing w:after="0"/>
              <w:rPr>
                <w:sz w:val="1"/>
                <w:szCs w:val="1"/>
                <w:color w:val="auto"/>
              </w:rPr>
            </w:pPr>
          </w:p>
        </w:tc>
      </w:tr>
      <w:tr>
        <w:trPr>
          <w:trHeight w:val="149"/>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Class A of</w:t>
            </w:r>
          </w:p>
        </w:tc>
        <w:tc>
          <w:tcPr>
            <w:tcW w:w="7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Number of</w:t>
            </w:r>
          </w:p>
        </w:tc>
        <w:tc>
          <w:tcPr>
            <w:tcW w:w="1600" w:type="dxa"/>
            <w:vAlign w:val="bottom"/>
            <w:gridSpan w:val="5"/>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Common</w:t>
            </w:r>
          </w:p>
        </w:tc>
        <w:tc>
          <w:tcPr>
            <w:tcW w:w="740" w:type="dxa"/>
            <w:vAlign w:val="bottom"/>
            <w:gridSpan w:val="2"/>
            <w:vMerge w:val="continue"/>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Class A Common Stock</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Owned After the Offered</w:t>
            </w:r>
          </w:p>
        </w:tc>
        <w:tc>
          <w:tcPr>
            <w:tcW w:w="0" w:type="dxa"/>
            <w:vAlign w:val="bottom"/>
          </w:tcPr>
          <w:p>
            <w:pPr>
              <w:spacing w:after="0"/>
              <w:rPr>
                <w:sz w:val="1"/>
                <w:szCs w:val="1"/>
                <w:color w:val="auto"/>
              </w:rPr>
            </w:pPr>
          </w:p>
        </w:tc>
      </w:tr>
      <w:tr>
        <w:trPr>
          <w:trHeight w:val="148"/>
        </w:trPr>
        <w:tc>
          <w:tcPr>
            <w:tcW w:w="2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8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Warrants</w:t>
            </w:r>
          </w:p>
        </w:tc>
        <w:tc>
          <w:tcPr>
            <w:tcW w:w="1600" w:type="dxa"/>
            <w:vAlign w:val="bottom"/>
            <w:gridSpan w:val="5"/>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are Sold</w:t>
            </w:r>
          </w:p>
        </w:tc>
        <w:tc>
          <w:tcPr>
            <w:tcW w:w="15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Warrants are Sold</w:t>
            </w:r>
          </w:p>
        </w:tc>
        <w:tc>
          <w:tcPr>
            <w:tcW w:w="0" w:type="dxa"/>
            <w:vAlign w:val="bottom"/>
          </w:tcPr>
          <w:p>
            <w:pPr>
              <w:spacing w:after="0"/>
              <w:rPr>
                <w:sz w:val="1"/>
                <w:szCs w:val="1"/>
                <w:color w:val="auto"/>
              </w:rPr>
            </w:pPr>
          </w:p>
        </w:tc>
      </w:tr>
      <w:tr>
        <w:trPr>
          <w:trHeight w:val="90"/>
        </w:trPr>
        <w:tc>
          <w:tcPr>
            <w:tcW w:w="200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Prior to</w:t>
            </w:r>
          </w:p>
        </w:tc>
        <w:tc>
          <w:tcPr>
            <w:tcW w:w="80" w:type="dxa"/>
            <w:vAlign w:val="bottom"/>
            <w:vMerge w:val="restart"/>
          </w:tcPr>
          <w:p>
            <w:pPr>
              <w:spacing w:after="0"/>
              <w:rPr>
                <w:sz w:val="7"/>
                <w:szCs w:val="7"/>
                <w:color w:val="auto"/>
              </w:rPr>
            </w:pPr>
          </w:p>
        </w:tc>
        <w:tc>
          <w:tcPr>
            <w:tcW w:w="780" w:type="dxa"/>
            <w:vAlign w:val="bottom"/>
            <w:gridSpan w:val="2"/>
            <w:vMerge w:val="restart"/>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Being</w:t>
            </w:r>
          </w:p>
        </w:tc>
        <w:tc>
          <w:tcPr>
            <w:tcW w:w="76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Number</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8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4"/>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gridSpan w:val="2"/>
            <w:vMerge w:val="continue"/>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80" w:type="dxa"/>
            <w:vAlign w:val="bottom"/>
          </w:tcPr>
          <w:p>
            <w:pPr>
              <w:spacing w:after="0"/>
              <w:rPr>
                <w:sz w:val="16"/>
                <w:szCs w:val="16"/>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94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2"/>
        </w:trPr>
        <w:tc>
          <w:tcPr>
            <w:tcW w:w="2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Christopher Beals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6,166,819</w:t>
            </w: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6,166,819</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1"/>
        </w:trPr>
        <w:tc>
          <w:tcPr>
            <w:tcW w:w="2080" w:type="dxa"/>
            <w:vAlign w:val="bottom"/>
            <w:gridSpan w:val="2"/>
          </w:tcPr>
          <w:p>
            <w:pPr>
              <w:spacing w:after="0"/>
              <w:rPr>
                <w:sz w:val="20"/>
                <w:szCs w:val="20"/>
                <w:color w:val="auto"/>
              </w:rPr>
            </w:pPr>
            <w:r>
              <w:rPr>
                <w:rFonts w:ascii="Arial" w:cs="Arial" w:eastAsia="Arial" w:hAnsi="Arial"/>
                <w:sz w:val="15"/>
                <w:szCs w:val="15"/>
                <w:color w:val="auto"/>
              </w:rPr>
              <w:t>Brian Camire</w:t>
            </w:r>
          </w:p>
        </w:tc>
        <w:tc>
          <w:tcPr>
            <w:tcW w:w="740" w:type="dxa"/>
            <w:vAlign w:val="bottom"/>
          </w:tcPr>
          <w:p>
            <w:pPr>
              <w:jc w:val="right"/>
              <w:spacing w:after="0"/>
              <w:rPr>
                <w:sz w:val="20"/>
                <w:szCs w:val="20"/>
                <w:color w:val="auto"/>
              </w:rPr>
            </w:pPr>
            <w:r>
              <w:rPr>
                <w:rFonts w:ascii="Arial" w:cs="Arial" w:eastAsia="Arial" w:hAnsi="Arial"/>
                <w:sz w:val="15"/>
                <w:szCs w:val="15"/>
                <w:color w:val="auto"/>
              </w:rPr>
              <w:t>681,749</w:t>
            </w:r>
          </w:p>
        </w:tc>
        <w:tc>
          <w:tcPr>
            <w:tcW w:w="80" w:type="dxa"/>
            <w:vAlign w:val="bottom"/>
          </w:tcPr>
          <w:p>
            <w:pPr>
              <w:spacing w:after="0"/>
              <w:rPr>
                <w:sz w:val="19"/>
                <w:szCs w:val="19"/>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681,749</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Justin Dean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619,772</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619,772</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1"/>
        </w:trPr>
        <w:tc>
          <w:tcPr>
            <w:tcW w:w="2080" w:type="dxa"/>
            <w:vAlign w:val="bottom"/>
            <w:gridSpan w:val="2"/>
          </w:tcPr>
          <w:p>
            <w:pPr>
              <w:spacing w:after="0"/>
              <w:rPr>
                <w:sz w:val="20"/>
                <w:szCs w:val="20"/>
                <w:color w:val="auto"/>
              </w:rPr>
            </w:pPr>
            <w:r>
              <w:rPr>
                <w:rFonts w:ascii="Arial" w:cs="Arial" w:eastAsia="Arial" w:hAnsi="Arial"/>
                <w:sz w:val="15"/>
                <w:szCs w:val="15"/>
                <w:color w:val="auto"/>
              </w:rPr>
              <w:t>Juanjo Feijoo</w:t>
            </w:r>
          </w:p>
        </w:tc>
        <w:tc>
          <w:tcPr>
            <w:tcW w:w="740" w:type="dxa"/>
            <w:vAlign w:val="bottom"/>
          </w:tcPr>
          <w:p>
            <w:pPr>
              <w:jc w:val="right"/>
              <w:spacing w:after="0"/>
              <w:rPr>
                <w:sz w:val="20"/>
                <w:szCs w:val="20"/>
                <w:color w:val="auto"/>
              </w:rPr>
            </w:pPr>
            <w:r>
              <w:rPr>
                <w:rFonts w:ascii="Arial" w:cs="Arial" w:eastAsia="Arial" w:hAnsi="Arial"/>
                <w:sz w:val="15"/>
                <w:szCs w:val="15"/>
                <w:color w:val="auto"/>
              </w:rPr>
              <w:t>681,749</w:t>
            </w:r>
          </w:p>
        </w:tc>
        <w:tc>
          <w:tcPr>
            <w:tcW w:w="80" w:type="dxa"/>
            <w:vAlign w:val="bottom"/>
          </w:tcPr>
          <w:p>
            <w:pPr>
              <w:spacing w:after="0"/>
              <w:rPr>
                <w:sz w:val="19"/>
                <w:szCs w:val="19"/>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681,749</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Arden Lee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1,239,543</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rPr>
              <w:t>1,239,543</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1"/>
        </w:trPr>
        <w:tc>
          <w:tcPr>
            <w:tcW w:w="2080" w:type="dxa"/>
            <w:vAlign w:val="bottom"/>
            <w:gridSpan w:val="2"/>
          </w:tcPr>
          <w:p>
            <w:pPr>
              <w:spacing w:after="0"/>
              <w:rPr>
                <w:sz w:val="20"/>
                <w:szCs w:val="20"/>
                <w:color w:val="auto"/>
              </w:rPr>
            </w:pPr>
            <w:r>
              <w:rPr>
                <w:rFonts w:ascii="Arial" w:cs="Arial" w:eastAsia="Arial" w:hAnsi="Arial"/>
                <w:sz w:val="15"/>
                <w:szCs w:val="15"/>
                <w:color w:val="auto"/>
              </w:rPr>
              <w:t>Steven Jung</w:t>
            </w:r>
          </w:p>
        </w:tc>
        <w:tc>
          <w:tcPr>
            <w:tcW w:w="740" w:type="dxa"/>
            <w:vAlign w:val="bottom"/>
          </w:tcPr>
          <w:p>
            <w:pPr>
              <w:jc w:val="right"/>
              <w:spacing w:after="0"/>
              <w:rPr>
                <w:sz w:val="20"/>
                <w:szCs w:val="20"/>
                <w:color w:val="auto"/>
              </w:rPr>
            </w:pPr>
            <w:r>
              <w:rPr>
                <w:rFonts w:ascii="Arial" w:cs="Arial" w:eastAsia="Arial" w:hAnsi="Arial"/>
                <w:sz w:val="15"/>
                <w:szCs w:val="15"/>
                <w:color w:val="auto"/>
              </w:rPr>
              <w:t>1,314,411</w:t>
            </w:r>
          </w:p>
        </w:tc>
        <w:tc>
          <w:tcPr>
            <w:tcW w:w="80" w:type="dxa"/>
            <w:vAlign w:val="bottom"/>
          </w:tcPr>
          <w:p>
            <w:pPr>
              <w:spacing w:after="0"/>
              <w:rPr>
                <w:sz w:val="19"/>
                <w:szCs w:val="19"/>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1,314,411</w:t>
            </w:r>
          </w:p>
        </w:tc>
        <w:tc>
          <w:tcPr>
            <w:tcW w:w="8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2"/>
        </w:trPr>
        <w:tc>
          <w:tcPr>
            <w:tcW w:w="2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gridSpan w:val="2"/>
            <w:shd w:val="clear" w:color="auto" w:fill="CCEEFF"/>
          </w:tcPr>
          <w:p>
            <w:pPr>
              <w:spacing w:after="0" w:line="270" w:lineRule="exact"/>
              <w:rPr>
                <w:sz w:val="20"/>
                <w:szCs w:val="20"/>
                <w:color w:val="auto"/>
              </w:rPr>
            </w:pPr>
            <w:r>
              <w:rPr>
                <w:rFonts w:ascii="Arial" w:cs="Arial" w:eastAsia="Arial" w:hAnsi="Arial"/>
                <w:sz w:val="15"/>
                <w:szCs w:val="15"/>
                <w:color w:val="auto"/>
              </w:rPr>
              <w:t>Doug Francis</w:t>
            </w:r>
            <w:r>
              <w:rPr>
                <w:rFonts w:ascii="Arial" w:cs="Arial" w:eastAsia="Arial" w:hAnsi="Arial"/>
                <w:sz w:val="25"/>
                <w:szCs w:val="25"/>
                <w:color w:val="auto"/>
                <w:vertAlign w:val="superscript"/>
              </w:rPr>
              <w:t>(1)</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27,700,849</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98"/>
              </w:rPr>
              <w:t>27,700,849</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70"/>
        </w:trPr>
        <w:tc>
          <w:tcPr>
            <w:tcW w:w="2080" w:type="dxa"/>
            <w:vAlign w:val="bottom"/>
            <w:gridSpan w:val="2"/>
          </w:tcPr>
          <w:p>
            <w:pPr>
              <w:spacing w:after="0" w:line="270" w:lineRule="exact"/>
              <w:rPr>
                <w:sz w:val="20"/>
                <w:szCs w:val="20"/>
                <w:color w:val="auto"/>
              </w:rPr>
            </w:pPr>
            <w:r>
              <w:rPr>
                <w:rFonts w:ascii="Arial" w:cs="Arial" w:eastAsia="Arial" w:hAnsi="Arial"/>
                <w:sz w:val="15"/>
                <w:szCs w:val="15"/>
                <w:color w:val="auto"/>
              </w:rPr>
              <w:t>Justin Hartfield</w:t>
            </w:r>
            <w:r>
              <w:rPr>
                <w:rFonts w:ascii="Arial" w:cs="Arial" w:eastAsia="Arial" w:hAnsi="Arial"/>
                <w:sz w:val="25"/>
                <w:szCs w:val="25"/>
                <w:color w:val="auto"/>
                <w:vertAlign w:val="superscript"/>
              </w:rPr>
              <w:t>(2)</w:t>
            </w:r>
          </w:p>
        </w:tc>
        <w:tc>
          <w:tcPr>
            <w:tcW w:w="740" w:type="dxa"/>
            <w:vAlign w:val="bottom"/>
          </w:tcPr>
          <w:p>
            <w:pPr>
              <w:jc w:val="right"/>
              <w:spacing w:after="0"/>
              <w:rPr>
                <w:sz w:val="20"/>
                <w:szCs w:val="20"/>
                <w:color w:val="auto"/>
              </w:rPr>
            </w:pPr>
            <w:r>
              <w:rPr>
                <w:rFonts w:ascii="Arial" w:cs="Arial" w:eastAsia="Arial" w:hAnsi="Arial"/>
                <w:sz w:val="15"/>
                <w:szCs w:val="15"/>
                <w:color w:val="auto"/>
                <w:w w:val="90"/>
              </w:rPr>
              <w:t>29,328,310</w:t>
            </w:r>
          </w:p>
        </w:tc>
        <w:tc>
          <w:tcPr>
            <w:tcW w:w="8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w w:val="98"/>
              </w:rPr>
              <w:t>29,328,310</w:t>
            </w:r>
          </w:p>
        </w:tc>
        <w:tc>
          <w:tcPr>
            <w:tcW w:w="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Entities affiliated with Silver</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2"/>
            <w:shd w:val="clear" w:color="auto" w:fill="CCEEFF"/>
          </w:tcPr>
          <w:p>
            <w:pPr>
              <w:ind w:left="140"/>
              <w:spacing w:after="0" w:line="245" w:lineRule="exact"/>
              <w:rPr>
                <w:sz w:val="20"/>
                <w:szCs w:val="20"/>
                <w:color w:val="auto"/>
              </w:rPr>
            </w:pPr>
            <w:r>
              <w:rPr>
                <w:rFonts w:ascii="Arial" w:cs="Arial" w:eastAsia="Arial" w:hAnsi="Arial"/>
                <w:sz w:val="15"/>
                <w:szCs w:val="15"/>
                <w:color w:val="auto"/>
              </w:rPr>
              <w:t>Spike Sponsor, LLC</w:t>
            </w:r>
            <w:r>
              <w:rPr>
                <w:rFonts w:ascii="Arial" w:cs="Arial" w:eastAsia="Arial" w:hAnsi="Arial"/>
                <w:sz w:val="25"/>
                <w:szCs w:val="25"/>
                <w:color w:val="auto"/>
                <w:vertAlign w:val="superscript"/>
              </w:rPr>
              <w:t>(3)</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7,515,752</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98"/>
              </w:rPr>
              <w:t>7,000,000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7,515,752</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7,000,000</w:t>
            </w:r>
          </w:p>
        </w:tc>
        <w:tc>
          <w:tcPr>
            <w:tcW w:w="60" w:type="dxa"/>
            <w:vAlign w:val="bottom"/>
            <w:shd w:val="clear" w:color="auto" w:fill="CCEEFF"/>
          </w:tcPr>
          <w:p>
            <w:pPr>
              <w:spacing w:after="0"/>
              <w:rPr>
                <w:sz w:val="21"/>
                <w:szCs w:val="21"/>
                <w:color w:val="auto"/>
              </w:rPr>
            </w:pP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7"/>
        </w:trPr>
        <w:tc>
          <w:tcPr>
            <w:tcW w:w="2080" w:type="dxa"/>
            <w:vAlign w:val="bottom"/>
            <w:gridSpan w:val="2"/>
          </w:tcPr>
          <w:p>
            <w:pPr>
              <w:spacing w:after="0"/>
              <w:rPr>
                <w:sz w:val="20"/>
                <w:szCs w:val="20"/>
                <w:color w:val="auto"/>
              </w:rPr>
            </w:pPr>
            <w:r>
              <w:rPr>
                <w:rFonts w:ascii="Arial" w:cs="Arial" w:eastAsia="Arial" w:hAnsi="Arial"/>
                <w:sz w:val="15"/>
                <w:szCs w:val="15"/>
                <w:color w:val="auto"/>
              </w:rPr>
              <w:t>2012 Grassie Family Delaware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2"/>
          </w:tcPr>
          <w:p>
            <w:pPr>
              <w:ind w:left="140"/>
              <w:spacing w:after="0" w:line="245" w:lineRule="exact"/>
              <w:rPr>
                <w:sz w:val="20"/>
                <w:szCs w:val="20"/>
                <w:color w:val="auto"/>
              </w:rPr>
            </w:pPr>
            <w:r>
              <w:rPr>
                <w:rFonts w:ascii="Arial" w:cs="Arial" w:eastAsia="Arial" w:hAnsi="Arial"/>
                <w:sz w:val="15"/>
                <w:szCs w:val="15"/>
                <w:color w:val="auto"/>
              </w:rPr>
              <w:t>Dynasty Trust</w:t>
            </w:r>
            <w:r>
              <w:rPr>
                <w:rFonts w:ascii="Arial" w:cs="Arial" w:eastAsia="Arial" w:hAnsi="Arial"/>
                <w:sz w:val="25"/>
                <w:szCs w:val="25"/>
                <w:color w:val="auto"/>
                <w:vertAlign w:val="superscript"/>
              </w:rPr>
              <w:t>(4)</w:t>
            </w:r>
          </w:p>
        </w:tc>
        <w:tc>
          <w:tcPr>
            <w:tcW w:w="740" w:type="dxa"/>
            <w:vAlign w:val="bottom"/>
          </w:tcPr>
          <w:p>
            <w:pPr>
              <w:jc w:val="right"/>
              <w:spacing w:after="0"/>
              <w:rPr>
                <w:sz w:val="20"/>
                <w:szCs w:val="20"/>
                <w:color w:val="auto"/>
              </w:rPr>
            </w:pPr>
            <w:r>
              <w:rPr>
                <w:rFonts w:ascii="Arial" w:cs="Arial" w:eastAsia="Arial" w:hAnsi="Arial"/>
                <w:sz w:val="15"/>
                <w:szCs w:val="15"/>
                <w:color w:val="auto"/>
              </w:rPr>
              <w:t>52,500</w:t>
            </w:r>
          </w:p>
        </w:tc>
        <w:tc>
          <w:tcPr>
            <w:tcW w:w="80" w:type="dxa"/>
            <w:vAlign w:val="bottom"/>
          </w:tcPr>
          <w:p>
            <w:pPr>
              <w:spacing w:after="0"/>
              <w:rPr>
                <w:sz w:val="21"/>
                <w:szCs w:val="21"/>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52,500</w:t>
            </w:r>
          </w:p>
        </w:tc>
        <w:tc>
          <w:tcPr>
            <w:tcW w:w="80" w:type="dxa"/>
            <w:vAlign w:val="bottom"/>
          </w:tcPr>
          <w:p>
            <w:pPr>
              <w:spacing w:after="0"/>
              <w:rPr>
                <w:sz w:val="21"/>
                <w:szCs w:val="21"/>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187"/>
        </w:trPr>
        <w:tc>
          <w:tcPr>
            <w:tcW w:w="20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2019 Alternative Public</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2"/>
            <w:shd w:val="clear" w:color="auto" w:fill="CCEEFF"/>
          </w:tcPr>
          <w:p>
            <w:pPr>
              <w:ind w:left="140"/>
              <w:spacing w:after="0" w:line="245" w:lineRule="exact"/>
              <w:rPr>
                <w:sz w:val="20"/>
                <w:szCs w:val="20"/>
                <w:color w:val="auto"/>
              </w:rPr>
            </w:pPr>
            <w:r>
              <w:rPr>
                <w:rFonts w:ascii="Arial" w:cs="Arial" w:eastAsia="Arial" w:hAnsi="Arial"/>
                <w:sz w:val="15"/>
                <w:szCs w:val="15"/>
                <w:color w:val="auto"/>
              </w:rPr>
              <w:t>Investments, LLC</w:t>
            </w:r>
            <w:r>
              <w:rPr>
                <w:rFonts w:ascii="Arial" w:cs="Arial" w:eastAsia="Arial" w:hAnsi="Arial"/>
                <w:sz w:val="25"/>
                <w:szCs w:val="25"/>
                <w:color w:val="auto"/>
                <w:vertAlign w:val="superscript"/>
              </w:rPr>
              <w:t>(5)</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231,123</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231,123</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70"/>
        </w:trPr>
        <w:tc>
          <w:tcPr>
            <w:tcW w:w="2080" w:type="dxa"/>
            <w:vAlign w:val="bottom"/>
            <w:gridSpan w:val="2"/>
          </w:tcPr>
          <w:p>
            <w:pPr>
              <w:spacing w:after="0" w:line="270" w:lineRule="exact"/>
              <w:rPr>
                <w:sz w:val="20"/>
                <w:szCs w:val="20"/>
                <w:color w:val="auto"/>
              </w:rPr>
            </w:pPr>
            <w:r>
              <w:rPr>
                <w:rFonts w:ascii="Arial" w:cs="Arial" w:eastAsia="Arial" w:hAnsi="Arial"/>
                <w:sz w:val="15"/>
                <w:szCs w:val="15"/>
                <w:color w:val="auto"/>
              </w:rPr>
              <w:t>8704856 Canada Inc.</w:t>
            </w:r>
            <w:r>
              <w:rPr>
                <w:rFonts w:ascii="Arial" w:cs="Arial" w:eastAsia="Arial" w:hAnsi="Arial"/>
                <w:sz w:val="25"/>
                <w:szCs w:val="25"/>
                <w:color w:val="auto"/>
                <w:vertAlign w:val="superscript"/>
              </w:rPr>
              <w:t>(6)</w:t>
            </w:r>
          </w:p>
        </w:tc>
        <w:tc>
          <w:tcPr>
            <w:tcW w:w="740" w:type="dxa"/>
            <w:vAlign w:val="bottom"/>
          </w:tcPr>
          <w:p>
            <w:pPr>
              <w:jc w:val="right"/>
              <w:spacing w:after="0"/>
              <w:rPr>
                <w:sz w:val="20"/>
                <w:szCs w:val="20"/>
                <w:color w:val="auto"/>
              </w:rPr>
            </w:pPr>
            <w:r>
              <w:rPr>
                <w:rFonts w:ascii="Arial" w:cs="Arial" w:eastAsia="Arial" w:hAnsi="Arial"/>
                <w:sz w:val="15"/>
                <w:szCs w:val="15"/>
                <w:color w:val="auto"/>
              </w:rPr>
              <w:t>85,000</w:t>
            </w:r>
          </w:p>
        </w:tc>
        <w:tc>
          <w:tcPr>
            <w:tcW w:w="80" w:type="dxa"/>
            <w:vAlign w:val="bottom"/>
          </w:tcPr>
          <w:p>
            <w:pPr>
              <w:spacing w:after="0"/>
              <w:rPr>
                <w:sz w:val="23"/>
                <w:szCs w:val="23"/>
                <w:color w:val="auto"/>
              </w:rPr>
            </w:pPr>
          </w:p>
        </w:tc>
        <w:tc>
          <w:tcPr>
            <w:tcW w:w="760" w:type="dxa"/>
            <w:vAlign w:val="bottom"/>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spacing w:after="0"/>
              <w:rPr>
                <w:sz w:val="20"/>
                <w:szCs w:val="20"/>
                <w:color w:val="auto"/>
              </w:rPr>
            </w:pPr>
            <w:r>
              <w:rPr>
                <w:rFonts w:ascii="Arial" w:cs="Arial" w:eastAsia="Arial" w:hAnsi="Arial"/>
                <w:sz w:val="15"/>
                <w:szCs w:val="15"/>
                <w:color w:val="auto"/>
              </w:rPr>
              <w:t>85,000</w:t>
            </w:r>
          </w:p>
        </w:tc>
        <w:tc>
          <w:tcPr>
            <w:tcW w:w="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r>
        <w:trPr>
          <w:trHeight w:val="284"/>
        </w:trPr>
        <w:tc>
          <w:tcPr>
            <w:tcW w:w="2080" w:type="dxa"/>
            <w:vAlign w:val="bottom"/>
            <w:gridSpan w:val="2"/>
            <w:shd w:val="clear" w:color="auto" w:fill="CCEEFF"/>
          </w:tcPr>
          <w:p>
            <w:pPr>
              <w:spacing w:after="0" w:line="283" w:lineRule="exact"/>
              <w:rPr>
                <w:sz w:val="20"/>
                <w:szCs w:val="20"/>
                <w:color w:val="auto"/>
              </w:rPr>
            </w:pPr>
            <w:r>
              <w:rPr>
                <w:rFonts w:ascii="Arial" w:cs="Arial" w:eastAsia="Arial" w:hAnsi="Arial"/>
                <w:sz w:val="15"/>
                <w:szCs w:val="15"/>
                <w:color w:val="auto"/>
              </w:rPr>
              <w:t>Adam L. Reeder</w:t>
            </w:r>
            <w:r>
              <w:rPr>
                <w:rFonts w:ascii="Arial" w:cs="Arial" w:eastAsia="Arial" w:hAnsi="Arial"/>
                <w:sz w:val="25"/>
                <w:szCs w:val="25"/>
                <w:color w:val="auto"/>
                <w:vertAlign w:val="superscript"/>
              </w:rPr>
              <w:t>(7)</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ind w:left="300"/>
              <w:spacing w:after="0"/>
              <w:rPr>
                <w:sz w:val="20"/>
                <w:szCs w:val="20"/>
                <w:color w:val="auto"/>
              </w:rPr>
            </w:pPr>
            <w:r>
              <w:rPr>
                <w:rFonts w:ascii="Arial" w:cs="Arial" w:eastAsia="Arial" w:hAnsi="Arial"/>
                <w:sz w:val="15"/>
                <w:szCs w:val="15"/>
                <w:color w:val="auto"/>
              </w:rPr>
              <w:t>—</w:t>
            </w:r>
          </w:p>
        </w:tc>
        <w:tc>
          <w:tcPr>
            <w:tcW w:w="660" w:type="dxa"/>
            <w:vAlign w:val="bottom"/>
            <w:gridSpan w:val="2"/>
            <w:shd w:val="clear" w:color="auto" w:fill="CCEEFF"/>
          </w:tcPr>
          <w:p>
            <w:pPr>
              <w:jc w:val="center"/>
              <w:ind w:right="180"/>
              <w:spacing w:after="0"/>
              <w:rPr>
                <w:sz w:val="20"/>
                <w:szCs w:val="20"/>
                <w:color w:val="auto"/>
              </w:rPr>
            </w:pPr>
            <w:r>
              <w:rPr>
                <w:rFonts w:ascii="Arial" w:cs="Arial" w:eastAsia="Arial" w:hAnsi="Arial"/>
                <w:sz w:val="15"/>
                <w:szCs w:val="15"/>
                <w:color w:val="auto"/>
              </w:rPr>
              <w:t>—</w:t>
            </w:r>
          </w:p>
        </w:tc>
        <w:tc>
          <w:tcPr>
            <w:tcW w:w="820" w:type="dxa"/>
            <w:vAlign w:val="bottom"/>
            <w:gridSpan w:val="2"/>
            <w:shd w:val="clear" w:color="auto" w:fill="CCEEFF"/>
          </w:tcPr>
          <w:p>
            <w:pPr>
              <w:jc w:val="center"/>
              <w:ind w:right="40"/>
              <w:spacing w:after="0"/>
              <w:rPr>
                <w:sz w:val="20"/>
                <w:szCs w:val="20"/>
                <w:color w:val="auto"/>
              </w:rPr>
            </w:pPr>
            <w:r>
              <w:rPr>
                <w:rFonts w:ascii="Arial" w:cs="Arial" w:eastAsia="Arial" w:hAnsi="Arial"/>
                <w:sz w:val="15"/>
                <w:szCs w:val="15"/>
                <w:color w:val="auto"/>
                <w:w w:val="93"/>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-2468245</wp:posOffset>
            </wp:positionV>
            <wp:extent cx="3429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-2468245</wp:posOffset>
            </wp:positionV>
            <wp:extent cx="342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-2468245</wp:posOffset>
            </wp:positionV>
            <wp:extent cx="342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-2468245</wp:posOffset>
            </wp:positionV>
            <wp:extent cx="3429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-2468245</wp:posOffset>
            </wp:positionV>
            <wp:extent cx="5143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-2468245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-2468245</wp:posOffset>
            </wp:positionV>
            <wp:extent cx="5143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-2468245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08" w:name="page109"/>
    <w:bookmarkEnd w:id="108"/>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w w:val="97"/>
              </w:rPr>
              <w:t>After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23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  Class A Common Stock</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are Sold</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8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gridSpan w:val="3"/>
            <w:vMerge w:val="continue"/>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94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Aguila Ventures LLC</w:t>
            </w:r>
            <w:r>
              <w:rPr>
                <w:rFonts w:ascii="Arial" w:cs="Arial" w:eastAsia="Arial" w:hAnsi="Arial"/>
                <w:sz w:val="25"/>
                <w:szCs w:val="25"/>
                <w:color w:val="auto"/>
                <w:vertAlign w:val="superscript"/>
              </w:rPr>
              <w:t>(8)</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AHPPCB Legacy Trust dated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February 1, 2014</w:t>
            </w:r>
            <w:r>
              <w:rPr>
                <w:rFonts w:ascii="Arial" w:cs="Arial" w:eastAsia="Arial" w:hAnsi="Arial"/>
                <w:sz w:val="25"/>
                <w:szCs w:val="25"/>
                <w:color w:val="auto"/>
                <w:vertAlign w:val="superscript"/>
              </w:rPr>
              <w:t>(9)</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Alasdair I.C. Grassie 2012</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(10)</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5"/>
                <w:szCs w:val="15"/>
                <w:color w:val="auto"/>
              </w:rPr>
              <w:t>Amer Bisat</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Ansari 3 Twelve LLC II</w:t>
            </w:r>
            <w:r>
              <w:rPr>
                <w:rFonts w:ascii="Arial" w:cs="Arial" w:eastAsia="Arial" w:hAnsi="Arial"/>
                <w:sz w:val="25"/>
                <w:szCs w:val="25"/>
                <w:color w:val="auto"/>
                <w:vertAlign w:val="superscript"/>
              </w:rPr>
              <w:t>(11)</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91,666</w:t>
            </w:r>
          </w:p>
        </w:tc>
        <w:tc>
          <w:tcPr>
            <w:tcW w:w="8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78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rPr>
              <w:t>91,666</w:t>
            </w:r>
          </w:p>
        </w:tc>
        <w:tc>
          <w:tcPr>
            <w:tcW w:w="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Entities affiliated with Anthony</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Aquila</w:t>
            </w:r>
            <w:r>
              <w:rPr>
                <w:rFonts w:ascii="Arial" w:cs="Arial" w:eastAsia="Arial" w:hAnsi="Arial"/>
                <w:sz w:val="25"/>
                <w:szCs w:val="25"/>
                <w:color w:val="auto"/>
                <w:vertAlign w:val="superscript"/>
              </w:rPr>
              <w:t>(12)</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5,000,000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2"/>
              </w:rPr>
              <w:t>5,000,000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Asia Pacific On-Line</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Limited</w:t>
            </w:r>
            <w:r>
              <w:rPr>
                <w:rFonts w:ascii="Arial" w:cs="Arial" w:eastAsia="Arial" w:hAnsi="Arial"/>
                <w:sz w:val="25"/>
                <w:szCs w:val="25"/>
                <w:color w:val="auto"/>
                <w:vertAlign w:val="superscript"/>
              </w:rPr>
              <w:t>(13)</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80" w:type="dxa"/>
            <w:vAlign w:val="bottom"/>
            <w:gridSpan w:val="3"/>
          </w:tcPr>
          <w:p>
            <w:pPr>
              <w:spacing w:after="0"/>
              <w:rPr>
                <w:sz w:val="20"/>
                <w:szCs w:val="20"/>
                <w:color w:val="auto"/>
              </w:rPr>
            </w:pPr>
            <w:r>
              <w:rPr>
                <w:rFonts w:ascii="Arial" w:cs="Arial" w:eastAsia="Arial" w:hAnsi="Arial"/>
                <w:sz w:val="15"/>
                <w:szCs w:val="15"/>
                <w:color w:val="auto"/>
              </w:rPr>
              <w:t>Entities affiliated with</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80" w:type="dxa"/>
            <w:vAlign w:val="bottom"/>
            <w:gridSpan w:val="3"/>
          </w:tcPr>
          <w:p>
            <w:pPr>
              <w:ind w:left="140"/>
              <w:spacing w:after="0" w:line="160" w:lineRule="exact"/>
              <w:rPr>
                <w:sz w:val="20"/>
                <w:szCs w:val="20"/>
                <w:color w:val="auto"/>
              </w:rPr>
            </w:pPr>
            <w:r>
              <w:rPr>
                <w:rFonts w:ascii="Arial" w:cs="Arial" w:eastAsia="Arial" w:hAnsi="Arial"/>
                <w:sz w:val="15"/>
                <w:szCs w:val="15"/>
                <w:color w:val="auto"/>
              </w:rPr>
              <w:t>Monashee Investment</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Management, LLC</w:t>
            </w:r>
            <w:r>
              <w:rPr>
                <w:rFonts w:ascii="Arial" w:cs="Arial" w:eastAsia="Arial" w:hAnsi="Arial"/>
                <w:sz w:val="25"/>
                <w:szCs w:val="25"/>
                <w:color w:val="auto"/>
                <w:vertAlign w:val="superscript"/>
              </w:rPr>
              <w:t>(14)</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Bernardino Colonna</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3,000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Cavenham Private Equity and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Directs</w:t>
            </w:r>
            <w:r>
              <w:rPr>
                <w:rFonts w:ascii="Arial" w:cs="Arial" w:eastAsia="Arial" w:hAnsi="Arial"/>
                <w:sz w:val="25"/>
                <w:szCs w:val="25"/>
                <w:color w:val="auto"/>
                <w:vertAlign w:val="superscript"/>
              </w:rPr>
              <w:t>(15)</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300,000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Citadel Multi-Strategy Equities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Master Fund Ltd.</w:t>
            </w:r>
            <w:r>
              <w:rPr>
                <w:rFonts w:ascii="Arial" w:cs="Arial" w:eastAsia="Arial" w:hAnsi="Arial"/>
                <w:sz w:val="25"/>
                <w:szCs w:val="25"/>
                <w:color w:val="auto"/>
                <w:vertAlign w:val="superscript"/>
              </w:rPr>
              <w:t>(16)</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750,000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Behdad Eghbali</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1,225,000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2"/>
              </w:rPr>
              <w:t>1,225,000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Jose E. Feliciano</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625,000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625,000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Craig Schlanger Trust UAD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40" w:type="dxa"/>
            <w:vAlign w:val="bottom"/>
          </w:tcPr>
          <w:p>
            <w:pPr>
              <w:ind w:left="140"/>
              <w:spacing w:after="0" w:line="245" w:lineRule="exact"/>
              <w:rPr>
                <w:sz w:val="20"/>
                <w:szCs w:val="20"/>
                <w:color w:val="auto"/>
              </w:rPr>
            </w:pPr>
            <w:r>
              <w:rPr>
                <w:rFonts w:ascii="Arial" w:cs="Arial" w:eastAsia="Arial" w:hAnsi="Arial"/>
                <w:sz w:val="15"/>
                <w:szCs w:val="15"/>
                <w:color w:val="auto"/>
              </w:rPr>
              <w:t>8/31/1979</w:t>
            </w:r>
            <w:r>
              <w:rPr>
                <w:rFonts w:ascii="Arial" w:cs="Arial" w:eastAsia="Arial" w:hAnsi="Arial"/>
                <w:sz w:val="25"/>
                <w:szCs w:val="25"/>
                <w:color w:val="auto"/>
                <w:vertAlign w:val="superscript"/>
              </w:rPr>
              <w:t>(17)</w:t>
            </w: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25,000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CVI Investments, Inc.</w:t>
            </w:r>
            <w:r>
              <w:rPr>
                <w:rFonts w:ascii="Arial" w:cs="Arial" w:eastAsia="Arial" w:hAnsi="Arial"/>
                <w:sz w:val="25"/>
                <w:szCs w:val="25"/>
                <w:color w:val="auto"/>
                <w:vertAlign w:val="superscript"/>
              </w:rPr>
              <w:t>(18)</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600,000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5"/>
                <w:szCs w:val="15"/>
                <w:color w:val="auto"/>
              </w:rPr>
              <w:t>Darren Lazarus</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12,150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12,150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David M. Baron</w:t>
            </w:r>
            <w:r>
              <w:rPr>
                <w:rFonts w:ascii="Arial" w:cs="Arial" w:eastAsia="Arial" w:hAnsi="Arial"/>
                <w:sz w:val="25"/>
                <w:szCs w:val="25"/>
                <w:color w:val="auto"/>
                <w:vertAlign w:val="superscript"/>
              </w:rPr>
              <w:t>(19)</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David Mayer de Rothschild</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David Morrill</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David Todd Posen</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Debra Shemesh-Joester</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Doug Kaplan</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19,800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19,800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Eric Aroesty</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19,800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Eric Hirschfield</w:t>
            </w:r>
            <w:r>
              <w:rPr>
                <w:rFonts w:ascii="Arial" w:cs="Arial" w:eastAsia="Arial" w:hAnsi="Arial"/>
                <w:sz w:val="25"/>
                <w:szCs w:val="25"/>
                <w:color w:val="auto"/>
                <w:vertAlign w:val="superscript"/>
              </w:rPr>
              <w:t>(20)</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Euan C.A. Grassie 2012</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(21)</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Federated Funds</w:t>
            </w:r>
            <w:r>
              <w:rPr>
                <w:rFonts w:ascii="Arial" w:cs="Arial" w:eastAsia="Arial" w:hAnsi="Arial"/>
                <w:sz w:val="25"/>
                <w:szCs w:val="25"/>
                <w:color w:val="auto"/>
                <w:vertAlign w:val="superscript"/>
              </w:rPr>
              <w:t>(22)</w:t>
            </w:r>
          </w:p>
        </w:tc>
        <w:tc>
          <w:tcPr>
            <w:tcW w:w="740" w:type="dxa"/>
            <w:vAlign w:val="bottom"/>
          </w:tcPr>
          <w:p>
            <w:pPr>
              <w:jc w:val="right"/>
              <w:spacing w:after="0"/>
              <w:rPr>
                <w:sz w:val="20"/>
                <w:szCs w:val="20"/>
                <w:color w:val="auto"/>
              </w:rPr>
            </w:pPr>
            <w:r>
              <w:rPr>
                <w:rFonts w:ascii="Arial" w:cs="Arial" w:eastAsia="Arial" w:hAnsi="Arial"/>
                <w:sz w:val="15"/>
                <w:szCs w:val="15"/>
                <w:color w:val="auto"/>
                <w:w w:val="98"/>
              </w:rPr>
              <w:t>4,000,000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w w:val="92"/>
              </w:rPr>
              <w:t>4,000,000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w w:val="94"/>
              </w:rPr>
              <w:t>Final Word Investments LLC</w:t>
            </w:r>
            <w:r>
              <w:rPr>
                <w:rFonts w:ascii="Arial" w:cs="Arial" w:eastAsia="Arial" w:hAnsi="Arial"/>
                <w:sz w:val="25"/>
                <w:szCs w:val="25"/>
                <w:color w:val="auto"/>
                <w:w w:val="94"/>
                <w:vertAlign w:val="superscript"/>
              </w:rPr>
              <w:t>(23)</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Granite Point Master Fund,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28"/>
                <w:szCs w:val="28"/>
                <w:color w:val="auto"/>
                <w:vertAlign w:val="subscript"/>
              </w:rPr>
              <w:t>LP</w:t>
            </w:r>
            <w:r>
              <w:rPr>
                <w:rFonts w:ascii="Arial" w:cs="Arial" w:eastAsia="Arial" w:hAnsi="Arial"/>
                <w:sz w:val="12"/>
                <w:szCs w:val="12"/>
                <w:color w:val="auto"/>
              </w:rPr>
              <w:t>(24)</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437,500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437,500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Gregor C.A. Grassie 2012</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(25)</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w w:val="97"/>
              </w:rPr>
              <w:t>GS+A Global Special Situations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28"/>
                <w:szCs w:val="28"/>
                <w:color w:val="auto"/>
                <w:vertAlign w:val="subscript"/>
              </w:rPr>
              <w:t>Fund</w:t>
            </w:r>
            <w:r>
              <w:rPr>
                <w:rFonts w:ascii="Arial" w:cs="Arial" w:eastAsia="Arial" w:hAnsi="Arial"/>
                <w:sz w:val="12"/>
                <w:szCs w:val="12"/>
                <w:color w:val="auto"/>
              </w:rPr>
              <w:t>(26)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350,000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5"/>
              </w:rPr>
              <w:t>Harbert Stoneview Master Fund,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28"/>
                <w:szCs w:val="28"/>
                <w:color w:val="auto"/>
                <w:vertAlign w:val="subscript"/>
              </w:rPr>
              <w:t>Ltd.</w:t>
            </w:r>
            <w:r>
              <w:rPr>
                <w:rFonts w:ascii="Arial" w:cs="Arial" w:eastAsia="Arial" w:hAnsi="Arial"/>
                <w:sz w:val="12"/>
                <w:szCs w:val="12"/>
                <w:color w:val="auto"/>
              </w:rPr>
              <w:t>(27)</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Homer Parkhill</w:t>
            </w:r>
            <w:r>
              <w:rPr>
                <w:rFonts w:ascii="Arial" w:cs="Arial" w:eastAsia="Arial" w:hAnsi="Arial"/>
                <w:sz w:val="25"/>
                <w:szCs w:val="25"/>
                <w:color w:val="auto"/>
                <w:vertAlign w:val="superscript"/>
              </w:rPr>
              <w:t>(28)</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Hoplite Capital Series LLC –</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Kerdos</w:t>
            </w:r>
            <w:r>
              <w:rPr>
                <w:rFonts w:ascii="Arial" w:cs="Arial" w:eastAsia="Arial" w:hAnsi="Arial"/>
                <w:sz w:val="25"/>
                <w:szCs w:val="25"/>
                <w:color w:val="auto"/>
                <w:vertAlign w:val="superscript"/>
              </w:rPr>
              <w:t>(29)</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275,000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275,000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Interward Capital Corp</w:t>
            </w:r>
            <w:r>
              <w:rPr>
                <w:rFonts w:ascii="Arial" w:cs="Arial" w:eastAsia="Arial" w:hAnsi="Arial"/>
                <w:sz w:val="25"/>
                <w:szCs w:val="25"/>
                <w:color w:val="auto"/>
                <w:vertAlign w:val="superscript"/>
              </w:rPr>
              <w:t>(30)</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James Ben</w:t>
            </w:r>
            <w:r>
              <w:rPr>
                <w:rFonts w:ascii="Arial" w:cs="Arial" w:eastAsia="Arial" w:hAnsi="Arial"/>
                <w:sz w:val="25"/>
                <w:szCs w:val="25"/>
                <w:color w:val="auto"/>
                <w:vertAlign w:val="superscript"/>
              </w:rPr>
              <w:t>(31)</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James Neissa</w:t>
            </w:r>
            <w:r>
              <w:rPr>
                <w:rFonts w:ascii="Arial" w:cs="Arial" w:eastAsia="Arial" w:hAnsi="Arial"/>
                <w:sz w:val="25"/>
                <w:szCs w:val="25"/>
                <w:color w:val="auto"/>
                <w:vertAlign w:val="superscript"/>
              </w:rPr>
              <w:t>(32)</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Adam L. Reeder</w:t>
            </w:r>
            <w:r>
              <w:rPr>
                <w:rFonts w:ascii="Arial" w:cs="Arial" w:eastAsia="Arial" w:hAnsi="Arial"/>
                <w:sz w:val="25"/>
                <w:szCs w:val="25"/>
                <w:color w:val="auto"/>
                <w:vertAlign w:val="superscript"/>
              </w:rPr>
              <w:t>(7)</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Aguila Ventures LLC</w:t>
            </w:r>
            <w:r>
              <w:rPr>
                <w:rFonts w:ascii="Arial" w:cs="Arial" w:eastAsia="Arial" w:hAnsi="Arial"/>
                <w:sz w:val="25"/>
                <w:szCs w:val="25"/>
                <w:color w:val="auto"/>
                <w:vertAlign w:val="superscript"/>
              </w:rPr>
              <w:t>(8)</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AHPPCB Legacy Trust dated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February 1, 2014</w:t>
            </w:r>
            <w:r>
              <w:rPr>
                <w:rFonts w:ascii="Arial" w:cs="Arial" w:eastAsia="Arial" w:hAnsi="Arial"/>
                <w:sz w:val="25"/>
                <w:szCs w:val="25"/>
                <w:color w:val="auto"/>
                <w:vertAlign w:val="superscript"/>
              </w:rPr>
              <w:t>(9)</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Alasdair I.C. Grassie 2012</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2080" w:type="dxa"/>
            <w:vAlign w:val="bottom"/>
            <w:gridSpan w:val="3"/>
          </w:tcPr>
          <w:p>
            <w:pPr>
              <w:ind w:left="140"/>
              <w:spacing w:after="0"/>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(10)</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-8498205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-8498205</wp:posOffset>
            </wp:positionV>
            <wp:extent cx="342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-8498205</wp:posOffset>
            </wp:positionV>
            <wp:extent cx="342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-8498205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-8498205</wp:posOffset>
            </wp:positionV>
            <wp:extent cx="5143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-8498205</wp:posOffset>
            </wp:positionV>
            <wp:extent cx="514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-8498205</wp:posOffset>
            </wp:positionV>
            <wp:extent cx="514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-8498205</wp:posOffset>
            </wp:positionV>
            <wp:extent cx="514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ectPr>
          <w:pgSz w:w="11900" w:h="16838" w:orient="portrait"/>
          <w:cols w:equalWidth="0" w:num="1">
            <w:col w:w="9019"/>
          </w:cols>
          <w:pgMar w:left="1440" w:top="262" w:right="1440" w:bottom="493" w:gutter="0" w:footer="0" w:header="0"/>
        </w:sectPr>
      </w:pP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149225</wp:posOffset>
            </wp:positionV>
            <wp:extent cx="6995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493" w:gutter="0" w:footer="0" w:header="0"/>
          <w:type w:val="continuous"/>
        </w:sectPr>
      </w:pPr>
    </w:p>
    <w:bookmarkStart w:id="109" w:name="page110"/>
    <w:bookmarkEnd w:id="109"/>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TABLE OF CONTENTS</w:t>
              </w:r>
            </w:hyperlink>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2"/>
        </w:trPr>
        <w:tc>
          <w:tcPr>
            <w:tcW w:w="15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Shares of Class A</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7"/>
              </w:rPr>
              <w:t>Shares of</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Beneficially Owned</w:t>
            </w: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Warrants</w:t>
            </w:r>
          </w:p>
        </w:tc>
        <w:tc>
          <w:tcPr>
            <w:tcW w:w="76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jc w:val="center"/>
              <w:ind w:left="504"/>
              <w:spacing w:after="0" w:line="149" w:lineRule="exact"/>
              <w:rPr>
                <w:sz w:val="20"/>
                <w:szCs w:val="20"/>
                <w:color w:val="auto"/>
              </w:rPr>
            </w:pPr>
            <w:r>
              <w:rPr>
                <w:rFonts w:ascii="Arial" w:cs="Arial" w:eastAsia="Arial" w:hAnsi="Arial"/>
                <w:sz w:val="14"/>
                <w:szCs w:val="14"/>
                <w:b w:val="1"/>
                <w:bCs w:val="1"/>
                <w:color w:val="auto"/>
                <w:w w:val="97"/>
              </w:rPr>
              <w:t>After</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Class A</w:t>
            </w:r>
          </w:p>
        </w:tc>
        <w:tc>
          <w:tcPr>
            <w:tcW w:w="840" w:type="dxa"/>
            <w:vAlign w:val="bottom"/>
            <w:gridSpan w:val="2"/>
            <w:vMerge w:val="continue"/>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Class A of</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the Offered Shares of</w:t>
            </w: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Common</w:t>
            </w:r>
          </w:p>
        </w:tc>
        <w:tc>
          <w:tcPr>
            <w:tcW w:w="234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Number of  Class A Common Stock</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Owned</w:t>
            </w:r>
          </w:p>
        </w:tc>
        <w:tc>
          <w:tcPr>
            <w:tcW w:w="7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7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Warrants</w:t>
            </w:r>
          </w:p>
        </w:tc>
        <w:tc>
          <w:tcPr>
            <w:tcW w:w="1600" w:type="dxa"/>
            <w:vAlign w:val="bottom"/>
            <w:gridSpan w:val="5"/>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are Sold</w:t>
            </w:r>
          </w:p>
        </w:tc>
        <w:tc>
          <w:tcPr>
            <w:tcW w:w="15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Warrants are Sold</w:t>
            </w:r>
          </w:p>
        </w:tc>
        <w:tc>
          <w:tcPr>
            <w:tcW w:w="0" w:type="dxa"/>
            <w:vAlign w:val="bottom"/>
          </w:tcPr>
          <w:p>
            <w:pPr>
              <w:spacing w:after="0"/>
              <w:rPr>
                <w:sz w:val="1"/>
                <w:szCs w:val="1"/>
                <w:color w:val="auto"/>
              </w:rPr>
            </w:pPr>
          </w:p>
        </w:tc>
      </w:tr>
      <w:tr>
        <w:trPr>
          <w:trHeight w:val="90"/>
        </w:trPr>
        <w:tc>
          <w:tcPr>
            <w:tcW w:w="1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84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Prior to</w:t>
            </w:r>
          </w:p>
        </w:tc>
        <w:tc>
          <w:tcPr>
            <w:tcW w:w="760" w:type="dxa"/>
            <w:vAlign w:val="bottom"/>
            <w:gridSpan w:val="2"/>
            <w:vMerge w:val="restart"/>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Being</w:t>
            </w:r>
          </w:p>
        </w:tc>
        <w:tc>
          <w:tcPr>
            <w:tcW w:w="74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Being</w:t>
            </w:r>
          </w:p>
        </w:tc>
        <w:tc>
          <w:tcPr>
            <w:tcW w:w="78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Name of Selling Securityholder</w:t>
            </w:r>
          </w:p>
        </w:tc>
        <w:tc>
          <w:tcPr>
            <w:tcW w:w="820" w:type="dxa"/>
            <w:vAlign w:val="bottom"/>
            <w:gridSpan w:val="2"/>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w:t>
            </w:r>
          </w:p>
        </w:tc>
        <w:tc>
          <w:tcPr>
            <w:tcW w:w="6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Percent</w:t>
            </w:r>
          </w:p>
        </w:tc>
        <w:tc>
          <w:tcPr>
            <w:tcW w:w="8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line="20" w:lineRule="exact"/>
              <w:rPr>
                <w:sz w:val="1"/>
                <w:szCs w:val="1"/>
                <w:color w:val="auto"/>
              </w:rPr>
            </w:pPr>
          </w:p>
        </w:tc>
      </w:tr>
      <w:tr>
        <w:trPr>
          <w:trHeight w:val="186"/>
        </w:trPr>
        <w:tc>
          <w:tcPr>
            <w:tcW w:w="2080" w:type="dxa"/>
            <w:vAlign w:val="bottom"/>
            <w:gridSpan w:val="3"/>
            <w:vMerge w:val="continue"/>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Owned</w:t>
            </w: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Offering</w:t>
            </w: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Offered</w:t>
            </w:r>
          </w:p>
        </w:tc>
        <w:tc>
          <w:tcPr>
            <w:tcW w:w="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6"/>
              </w:rPr>
              <w:t>Offered</w:t>
            </w:r>
          </w:p>
        </w:tc>
        <w:tc>
          <w:tcPr>
            <w:tcW w:w="940" w:type="dxa"/>
            <w:vAlign w:val="bottom"/>
            <w:gridSpan w:val="3"/>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15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Amer Bisat</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Ansari 3 Twelve LLC II</w:t>
            </w:r>
            <w:r>
              <w:rPr>
                <w:rFonts w:ascii="Arial" w:cs="Arial" w:eastAsia="Arial" w:hAnsi="Arial"/>
                <w:sz w:val="25"/>
                <w:szCs w:val="25"/>
                <w:color w:val="auto"/>
                <w:vertAlign w:val="superscript"/>
              </w:rPr>
              <w:t>(11)</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180,000</w:t>
            </w:r>
          </w:p>
        </w:tc>
        <w:tc>
          <w:tcPr>
            <w:tcW w:w="80" w:type="dxa"/>
            <w:vAlign w:val="bottom"/>
          </w:tcPr>
          <w:p>
            <w:pPr>
              <w:spacing w:after="0"/>
              <w:rPr>
                <w:sz w:val="23"/>
                <w:szCs w:val="23"/>
                <w:color w:val="auto"/>
              </w:rPr>
            </w:pPr>
          </w:p>
        </w:tc>
        <w:tc>
          <w:tcPr>
            <w:tcW w:w="760" w:type="dxa"/>
            <w:vAlign w:val="bottom"/>
          </w:tcPr>
          <w:p>
            <w:pPr>
              <w:jc w:val="right"/>
              <w:ind w:right="104"/>
              <w:spacing w:after="0"/>
              <w:rPr>
                <w:sz w:val="20"/>
                <w:szCs w:val="20"/>
                <w:color w:val="auto"/>
              </w:rPr>
            </w:pPr>
            <w:r>
              <w:rPr>
                <w:rFonts w:ascii="Arial" w:cs="Arial" w:eastAsia="Arial" w:hAnsi="Arial"/>
                <w:sz w:val="15"/>
                <w:szCs w:val="15"/>
                <w:color w:val="auto"/>
              </w:rPr>
              <w:t>91,666</w:t>
            </w:r>
          </w:p>
        </w:tc>
        <w:tc>
          <w:tcPr>
            <w:tcW w:w="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180,000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780" w:type="dxa"/>
            <w:vAlign w:val="bottom"/>
          </w:tcPr>
          <w:p>
            <w:pPr>
              <w:jc w:val="right"/>
              <w:ind w:right="104"/>
              <w:spacing w:after="0"/>
              <w:rPr>
                <w:sz w:val="20"/>
                <w:szCs w:val="20"/>
                <w:color w:val="auto"/>
              </w:rPr>
            </w:pPr>
            <w:r>
              <w:rPr>
                <w:rFonts w:ascii="Arial" w:cs="Arial" w:eastAsia="Arial" w:hAnsi="Arial"/>
                <w:sz w:val="15"/>
                <w:szCs w:val="15"/>
                <w:color w:val="auto"/>
              </w:rPr>
              <w:t>91,666</w:t>
            </w:r>
          </w:p>
        </w:tc>
        <w:tc>
          <w:tcPr>
            <w:tcW w:w="60" w:type="dxa"/>
            <w:vAlign w:val="bottom"/>
          </w:tcPr>
          <w:p>
            <w:pPr>
              <w:spacing w:after="0"/>
              <w:rPr>
                <w:sz w:val="23"/>
                <w:szCs w:val="23"/>
                <w:color w:val="auto"/>
              </w:rPr>
            </w:pPr>
          </w:p>
        </w:tc>
        <w:tc>
          <w:tcPr>
            <w:tcW w:w="740" w:type="dxa"/>
            <w:vAlign w:val="bottom"/>
          </w:tcPr>
          <w:p>
            <w:pPr>
              <w:jc w:val="right"/>
              <w:ind w:right="164"/>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Entities affiliated with Anthony</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Aquila</w:t>
            </w:r>
            <w:r>
              <w:rPr>
                <w:rFonts w:ascii="Arial" w:cs="Arial" w:eastAsia="Arial" w:hAnsi="Arial"/>
                <w:sz w:val="25"/>
                <w:szCs w:val="25"/>
                <w:color w:val="auto"/>
                <w:vertAlign w:val="superscript"/>
              </w:rPr>
              <w:t>(12)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5,000,000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5,000,000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Asia Pacific On-Line</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Limited</w:t>
            </w:r>
            <w:r>
              <w:rPr>
                <w:rFonts w:ascii="Arial" w:cs="Arial" w:eastAsia="Arial" w:hAnsi="Arial"/>
                <w:sz w:val="25"/>
                <w:szCs w:val="25"/>
                <w:color w:val="auto"/>
                <w:vertAlign w:val="superscript"/>
              </w:rPr>
              <w:t>(13)</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Entities affiliated with</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2080" w:type="dxa"/>
            <w:vAlign w:val="bottom"/>
            <w:gridSpan w:val="3"/>
            <w:shd w:val="clear" w:color="auto" w:fill="CCEEFF"/>
          </w:tcPr>
          <w:p>
            <w:pPr>
              <w:ind w:left="140"/>
              <w:spacing w:after="0" w:line="160" w:lineRule="exact"/>
              <w:rPr>
                <w:sz w:val="20"/>
                <w:szCs w:val="20"/>
                <w:color w:val="auto"/>
              </w:rPr>
            </w:pPr>
            <w:r>
              <w:rPr>
                <w:rFonts w:ascii="Arial" w:cs="Arial" w:eastAsia="Arial" w:hAnsi="Arial"/>
                <w:sz w:val="15"/>
                <w:szCs w:val="15"/>
                <w:color w:val="auto"/>
              </w:rPr>
              <w:t>Monashee Investment</w:t>
            </w: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Management, LLC</w:t>
            </w:r>
            <w:r>
              <w:rPr>
                <w:rFonts w:ascii="Arial" w:cs="Arial" w:eastAsia="Arial" w:hAnsi="Arial"/>
                <w:sz w:val="25"/>
                <w:szCs w:val="25"/>
                <w:color w:val="auto"/>
                <w:vertAlign w:val="superscript"/>
              </w:rPr>
              <w:t>(14)</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Bernardino Colonna</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3,000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Cavenham Private Equity and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Directs</w:t>
            </w:r>
            <w:r>
              <w:rPr>
                <w:rFonts w:ascii="Arial" w:cs="Arial" w:eastAsia="Arial" w:hAnsi="Arial"/>
                <w:sz w:val="25"/>
                <w:szCs w:val="25"/>
                <w:color w:val="auto"/>
                <w:vertAlign w:val="superscript"/>
              </w:rPr>
              <w:t>(15)</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300,000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Citadel Multi-Strategy Equities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Master Fund Ltd.</w:t>
            </w:r>
            <w:r>
              <w:rPr>
                <w:rFonts w:ascii="Arial" w:cs="Arial" w:eastAsia="Arial" w:hAnsi="Arial"/>
                <w:sz w:val="25"/>
                <w:szCs w:val="25"/>
                <w:color w:val="auto"/>
                <w:vertAlign w:val="superscript"/>
              </w:rPr>
              <w:t>(16)</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750,000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750,000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Behdad Eghbali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8"/>
              </w:rPr>
              <w:t>1,225,000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92"/>
              </w:rPr>
              <w:t>1,225,000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Jose E. Feliciano</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625,000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625,000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Craig Schlanger Trust UAD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540" w:type="dxa"/>
            <w:vAlign w:val="bottom"/>
            <w:shd w:val="clear" w:color="auto" w:fill="CCEEFF"/>
          </w:tcPr>
          <w:p>
            <w:pPr>
              <w:ind w:left="140"/>
              <w:spacing w:after="0" w:line="245" w:lineRule="exact"/>
              <w:rPr>
                <w:sz w:val="20"/>
                <w:szCs w:val="20"/>
                <w:color w:val="auto"/>
              </w:rPr>
            </w:pPr>
            <w:r>
              <w:rPr>
                <w:rFonts w:ascii="Arial" w:cs="Arial" w:eastAsia="Arial" w:hAnsi="Arial"/>
                <w:sz w:val="15"/>
                <w:szCs w:val="15"/>
                <w:color w:val="auto"/>
              </w:rPr>
              <w:t>8/31/1979</w:t>
            </w:r>
            <w:r>
              <w:rPr>
                <w:rFonts w:ascii="Arial" w:cs="Arial" w:eastAsia="Arial" w:hAnsi="Arial"/>
                <w:sz w:val="25"/>
                <w:szCs w:val="25"/>
                <w:color w:val="auto"/>
                <w:vertAlign w:val="superscript"/>
              </w:rPr>
              <w:t>(17)</w:t>
            </w: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25,000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CVI Investments, Inc.</w:t>
            </w:r>
            <w:r>
              <w:rPr>
                <w:rFonts w:ascii="Arial" w:cs="Arial" w:eastAsia="Arial" w:hAnsi="Arial"/>
                <w:sz w:val="25"/>
                <w:szCs w:val="25"/>
                <w:color w:val="auto"/>
                <w:vertAlign w:val="superscript"/>
              </w:rPr>
              <w:t>(18)</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600,000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600,000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Darren Lazarus</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12,150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12,150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David M. Baron</w:t>
            </w:r>
            <w:r>
              <w:rPr>
                <w:rFonts w:ascii="Arial" w:cs="Arial" w:eastAsia="Arial" w:hAnsi="Arial"/>
                <w:sz w:val="25"/>
                <w:szCs w:val="25"/>
                <w:color w:val="auto"/>
                <w:vertAlign w:val="superscript"/>
              </w:rPr>
              <w:t>(19)</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David Mayer de Rothschild</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2"/>
        </w:trPr>
        <w:tc>
          <w:tcPr>
            <w:tcW w:w="2080" w:type="dxa"/>
            <w:vAlign w:val="bottom"/>
            <w:gridSpan w:val="3"/>
          </w:tcPr>
          <w:p>
            <w:pPr>
              <w:spacing w:after="0"/>
              <w:rPr>
                <w:sz w:val="20"/>
                <w:szCs w:val="20"/>
                <w:color w:val="auto"/>
              </w:rPr>
            </w:pPr>
            <w:r>
              <w:rPr>
                <w:rFonts w:ascii="Arial" w:cs="Arial" w:eastAsia="Arial" w:hAnsi="Arial"/>
                <w:sz w:val="15"/>
                <w:szCs w:val="15"/>
                <w:color w:val="auto"/>
              </w:rPr>
              <w:t>David Morrill</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David Todd Posen</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7,000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7,000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Debra Shemesh-Joester</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2,500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5"/>
                <w:szCs w:val="15"/>
                <w:color w:val="auto"/>
              </w:rPr>
              <w:t>Doug Kaplan</w:t>
            </w:r>
          </w:p>
        </w:tc>
        <w:tc>
          <w:tcPr>
            <w:tcW w:w="74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rPr>
              <w:t>19,800</w:t>
            </w:r>
          </w:p>
        </w:tc>
        <w:tc>
          <w:tcPr>
            <w:tcW w:w="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19,800</w:t>
            </w: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CCEEFF"/>
            </w:tcBorders>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1"/>
        </w:trPr>
        <w:tc>
          <w:tcPr>
            <w:tcW w:w="2080" w:type="dxa"/>
            <w:vAlign w:val="bottom"/>
            <w:gridSpan w:val="3"/>
          </w:tcPr>
          <w:p>
            <w:pPr>
              <w:spacing w:after="0"/>
              <w:rPr>
                <w:sz w:val="20"/>
                <w:szCs w:val="20"/>
                <w:color w:val="auto"/>
              </w:rPr>
            </w:pPr>
            <w:r>
              <w:rPr>
                <w:rFonts w:ascii="Arial" w:cs="Arial" w:eastAsia="Arial" w:hAnsi="Arial"/>
                <w:sz w:val="15"/>
                <w:szCs w:val="15"/>
                <w:color w:val="auto"/>
              </w:rPr>
              <w:t>Eric Aroesty</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19,800</w:t>
            </w: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19,800</w:t>
            </w:r>
          </w:p>
        </w:tc>
        <w:tc>
          <w:tcPr>
            <w:tcW w:w="80" w:type="dxa"/>
            <w:vAlign w:val="bottom"/>
          </w:tcPr>
          <w:p>
            <w:pPr>
              <w:spacing w:after="0"/>
              <w:rPr>
                <w:sz w:val="19"/>
                <w:szCs w:val="19"/>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2"/>
        </w:trPr>
        <w:tc>
          <w:tcPr>
            <w:tcW w:w="1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Eric Hirschfield</w:t>
            </w:r>
            <w:r>
              <w:rPr>
                <w:rFonts w:ascii="Arial" w:cs="Arial" w:eastAsia="Arial" w:hAnsi="Arial"/>
                <w:sz w:val="25"/>
                <w:szCs w:val="25"/>
                <w:color w:val="auto"/>
                <w:vertAlign w:val="superscript"/>
              </w:rPr>
              <w:t>(20)</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15,000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Euan C.A. Grassie 2012</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(21)</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Federated Funds</w:t>
            </w:r>
            <w:r>
              <w:rPr>
                <w:rFonts w:ascii="Arial" w:cs="Arial" w:eastAsia="Arial" w:hAnsi="Arial"/>
                <w:sz w:val="25"/>
                <w:szCs w:val="25"/>
                <w:color w:val="auto"/>
                <w:vertAlign w:val="superscript"/>
              </w:rPr>
              <w:t>(22)</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4,000,000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2"/>
              </w:rPr>
              <w:t>4,000,000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w w:val="94"/>
              </w:rPr>
              <w:t>Final Word Investments LLC</w:t>
            </w:r>
            <w:r>
              <w:rPr>
                <w:rFonts w:ascii="Arial" w:cs="Arial" w:eastAsia="Arial" w:hAnsi="Arial"/>
                <w:sz w:val="25"/>
                <w:szCs w:val="25"/>
                <w:color w:val="auto"/>
                <w:w w:val="94"/>
                <w:vertAlign w:val="superscript"/>
              </w:rPr>
              <w:t>(23)</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40,000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40,000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Granite Point Master Fund,</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28"/>
                <w:szCs w:val="28"/>
                <w:color w:val="auto"/>
                <w:vertAlign w:val="subscript"/>
              </w:rPr>
              <w:t>LP</w:t>
            </w:r>
            <w:r>
              <w:rPr>
                <w:rFonts w:ascii="Arial" w:cs="Arial" w:eastAsia="Arial" w:hAnsi="Arial"/>
                <w:sz w:val="12"/>
                <w:szCs w:val="12"/>
                <w:color w:val="auto"/>
              </w:rPr>
              <w:t>(24)</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437,500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437,500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Gregor C.A. Grassie 2012</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Delaware Trust</w:t>
            </w:r>
            <w:r>
              <w:rPr>
                <w:rFonts w:ascii="Arial" w:cs="Arial" w:eastAsia="Arial" w:hAnsi="Arial"/>
                <w:sz w:val="25"/>
                <w:szCs w:val="25"/>
                <w:color w:val="auto"/>
                <w:vertAlign w:val="superscript"/>
              </w:rPr>
              <w:t>(25)</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shd w:val="clear" w:color="auto" w:fill="CCEEFF"/>
          </w:tcPr>
          <w:p>
            <w:pPr>
              <w:spacing w:after="0"/>
              <w:rPr>
                <w:sz w:val="20"/>
                <w:szCs w:val="20"/>
                <w:color w:val="auto"/>
              </w:rPr>
            </w:pPr>
            <w:r>
              <w:rPr>
                <w:rFonts w:ascii="Arial" w:cs="Arial" w:eastAsia="Arial" w:hAnsi="Arial"/>
                <w:sz w:val="15"/>
                <w:szCs w:val="15"/>
                <w:color w:val="auto"/>
                <w:w w:val="97"/>
              </w:rPr>
              <w:t>GS+A Global Special Situations</w:t>
            </w: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shd w:val="clear" w:color="auto" w:fill="CCEEFF"/>
          </w:tcPr>
          <w:p>
            <w:pPr>
              <w:ind w:left="140"/>
              <w:spacing w:after="0" w:line="245" w:lineRule="exact"/>
              <w:rPr>
                <w:sz w:val="20"/>
                <w:szCs w:val="20"/>
                <w:color w:val="auto"/>
              </w:rPr>
            </w:pPr>
            <w:r>
              <w:rPr>
                <w:rFonts w:ascii="Arial" w:cs="Arial" w:eastAsia="Arial" w:hAnsi="Arial"/>
                <w:sz w:val="15"/>
                <w:szCs w:val="15"/>
                <w:color w:val="auto"/>
              </w:rPr>
              <w:t>Fund</w:t>
            </w:r>
            <w:r>
              <w:rPr>
                <w:rFonts w:ascii="Arial" w:cs="Arial" w:eastAsia="Arial" w:hAnsi="Arial"/>
                <w:sz w:val="25"/>
                <w:szCs w:val="25"/>
                <w:color w:val="auto"/>
                <w:vertAlign w:val="superscript"/>
              </w:rPr>
              <w:t>(26)</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350,000</w:t>
            </w:r>
          </w:p>
        </w:tc>
        <w:tc>
          <w:tcPr>
            <w:tcW w:w="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w w:val="95"/>
              </w:rPr>
              <w:t>Harbert Stoneview Master Fund,</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Ltd.</w:t>
            </w:r>
            <w:r>
              <w:rPr>
                <w:rFonts w:ascii="Arial" w:cs="Arial" w:eastAsia="Arial" w:hAnsi="Arial"/>
                <w:sz w:val="25"/>
                <w:szCs w:val="25"/>
                <w:color w:val="auto"/>
                <w:vertAlign w:val="superscript"/>
              </w:rPr>
              <w:t>(27)</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150,000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150,000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Homer Parkhill</w:t>
            </w:r>
            <w:r>
              <w:rPr>
                <w:rFonts w:ascii="Arial" w:cs="Arial" w:eastAsia="Arial" w:hAnsi="Arial"/>
                <w:sz w:val="25"/>
                <w:szCs w:val="25"/>
                <w:color w:val="auto"/>
                <w:vertAlign w:val="superscript"/>
              </w:rPr>
              <w:t>(28)</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2080" w:type="dxa"/>
            <w:vAlign w:val="bottom"/>
            <w:gridSpan w:val="3"/>
          </w:tcPr>
          <w:p>
            <w:pPr>
              <w:spacing w:after="0"/>
              <w:rPr>
                <w:sz w:val="20"/>
                <w:szCs w:val="20"/>
                <w:color w:val="auto"/>
              </w:rPr>
            </w:pPr>
            <w:r>
              <w:rPr>
                <w:rFonts w:ascii="Arial" w:cs="Arial" w:eastAsia="Arial" w:hAnsi="Arial"/>
                <w:sz w:val="15"/>
                <w:szCs w:val="15"/>
                <w:color w:val="auto"/>
              </w:rPr>
              <w:t>Hoplite Capital Series LLC –</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80" w:type="dxa"/>
            <w:vAlign w:val="bottom"/>
            <w:gridSpan w:val="3"/>
          </w:tcPr>
          <w:p>
            <w:pPr>
              <w:ind w:left="140"/>
              <w:spacing w:after="0" w:line="245" w:lineRule="exact"/>
              <w:rPr>
                <w:sz w:val="20"/>
                <w:szCs w:val="20"/>
                <w:color w:val="auto"/>
              </w:rPr>
            </w:pPr>
            <w:r>
              <w:rPr>
                <w:rFonts w:ascii="Arial" w:cs="Arial" w:eastAsia="Arial" w:hAnsi="Arial"/>
                <w:sz w:val="15"/>
                <w:szCs w:val="15"/>
                <w:color w:val="auto"/>
              </w:rPr>
              <w:t>Kerdos</w:t>
            </w:r>
            <w:r>
              <w:rPr>
                <w:rFonts w:ascii="Arial" w:cs="Arial" w:eastAsia="Arial" w:hAnsi="Arial"/>
                <w:sz w:val="25"/>
                <w:szCs w:val="25"/>
                <w:color w:val="auto"/>
                <w:vertAlign w:val="superscript"/>
              </w:rPr>
              <w:t>(29)</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275,000</w:t>
            </w:r>
          </w:p>
        </w:tc>
        <w:tc>
          <w:tcPr>
            <w:tcW w:w="80" w:type="dxa"/>
            <w:vAlign w:val="bottom"/>
          </w:tcPr>
          <w:p>
            <w:pPr>
              <w:spacing w:after="0"/>
              <w:rPr>
                <w:sz w:val="21"/>
                <w:szCs w:val="2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275,000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shd w:val="clear" w:color="auto" w:fill="CCEEFF"/>
          </w:tcPr>
          <w:p>
            <w:pPr>
              <w:spacing w:after="0" w:line="270" w:lineRule="exact"/>
              <w:rPr>
                <w:sz w:val="20"/>
                <w:szCs w:val="20"/>
                <w:color w:val="auto"/>
              </w:rPr>
            </w:pPr>
            <w:r>
              <w:rPr>
                <w:rFonts w:ascii="Arial" w:cs="Arial" w:eastAsia="Arial" w:hAnsi="Arial"/>
                <w:sz w:val="15"/>
                <w:szCs w:val="15"/>
                <w:color w:val="auto"/>
              </w:rPr>
              <w:t>Interward Capital Corp</w:t>
            </w:r>
            <w:r>
              <w:rPr>
                <w:rFonts w:ascii="Arial" w:cs="Arial" w:eastAsia="Arial" w:hAnsi="Arial"/>
                <w:sz w:val="25"/>
                <w:szCs w:val="25"/>
                <w:color w:val="auto"/>
                <w:vertAlign w:val="superscript"/>
              </w:rPr>
              <w:t>(30)</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w:t>
            </w:r>
          </w:p>
        </w:tc>
        <w:tc>
          <w:tcPr>
            <w:tcW w:w="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70"/>
        </w:trPr>
        <w:tc>
          <w:tcPr>
            <w:tcW w:w="2080" w:type="dxa"/>
            <w:vAlign w:val="bottom"/>
            <w:gridSpan w:val="3"/>
          </w:tcPr>
          <w:p>
            <w:pPr>
              <w:spacing w:after="0" w:line="270" w:lineRule="exact"/>
              <w:rPr>
                <w:sz w:val="20"/>
                <w:szCs w:val="20"/>
                <w:color w:val="auto"/>
              </w:rPr>
            </w:pPr>
            <w:r>
              <w:rPr>
                <w:rFonts w:ascii="Arial" w:cs="Arial" w:eastAsia="Arial" w:hAnsi="Arial"/>
                <w:sz w:val="15"/>
                <w:szCs w:val="15"/>
                <w:color w:val="auto"/>
              </w:rPr>
              <w:t>James Ben</w:t>
            </w:r>
            <w:r>
              <w:rPr>
                <w:rFonts w:ascii="Arial" w:cs="Arial" w:eastAsia="Arial" w:hAnsi="Arial"/>
                <w:sz w:val="25"/>
                <w:szCs w:val="25"/>
                <w:color w:val="auto"/>
                <w:vertAlign w:val="superscript"/>
              </w:rPr>
              <w:t>(31)</w:t>
            </w:r>
          </w:p>
        </w:tc>
        <w:tc>
          <w:tcPr>
            <w:tcW w:w="740" w:type="dxa"/>
            <w:vAlign w:val="bottom"/>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tcPr>
          <w:p>
            <w:pPr>
              <w:jc w:val="right"/>
              <w:spacing w:after="0"/>
              <w:rPr>
                <w:sz w:val="20"/>
                <w:szCs w:val="20"/>
                <w:color w:val="auto"/>
              </w:rPr>
            </w:pPr>
            <w:r>
              <w:rPr>
                <w:rFonts w:ascii="Arial" w:cs="Arial" w:eastAsia="Arial" w:hAnsi="Arial"/>
                <w:sz w:val="15"/>
                <w:szCs w:val="15"/>
                <w:color w:val="auto"/>
              </w:rPr>
              <w:t>50,000</w:t>
            </w:r>
          </w:p>
        </w:tc>
        <w:tc>
          <w:tcPr>
            <w:tcW w:w="80" w:type="dxa"/>
            <w:vAlign w:val="bottom"/>
          </w:tcPr>
          <w:p>
            <w:pPr>
              <w:spacing w:after="0"/>
              <w:rPr>
                <w:sz w:val="23"/>
                <w:szCs w:val="23"/>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Arial" w:cs="Arial" w:eastAsia="Arial" w:hAnsi="Arial"/>
                <w:sz w:val="15"/>
                <w:szCs w:val="15"/>
                <w:color w:val="auto"/>
              </w:rPr>
              <w:t>James Neissa</w:t>
            </w:r>
            <w:r>
              <w:rPr>
                <w:rFonts w:ascii="Arial" w:cs="Arial" w:eastAsia="Arial" w:hAnsi="Arial"/>
                <w:sz w:val="25"/>
                <w:szCs w:val="25"/>
                <w:color w:val="auto"/>
                <w:vertAlign w:val="superscript"/>
              </w:rPr>
              <w:t>(32)</w:t>
            </w:r>
          </w:p>
        </w:tc>
        <w:tc>
          <w:tcPr>
            <w:tcW w:w="74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Arial" w:cs="Arial" w:eastAsia="Arial" w:hAnsi="Arial"/>
                <w:sz w:val="15"/>
                <w:szCs w:val="15"/>
                <w:color w:val="auto"/>
              </w:rPr>
              <w:t>—</w:t>
            </w:r>
          </w:p>
        </w:tc>
        <w:tc>
          <w:tcPr>
            <w:tcW w:w="940" w:type="dxa"/>
            <w:vAlign w:val="bottom"/>
            <w:gridSpan w:val="3"/>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660" w:type="dxa"/>
            <w:vAlign w:val="bottom"/>
            <w:gridSpan w:val="2"/>
            <w:shd w:val="clear" w:color="auto" w:fill="CCEEFF"/>
          </w:tcPr>
          <w:p>
            <w:pPr>
              <w:jc w:val="center"/>
              <w:ind w:right="160"/>
              <w:spacing w:after="0"/>
              <w:rPr>
                <w:sz w:val="20"/>
                <w:szCs w:val="20"/>
                <w:color w:val="auto"/>
              </w:rPr>
            </w:pPr>
            <w:r>
              <w:rPr>
                <w:rFonts w:ascii="Arial" w:cs="Arial" w:eastAsia="Arial" w:hAnsi="Arial"/>
                <w:sz w:val="15"/>
                <w:szCs w:val="15"/>
                <w:color w:val="auto"/>
                <w:w w:val="93"/>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-6840220</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4505960</wp:posOffset>
            </wp:positionH>
            <wp:positionV relativeFrom="paragraph">
              <wp:posOffset>-6840220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-6840220</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-6840220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-6840220</wp:posOffset>
            </wp:positionV>
            <wp:extent cx="514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-6840220</wp:posOffset>
            </wp:positionV>
            <wp:extent cx="514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-6840220</wp:posOffset>
            </wp:positionV>
            <wp:extent cx="514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1462405</wp:posOffset>
            </wp:positionH>
            <wp:positionV relativeFrom="paragraph">
              <wp:posOffset>-6840220</wp:posOffset>
            </wp:positionV>
            <wp:extent cx="514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196850</wp:posOffset>
            </wp:positionV>
            <wp:extent cx="8229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39" w:lineRule="exact"/>
        <w:rPr>
          <w:sz w:val="20"/>
          <w:szCs w:val="20"/>
          <w:color w:val="auto"/>
        </w:rPr>
      </w:pPr>
    </w:p>
    <w:p>
      <w:pPr>
        <w:jc w:val="both"/>
        <w:ind w:left="640" w:right="299" w:hanging="348"/>
        <w:spacing w:after="0" w:line="228" w:lineRule="auto"/>
        <w:tabs>
          <w:tab w:leader="none" w:pos="6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22" w:lineRule="exact"/>
        <w:rPr>
          <w:rFonts w:ascii="Arial" w:cs="Arial" w:eastAsia="Arial" w:hAnsi="Arial"/>
          <w:sz w:val="14"/>
          <w:szCs w:val="14"/>
          <w:color w:val="auto"/>
        </w:rPr>
      </w:pPr>
    </w:p>
    <w:p>
      <w:pPr>
        <w:ind w:left="640" w:right="299" w:hanging="348"/>
        <w:spacing w:after="0" w:line="290" w:lineRule="auto"/>
        <w:tabs>
          <w:tab w:leader="none" w:pos="6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Includes 19,288,160 shares of Class A Common Stock issuable upon exchange of Paired Interests held by Mr. Hartfield, 8,469,191 shares of Class A Common Stock issuable upon exchange of Paired Interests held by Ghost Media Group, LLC and 1,570,959 shares of Class A</w:t>
      </w:r>
    </w:p>
    <w:p>
      <w:pPr>
        <w:sectPr>
          <w:pgSz w:w="11900" w:h="16838" w:orient="portrait"/>
          <w:cols w:equalWidth="0" w:num="1">
            <w:col w:w="9019"/>
          </w:cols>
          <w:pgMar w:left="1440" w:top="262" w:right="1440" w:bottom="1440" w:gutter="0" w:footer="0" w:header="0"/>
        </w:sectPr>
      </w:pP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type w:val="continuous"/>
        </w:sectPr>
      </w:pPr>
    </w:p>
    <w:bookmarkStart w:id="110" w:name="page111"/>
    <w:bookmarkEnd w:id="11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64" w:lineRule="auto"/>
        <w:rPr>
          <w:sz w:val="20"/>
          <w:szCs w:val="20"/>
          <w:color w:val="auto"/>
        </w:rPr>
      </w:pPr>
      <w:r>
        <w:rPr>
          <w:rFonts w:ascii="Arial" w:cs="Arial" w:eastAsia="Arial" w:hAnsi="Arial"/>
          <w:sz w:val="13"/>
          <w:szCs w:val="13"/>
          <w:color w:val="auto"/>
        </w:rPr>
        <w:t>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6" w:lineRule="exact"/>
        <w:rPr>
          <w:sz w:val="20"/>
          <w:szCs w:val="20"/>
          <w:color w:val="auto"/>
        </w:rPr>
      </w:pPr>
    </w:p>
    <w:p>
      <w:pPr>
        <w:jc w:val="both"/>
        <w:ind w:left="640" w:right="299" w:hanging="348"/>
        <w:spacing w:after="0" w:line="245"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21"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Vince Maglio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Robert Josephson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Jaroslav Enrique Alonso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Sanjay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Mohsinuddin Ansari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26"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22" w:lineRule="exact"/>
        <w:rPr>
          <w:rFonts w:ascii="Arial" w:cs="Arial" w:eastAsia="Arial" w:hAnsi="Arial"/>
          <w:sz w:val="14"/>
          <w:szCs w:val="14"/>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Kelly Yip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7"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6" w:lineRule="exact"/>
        <w:rPr>
          <w:rFonts w:ascii="Arial" w:cs="Arial" w:eastAsia="Arial" w:hAnsi="Arial"/>
          <w:sz w:val="13"/>
          <w:szCs w:val="13"/>
          <w:color w:val="auto"/>
        </w:rPr>
      </w:pPr>
    </w:p>
    <w:p>
      <w:pPr>
        <w:jc w:val="both"/>
        <w:ind w:left="640" w:right="299" w:hanging="348"/>
        <w:spacing w:after="0" w:line="233" w:lineRule="auto"/>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22" w:lineRule="exact"/>
        <w:rPr>
          <w:rFonts w:ascii="Arial" w:cs="Arial" w:eastAsia="Arial" w:hAnsi="Arial"/>
          <w:sz w:val="14"/>
          <w:szCs w:val="14"/>
          <w:color w:val="auto"/>
        </w:rPr>
      </w:pPr>
    </w:p>
    <w:p>
      <w:pPr>
        <w:jc w:val="both"/>
        <w:ind w:left="640" w:right="299" w:hanging="348"/>
        <w:spacing w:after="0" w:line="244"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Craig Schlanger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5"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58"/>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1" w:name="page112"/>
    <w:bookmarkEnd w:id="11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both"/>
        <w:ind w:left="660" w:right="299"/>
        <w:spacing w:after="0" w:line="255" w:lineRule="auto"/>
        <w:rPr>
          <w:sz w:val="20"/>
          <w:szCs w:val="20"/>
          <w:color w:val="auto"/>
        </w:rPr>
      </w:pPr>
      <w:r>
        <w:rPr>
          <w:rFonts w:ascii="Arial" w:cs="Arial" w:eastAsia="Arial" w:hAnsi="Arial"/>
          <w:sz w:val="13"/>
          <w:szCs w:val="13"/>
          <w:color w:val="auto"/>
        </w:rPr>
        <w:t>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3" w:lineRule="exact"/>
        <w:rPr>
          <w:sz w:val="20"/>
          <w:szCs w:val="20"/>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3"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22" w:lineRule="exact"/>
        <w:rPr>
          <w:rFonts w:ascii="Arial" w:cs="Arial" w:eastAsia="Arial" w:hAnsi="Arial"/>
          <w:sz w:val="13"/>
          <w:szCs w:val="13"/>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Budd S. Goldman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 Scott Bushley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Robert Fournier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28"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2"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John T. Lkyouretzos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Marc Sontrop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59"/>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29"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3"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Raanan Katz is the Partner of Katz 2014 Limited Partnership and may be deemed to be the beneficial owner of the Registrable Securities held by Katz 2014 Limited Partnership.</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Paul Mower is deemed to have power to vote or dispose of the Registrable Securities.</w:t>
      </w:r>
    </w:p>
    <w:p>
      <w:pPr>
        <w:spacing w:after="0" w:line="42" w:lineRule="exact"/>
        <w:rPr>
          <w:sz w:val="20"/>
          <w:szCs w:val="20"/>
          <w:color w:val="auto"/>
        </w:rPr>
      </w:pPr>
    </w:p>
    <w:p>
      <w:pPr>
        <w:ind w:left="300"/>
        <w:spacing w:after="0"/>
        <w:rPr>
          <w:sz w:val="20"/>
          <w:szCs w:val="20"/>
          <w:color w:val="auto"/>
        </w:rPr>
      </w:pPr>
      <w:r>
        <w:rPr>
          <w:rFonts w:ascii="Arial" w:cs="Arial" w:eastAsia="Arial" w:hAnsi="Arial"/>
          <w:sz w:val="14"/>
          <w:szCs w:val="14"/>
          <w:color w:val="auto"/>
        </w:rPr>
        <w:t>(35)) Kenneth Landis is deemed to have power to vote or dispose of the Registrable Securities.</w:t>
      </w:r>
    </w:p>
    <w:p>
      <w:pPr>
        <w:spacing w:after="0" w:line="42" w:lineRule="exact"/>
        <w:rPr>
          <w:sz w:val="20"/>
          <w:szCs w:val="20"/>
          <w:color w:val="auto"/>
        </w:rPr>
      </w:pPr>
    </w:p>
    <w:p>
      <w:pPr>
        <w:jc w:val="both"/>
        <w:ind w:left="640" w:right="299" w:hanging="348"/>
        <w:spacing w:after="0" w:line="243" w:lineRule="auto"/>
        <w:tabs>
          <w:tab w:leader="none" w:pos="640" w:val="left"/>
        </w:tabs>
        <w:numPr>
          <w:ilvl w:val="0"/>
          <w:numId w:val="60"/>
        </w:numPr>
        <w:rPr>
          <w:rFonts w:ascii="Arial" w:cs="Arial" w:eastAsia="Arial" w:hAnsi="Arial"/>
          <w:sz w:val="13"/>
          <w:szCs w:val="13"/>
          <w:color w:val="auto"/>
        </w:rPr>
      </w:pPr>
      <w:r>
        <w:rPr>
          <w:rFonts w:ascii="Arial" w:cs="Arial" w:eastAsia="Arial" w:hAnsi="Arial"/>
          <w:sz w:val="13"/>
          <w:szCs w:val="13"/>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22" w:lineRule="exact"/>
        <w:rPr>
          <w:rFonts w:ascii="Arial" w:cs="Arial" w:eastAsia="Arial" w:hAnsi="Arial"/>
          <w:sz w:val="13"/>
          <w:szCs w:val="13"/>
          <w:color w:val="auto"/>
        </w:rPr>
      </w:pPr>
    </w:p>
    <w:p>
      <w:pPr>
        <w:jc w:val="both"/>
        <w:ind w:left="640" w:right="299" w:hanging="348"/>
        <w:spacing w:after="0" w:line="238"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20"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Justin Ort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Jayvee &amp; Co is the registered holder. The beneficial holder is Ninepoint Alternative Health Fund. Douglas Waterson has investment control through an investment advisory agreement.</w:t>
      </w:r>
    </w:p>
    <w:p>
      <w:pPr>
        <w:spacing w:after="0" w:line="11" w:lineRule="exact"/>
        <w:rPr>
          <w:rFonts w:ascii="Arial" w:cs="Arial" w:eastAsia="Arial" w:hAnsi="Arial"/>
          <w:sz w:val="14"/>
          <w:szCs w:val="14"/>
          <w:color w:val="auto"/>
        </w:rPr>
      </w:pPr>
    </w:p>
    <w:p>
      <w:pPr>
        <w:ind w:left="640" w:hanging="348"/>
        <w:spacing w:after="0"/>
        <w:tabs>
          <w:tab w:leader="none" w:pos="6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Paul A. Halpern is deemed to have power to vote or dispose of the Registrable Securities.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2" w:name="page113"/>
    <w:bookmarkEnd w:id="11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Curtis F. Brockelman, Jr.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jc w:val="both"/>
        <w:ind w:left="640" w:right="299" w:hanging="348"/>
        <w:spacing w:after="0" w:line="251" w:lineRule="auto"/>
        <w:tabs>
          <w:tab w:leader="none" w:pos="6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John J Adair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Ray E. Newton III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Patrick Robinson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Rich Barrera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42" w:lineRule="auto"/>
        <w:tabs>
          <w:tab w:leader="none" w:pos="6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20" w:lineRule="exact"/>
        <w:rPr>
          <w:rFonts w:ascii="Arial" w:cs="Arial" w:eastAsia="Arial" w:hAnsi="Arial"/>
          <w:sz w:val="13"/>
          <w:szCs w:val="13"/>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Vincent Daniel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31"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2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John J. Pinto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Peter Lee is deemed to have power to vote or dispose of the Registrable Securities.</w:t>
      </w:r>
    </w:p>
    <w:p>
      <w:pPr>
        <w:spacing w:after="0" w:line="41" w:lineRule="exact"/>
        <w:rPr>
          <w:rFonts w:ascii="Arial" w:cs="Arial" w:eastAsia="Arial" w:hAnsi="Arial"/>
          <w:sz w:val="14"/>
          <w:szCs w:val="14"/>
          <w:color w:val="auto"/>
        </w:rPr>
      </w:pPr>
    </w:p>
    <w:p>
      <w:pPr>
        <w:jc w:val="both"/>
        <w:ind w:left="640" w:right="299" w:hanging="348"/>
        <w:spacing w:after="0" w:line="251" w:lineRule="auto"/>
        <w:tabs>
          <w:tab w:leader="none" w:pos="640" w:val="left"/>
        </w:tabs>
        <w:numPr>
          <w:ilvl w:val="0"/>
          <w:numId w:val="61"/>
        </w:numPr>
        <w:rPr>
          <w:rFonts w:ascii="Arial" w:cs="Arial" w:eastAsia="Arial" w:hAnsi="Arial"/>
          <w:sz w:val="13"/>
          <w:szCs w:val="13"/>
          <w:color w:val="auto"/>
        </w:rPr>
      </w:pPr>
      <w:r>
        <w:rPr>
          <w:rFonts w:ascii="Arial" w:cs="Arial" w:eastAsia="Arial" w:hAnsi="Arial"/>
          <w:sz w:val="13"/>
          <w:szCs w:val="13"/>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4" w:lineRule="exact"/>
        <w:rPr>
          <w:rFonts w:ascii="Arial" w:cs="Arial" w:eastAsia="Arial" w:hAnsi="Arial"/>
          <w:sz w:val="13"/>
          <w:szCs w:val="13"/>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Scot Fischer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Glen Schneider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Rodney Hodges and Fabrice Dupont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Each of David G. Bunning and Michael J. Bunning is deemed to have power to vote or dispose of the Registrable Securities.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Vikram Patel is deemed to have power to vote or dispose of the Registrable Securities.</w:t>
      </w:r>
    </w:p>
    <w:p>
      <w:pPr>
        <w:spacing w:after="0" w:line="41" w:lineRule="exact"/>
        <w:rPr>
          <w:rFonts w:ascii="Arial" w:cs="Arial" w:eastAsia="Arial" w:hAnsi="Arial"/>
          <w:sz w:val="14"/>
          <w:szCs w:val="14"/>
          <w:color w:val="auto"/>
        </w:rPr>
      </w:pPr>
    </w:p>
    <w:p>
      <w:pPr>
        <w:ind w:left="640" w:right="299" w:hanging="348"/>
        <w:spacing w:after="0" w:line="253" w:lineRule="auto"/>
        <w:tabs>
          <w:tab w:leader="none" w:pos="640" w:val="left"/>
        </w:tabs>
        <w:numPr>
          <w:ilvl w:val="0"/>
          <w:numId w:val="61"/>
        </w:numPr>
        <w:rPr>
          <w:rFonts w:ascii="Arial" w:cs="Arial" w:eastAsia="Arial" w:hAnsi="Arial"/>
          <w:sz w:val="14"/>
          <w:szCs w:val="14"/>
          <w:color w:val="auto"/>
        </w:rPr>
      </w:pPr>
      <w:r>
        <w:rPr>
          <w:rFonts w:ascii="Arial" w:cs="Arial" w:eastAsia="Arial" w:hAnsi="Arial"/>
          <w:sz w:val="14"/>
          <w:szCs w:val="14"/>
          <w:color w:val="auto"/>
        </w:rPr>
        <w:t>Pericles Spyrou, Sigthor Sigmarsson, Jan Rottiers and Melina Panagi are deemed to have power to vote or dispose of the Registrable Securities.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3" w:name="page114"/>
    <w:bookmarkEnd w:id="11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Certificate of Incorporation authorizes the issuance of 2,075,000,000 shares of capital stock, consisting of</w:t>
      </w:r>
    </w:p>
    <w:p>
      <w:pPr>
        <w:spacing w:after="0" w:line="46" w:lineRule="exact"/>
        <w:rPr>
          <w:sz w:val="20"/>
          <w:szCs w:val="20"/>
          <w:color w:val="auto"/>
        </w:rPr>
      </w:pPr>
    </w:p>
    <w:p>
      <w:pPr>
        <w:jc w:val="both"/>
        <w:ind w:left="300" w:right="299" w:hanging="8"/>
        <w:spacing w:after="0" w:line="271" w:lineRule="auto"/>
        <w:tabs>
          <w:tab w:leader="none" w:pos="557" w:val="left"/>
        </w:tabs>
        <w:numPr>
          <w:ilvl w:val="0"/>
          <w:numId w:val="62"/>
        </w:numPr>
        <w:rPr>
          <w:rFonts w:ascii="Arial" w:cs="Arial" w:eastAsia="Arial" w:hAnsi="Arial"/>
          <w:sz w:val="17"/>
          <w:szCs w:val="17"/>
          <w:color w:val="auto"/>
        </w:rPr>
      </w:pPr>
      <w:r>
        <w:rPr>
          <w:rFonts w:ascii="Arial" w:cs="Arial" w:eastAsia="Arial" w:hAnsi="Arial"/>
          <w:sz w:val="17"/>
          <w:szCs w:val="17"/>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February 18, 2022, there were (1) 70,399,067 shares of Class A Common Stock, (2) 65,502,347 shares of Class V Common Stock and no shares of preferred stock outstanding.</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w:t>
      </w:r>
    </w:p>
    <w:p>
      <w:pPr>
        <w:sectPr>
          <w:pgSz w:w="11900" w:h="16838" w:orient="portrait"/>
          <w:cols w:equalWidth="0" w:num="1">
            <w:col w:w="9019"/>
          </w:cols>
          <w:pgMar w:left="1440" w:top="265" w:right="1440"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14" w:name="page115"/>
    <w:bookmarkEnd w:id="11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our board of directors.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our assets.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Issuance and Retirement of Class V Common Stock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8"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Warrants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5" w:name="page116"/>
    <w:bookmarkEnd w:id="11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91" w:lineRule="auto"/>
        <w:rPr>
          <w:sz w:val="20"/>
          <w:szCs w:val="20"/>
          <w:color w:val="auto"/>
        </w:rPr>
      </w:pPr>
      <w:r>
        <w:rPr>
          <w:rFonts w:ascii="Arial" w:cs="Arial" w:eastAsia="Arial" w:hAnsi="Arial"/>
          <w:sz w:val="16"/>
          <w:szCs w:val="16"/>
          <w:color w:val="auto"/>
        </w:rPr>
        <w:t>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58"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66"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9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price of $0.01 per Public Warrant;</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upon not less than 30 days’ prior written notice of redemption to each holder of Public Warrants; and</w:t>
      </w:r>
    </w:p>
    <w:p>
      <w:pPr>
        <w:spacing w:after="0" w:line="128" w:lineRule="exact"/>
        <w:rPr>
          <w:rFonts w:ascii="Arial" w:cs="Arial" w:eastAsia="Arial" w:hAnsi="Arial"/>
          <w:sz w:val="17"/>
          <w:szCs w:val="17"/>
          <w:color w:val="auto"/>
        </w:rPr>
      </w:pPr>
    </w:p>
    <w:p>
      <w:pPr>
        <w:jc w:val="both"/>
        <w:ind w:left="1000" w:right="319" w:hanging="348"/>
        <w:spacing w:after="0" w:line="257" w:lineRule="auto"/>
        <w:tabs>
          <w:tab w:leader="none" w:pos="10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80" w:lineRule="exact"/>
        <w:rPr>
          <w:sz w:val="20"/>
          <w:szCs w:val="20"/>
          <w:color w:val="auto"/>
        </w:rPr>
      </w:pPr>
    </w:p>
    <w:p>
      <w:pPr>
        <w:jc w:val="both"/>
        <w:ind w:left="300" w:right="299" w:firstLine="360"/>
        <w:spacing w:after="0" w:line="308" w:lineRule="auto"/>
        <w:rPr>
          <w:sz w:val="20"/>
          <w:szCs w:val="20"/>
          <w:color w:val="auto"/>
        </w:rPr>
      </w:pPr>
      <w:r>
        <w:rPr>
          <w:rFonts w:ascii="Arial" w:cs="Arial" w:eastAsia="Arial" w:hAnsi="Arial"/>
          <w:sz w:val="17"/>
          <w:szCs w:val="17"/>
          <w:color w:val="auto"/>
        </w:rPr>
        <w:t>If and when the Public Warrants become redeemable by us, we may exercise our redemption right even if we are unable to register or qualify the underlying securities for sale under all applicable state securities laws.</w:t>
      </w:r>
    </w:p>
    <w:p>
      <w:pPr>
        <w:spacing w:after="0" w:line="38"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49"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6" w:name="page117"/>
    <w:bookmarkEnd w:id="11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6"/>
          <w:szCs w:val="16"/>
          <w:color w:val="auto"/>
        </w:rPr>
        <w:t>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63"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68"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66"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56"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7" w:name="page118"/>
    <w:bookmarkEnd w:id="11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6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7"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32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7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8" w:name="page119"/>
    <w:bookmarkEnd w:id="11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9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Restrictions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Pursuant to the letter agreement entered into between Silver Spike and Silver Spike Sponsor, after the completion of the Business Combination and subject to certain exceptions, the Sponsor is contractually restricted from selling or transferring any of its shares of Class A Common Stock until the earlier of (A) one year after the completion of the Business Combination or (B) subsequent to the Business Combination, (x) if the last reported sale price of the Class A Common Stock equals or exceeds $12.00 per share (as adjusted for share splits, share dividends, rights issuances, subdivisions, reorganizations, recapitalizations and the like) for any 20 trading days within any 30-trading day period commencing at least 150 days after the Business Combination or (y) the date following the completion of the Business Combination on which we complete a liquidation, merger, amalgamation, share exchange, reorganization or other similar transaction that results in all of our stockholders having the right to exchange their Class A Common Stock for cash, securities or other property.</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6"/>
          <w:szCs w:val="16"/>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nor earlier</w:t>
      </w:r>
    </w:p>
    <w:p>
      <w:pPr>
        <w:spacing w:after="0" w:line="2" w:lineRule="exact"/>
        <w:rPr>
          <w:sz w:val="20"/>
          <w:szCs w:val="20"/>
          <w:color w:val="auto"/>
        </w:rPr>
      </w:pPr>
    </w:p>
    <w:p>
      <w:pPr>
        <w:jc w:val="both"/>
        <w:ind w:left="300" w:right="299"/>
        <w:spacing w:after="0" w:line="242" w:lineRule="auto"/>
        <w:rPr>
          <w:sz w:val="20"/>
          <w:szCs w:val="20"/>
          <w:color w:val="auto"/>
        </w:rPr>
      </w:pPr>
      <w:r>
        <w:rPr>
          <w:rFonts w:ascii="Arial" w:cs="Arial" w:eastAsia="Arial" w:hAnsi="Arial"/>
          <w:sz w:val="16"/>
          <w:szCs w:val="16"/>
          <w:color w:val="auto"/>
        </w:rPr>
        <w:t>than the open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 later than the close of business on the latter of the 90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w:t>
      </w:r>
    </w:p>
    <w:p>
      <w:pPr>
        <w:spacing w:after="0" w:line="1" w:lineRule="exact"/>
        <w:rPr>
          <w:sz w:val="20"/>
          <w:szCs w:val="20"/>
          <w:color w:val="auto"/>
        </w:rPr>
      </w:pPr>
    </w:p>
    <w:p>
      <w:pPr>
        <w:jc w:val="both"/>
        <w:ind w:left="300" w:right="299"/>
        <w:spacing w:after="0" w:line="258" w:lineRule="auto"/>
        <w:rPr>
          <w:sz w:val="20"/>
          <w:szCs w:val="20"/>
          <w:color w:val="auto"/>
        </w:rPr>
      </w:pPr>
      <w:r>
        <w:rPr>
          <w:rFonts w:ascii="Arial" w:cs="Arial" w:eastAsia="Arial" w:hAnsi="Arial"/>
          <w:sz w:val="16"/>
          <w:szCs w:val="16"/>
          <w:color w:val="auto"/>
        </w:rPr>
        <w:t>to such annual meeting or the 10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31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9" w:name="page120"/>
    <w:bookmarkEnd w:id="11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Exclusive Forum Selection</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opt out of Section 203 of the DGCL under our Certificate of Incorporation.</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Limitation on Liability and Indemnification of Directors and Officers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8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0" w:name="page121"/>
    <w:bookmarkEnd w:id="12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9"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34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9" w:lineRule="exact"/>
        <w:rPr>
          <w:sz w:val="20"/>
          <w:szCs w:val="20"/>
          <w:color w:val="auto"/>
        </w:rPr>
      </w:pPr>
    </w:p>
    <w:p>
      <w:pPr>
        <w:ind w:left="1000" w:hanging="348"/>
        <w:spacing w:after="0"/>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62"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7" w:lineRule="exact"/>
        <w:rPr>
          <w:sz w:val="20"/>
          <w:szCs w:val="20"/>
          <w:color w:val="auto"/>
        </w:rPr>
      </w:pPr>
    </w:p>
    <w:p>
      <w:pPr>
        <w:jc w:val="both"/>
        <w:ind w:left="300" w:right="319" w:firstLine="360"/>
        <w:spacing w:after="0" w:line="259" w:lineRule="auto"/>
        <w:rPr>
          <w:sz w:val="20"/>
          <w:szCs w:val="20"/>
          <w:color w:val="auto"/>
        </w:rPr>
      </w:pPr>
      <w:r>
        <w:rPr>
          <w:rFonts w:ascii="Arial" w:cs="Arial" w:eastAsia="Arial" w:hAnsi="Arial"/>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9" w:lineRule="exact"/>
        <w:rPr>
          <w:sz w:val="20"/>
          <w:szCs w:val="20"/>
          <w:color w:val="auto"/>
        </w:rPr>
      </w:pPr>
    </w:p>
    <w:p>
      <w:pPr>
        <w:ind w:left="1000" w:hanging="348"/>
        <w:spacing w:after="0"/>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one percent (1%) of the total number of shares of Class A Common Stock then outstanding; or</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Common Stock during the four calendar weeks preceding the filing of a notice on Form 144 with respect to the sale.</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Sales by our affiliates under Rule 144 will also be limited by manner of sale provisions and notice requirements and to the availability of current public information about us.</w:t>
      </w:r>
    </w:p>
    <w:p>
      <w:pPr>
        <w:spacing w:after="0" w:line="31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The transfer agent, warrant agent and registrar for our Class A Common Stock, Class V Common Stock and Warrants is Continental Stock Transfer &amp; Trust Company.</w:t>
      </w:r>
    </w:p>
    <w:p>
      <w:pPr>
        <w:spacing w:after="0" w:line="32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Our Class A Common Stock and Public Warrants are listed on Nasdaq under the symbols “MAPS” and “MAPW,”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1" w:name="page122"/>
    <w:bookmarkEnd w:id="12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53"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65"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76" w:lineRule="exact"/>
        <w:rPr>
          <w:sz w:val="20"/>
          <w:szCs w:val="20"/>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75" w:lineRule="exact"/>
        <w:rPr>
          <w:rFonts w:ascii="Arial" w:cs="Arial" w:eastAsia="Arial" w:hAnsi="Arial"/>
          <w:sz w:val="18"/>
          <w:szCs w:val="18"/>
          <w:color w:val="auto"/>
        </w:rPr>
      </w:pPr>
    </w:p>
    <w:p>
      <w:pPr>
        <w:ind w:left="1000" w:hanging="348"/>
        <w:spacing w:after="0"/>
        <w:tabs>
          <w:tab w:leader="none" w:pos="10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purposes of this discussion, a “non-U.S. Holder” is a beneficial owner of our securities that is neither a U.S.</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Holder nor a partnership or an entity or arrangement treated as a partnership for U.S. federal income tax purposes.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2" w:name="page123"/>
    <w:bookmarkEnd w:id="12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8"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Class A Common Stock</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0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58"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Sale, Exchange, Redemption or Expiration of a Warrant</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ectPr>
          <w:pgSz w:w="11900" w:h="16838" w:orient="portrait"/>
          <w:cols w:equalWidth="0" w:num="1">
            <w:col w:w="9019"/>
          </w:cols>
          <w:pgMar w:left="1440" w:top="265"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23" w:name="page124"/>
    <w:bookmarkEnd w:id="12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319"/>
        <w:spacing w:after="0" w:line="301" w:lineRule="auto"/>
        <w:rPr>
          <w:sz w:val="20"/>
          <w:szCs w:val="20"/>
          <w:color w:val="auto"/>
        </w:rPr>
      </w:pPr>
      <w:r>
        <w:rPr>
          <w:rFonts w:ascii="Arial" w:cs="Arial" w:eastAsia="Arial" w:hAnsi="Arial"/>
          <w:sz w:val="16"/>
          <w:szCs w:val="16"/>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4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2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8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Tax Considerations Applicable to Non-U.S. Holders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4" w:name="page125"/>
    <w:bookmarkEnd w:id="12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79"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Exercise of a Warrant</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Gain on Sale, Exchange or Other Taxable Disposition of Class A Common Stock and Warrants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76" w:lineRule="exact"/>
        <w:rPr>
          <w:sz w:val="20"/>
          <w:szCs w:val="20"/>
          <w:color w:val="auto"/>
        </w:rPr>
      </w:pPr>
    </w:p>
    <w:p>
      <w:pPr>
        <w:jc w:val="both"/>
        <w:ind w:left="1000" w:right="319" w:hanging="348"/>
        <w:spacing w:after="0" w:line="263"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75"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disposition and certain other conditions are met; or</w:t>
      </w:r>
    </w:p>
    <w:p>
      <w:pPr>
        <w:spacing w:after="0" w:line="62" w:lineRule="exact"/>
        <w:rPr>
          <w:rFonts w:ascii="Arial" w:cs="Arial" w:eastAsia="Arial" w:hAnsi="Arial"/>
          <w:sz w:val="18"/>
          <w:szCs w:val="18"/>
          <w:color w:val="auto"/>
        </w:rPr>
      </w:pPr>
    </w:p>
    <w:p>
      <w:pPr>
        <w:jc w:val="both"/>
        <w:ind w:left="1000" w:right="299" w:hanging="348"/>
        <w:spacing w:after="0" w:line="268" w:lineRule="auto"/>
        <w:tabs>
          <w:tab w:leader="none" w:pos="10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84"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5" w:name="page126"/>
    <w:bookmarkEnd w:id="12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spacing w:after="0" w:line="273" w:lineRule="auto"/>
        <w:rPr>
          <w:sz w:val="20"/>
          <w:szCs w:val="20"/>
          <w:color w:val="auto"/>
        </w:rPr>
      </w:pPr>
      <w:r>
        <w:rPr>
          <w:rFonts w:ascii="Arial" w:cs="Arial" w:eastAsia="Arial" w:hAnsi="Arial"/>
          <w:sz w:val="17"/>
          <w:szCs w:val="17"/>
          <w:color w:val="auto"/>
        </w:rPr>
        <w:t>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5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67" w:lineRule="auto"/>
        <w:tabs>
          <w:tab w:leader="none" w:pos="562" w:val="left"/>
        </w:tabs>
        <w:numPr>
          <w:ilvl w:val="0"/>
          <w:numId w:val="69"/>
        </w:numPr>
        <w:rPr>
          <w:rFonts w:ascii="Arial" w:cs="Arial" w:eastAsia="Arial" w:hAnsi="Arial"/>
          <w:sz w:val="17"/>
          <w:szCs w:val="17"/>
          <w:color w:val="auto"/>
        </w:rPr>
      </w:pPr>
      <w:r>
        <w:rPr>
          <w:rFonts w:ascii="Arial" w:cs="Arial" w:eastAsia="Arial" w:hAnsi="Arial"/>
          <w:sz w:val="17"/>
          <w:szCs w:val="17"/>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6" w:name="page127"/>
    <w:bookmarkEnd w:id="12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4" w:lineRule="exact"/>
        <w:rPr>
          <w:sz w:val="20"/>
          <w:szCs w:val="20"/>
          <w:color w:val="auto"/>
        </w:rPr>
      </w:pPr>
    </w:p>
    <w:p>
      <w:pPr>
        <w:jc w:val="both"/>
        <w:ind w:left="300" w:right="299" w:hanging="8"/>
        <w:spacing w:after="0" w:line="273"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68"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8" w:lineRule="exact"/>
        <w:rPr>
          <w:sz w:val="20"/>
          <w:szCs w:val="20"/>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shares as agent but may position and resell a portion of the block as principal to facilitate the transaction;</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Nasdaq;</w:t>
      </w:r>
    </w:p>
    <w:p>
      <w:pPr>
        <w:spacing w:after="0" w:line="117" w:lineRule="exact"/>
        <w:rPr>
          <w:rFonts w:ascii="Arial" w:cs="Arial" w:eastAsia="Arial" w:hAnsi="Arial"/>
          <w:sz w:val="18"/>
          <w:szCs w:val="18"/>
          <w:color w:val="auto"/>
        </w:rPr>
      </w:pPr>
    </w:p>
    <w:p>
      <w:pPr>
        <w:jc w:val="both"/>
        <w:ind w:left="1000" w:right="31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8"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short sales;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distribution to employees, members, limited partners or stockholders of the Selling Securityholders;</w:t>
      </w:r>
    </w:p>
    <w:p>
      <w:pPr>
        <w:spacing w:after="0" w:line="12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 whether through an options exchange or otherwise;</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by pledge to secured debts and other obligations;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delayed delivery arrangements;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or through underwriters or broker-dealers;</w:t>
      </w:r>
    </w:p>
    <w:p>
      <w:pPr>
        <w:spacing w:after="0" w:line="117" w:lineRule="exact"/>
        <w:rPr>
          <w:rFonts w:ascii="Arial" w:cs="Arial" w:eastAsia="Arial" w:hAnsi="Arial"/>
          <w:sz w:val="18"/>
          <w:szCs w:val="18"/>
          <w:color w:val="auto"/>
        </w:rPr>
      </w:pPr>
    </w:p>
    <w:p>
      <w:pPr>
        <w:jc w:val="both"/>
        <w:ind w:left="1000" w:right="299" w:hanging="348"/>
        <w:spacing w:after="0" w:line="259"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7" w:name="page128"/>
    <w:bookmarkEnd w:id="12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options transactions;</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7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6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76"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6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9"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0"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8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8" w:name="page129"/>
    <w:bookmarkEnd w:id="12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validity of any securities offered by this prospectus will be passed upon for us by Cooley LLP.</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r>
        <w:rPr>
          <w:rFonts w:ascii="Arial" w:cs="Arial" w:eastAsia="Arial" w:hAnsi="Arial"/>
          <w:sz w:val="29"/>
          <w:szCs w:val="29"/>
          <w:b w:val="1"/>
          <w:bCs w:val="1"/>
          <w:color w:val="auto"/>
          <w:vertAlign w:val="superscript"/>
        </w:rPr>
        <w:t>21</w:t>
      </w:r>
    </w:p>
    <w:p>
      <w:pPr>
        <w:spacing w:after="0" w:line="47" w:lineRule="exact"/>
        <w:rPr>
          <w:sz w:val="20"/>
          <w:szCs w:val="20"/>
          <w:color w:val="auto"/>
        </w:rPr>
      </w:pPr>
    </w:p>
    <w:p>
      <w:pPr>
        <w:jc w:val="both"/>
        <w:ind w:left="300" w:right="299" w:firstLine="360"/>
        <w:spacing w:after="0" w:line="252" w:lineRule="auto"/>
        <w:rPr>
          <w:sz w:val="20"/>
          <w:szCs w:val="20"/>
          <w:color w:val="auto"/>
        </w:rPr>
      </w:pPr>
      <w:r>
        <w:rPr>
          <w:rFonts w:ascii="Arial" w:cs="Arial" w:eastAsia="Arial" w:hAnsi="Arial"/>
          <w:sz w:val="18"/>
          <w:szCs w:val="18"/>
          <w:color w:val="auto"/>
        </w:rPr>
        <w:t>The consolidated financial statements of the Company as of December 31, 2021, 2020 and 2019 and for each of the years in periods ended December 31, 2021, 2020, 2019, and 2018 have been audited by Baker Tilly US, LLP (“Baker Tilly”), an independent registered public accounting firm, as stated in their report thereon which report expresses an unqualified opinion and includes an emphasis of matter paragraph relating to the industry in which WMTI operates, have been included in this prospectus in reliance upon such reports and upon the authority of such firm as experts in accounting and auditing.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27940</wp:posOffset>
            </wp:positionV>
            <wp:extent cx="8229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7" w:lineRule="exact"/>
        <w:rPr>
          <w:sz w:val="20"/>
          <w:szCs w:val="20"/>
          <w:color w:val="auto"/>
        </w:rPr>
      </w:pPr>
    </w:p>
    <w:p>
      <w:pPr>
        <w:ind w:left="440" w:hanging="148"/>
        <w:spacing w:after="0"/>
        <w:tabs>
          <w:tab w:leader="none" w:pos="440" w:val="left"/>
        </w:tabs>
        <w:numPr>
          <w:ilvl w:val="0"/>
          <w:numId w:val="73"/>
        </w:numPr>
        <w:rPr>
          <w:rFonts w:ascii="Arial" w:cs="Arial" w:eastAsia="Arial" w:hAnsi="Arial"/>
          <w:sz w:val="19"/>
          <w:szCs w:val="19"/>
          <w:color w:val="auto"/>
          <w:vertAlign w:val="superscript"/>
        </w:rPr>
      </w:pPr>
      <w:r>
        <w:rPr>
          <w:rFonts w:ascii="Arial" w:cs="Arial" w:eastAsia="Arial" w:hAnsi="Arial"/>
          <w:sz w:val="13"/>
          <w:szCs w:val="13"/>
          <w:color w:val="auto"/>
        </w:rPr>
        <w:t>BT to update.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9" w:name="page130"/>
    <w:bookmarkEnd w:id="12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76"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 xml:space="preserve">Our website address is </w:t>
      </w:r>
      <w:r>
        <w:rPr>
          <w:rFonts w:ascii="Arial" w:cs="Arial" w:eastAsia="Arial" w:hAnsi="Arial"/>
          <w:sz w:val="17"/>
          <w:szCs w:val="17"/>
          <w:i w:val="1"/>
          <w:iCs w:val="1"/>
          <w:color w:val="auto"/>
        </w:rPr>
        <w:t>www.weedmaps.com</w:t>
      </w:r>
      <w:r>
        <w:rPr>
          <w:rFonts w:ascii="Arial" w:cs="Arial" w:eastAsia="Arial" w:hAnsi="Arial"/>
          <w:sz w:val="17"/>
          <w:szCs w:val="17"/>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0" w:name="page131"/>
    <w:bookmarkEnd w:id="130"/>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40" w:type="dxa"/>
            <w:vAlign w:val="bottom"/>
            <w:gridSpan w:val="4"/>
          </w:tcPr>
          <w:p>
            <w:pPr>
              <w:jc w:val="right"/>
              <w:ind w:right="1320"/>
              <w:spacing w:after="0"/>
              <w:rPr>
                <w:sz w:val="20"/>
                <w:szCs w:val="20"/>
                <w:color w:val="auto"/>
              </w:rPr>
            </w:pPr>
            <w:r>
              <w:rPr>
                <w:rFonts w:ascii="Arial" w:cs="Arial" w:eastAsia="Arial" w:hAnsi="Arial"/>
                <w:sz w:val="14"/>
                <w:szCs w:val="14"/>
                <w:b w:val="1"/>
                <w:bCs w:val="1"/>
                <w:color w:val="auto"/>
                <w:w w:val="89"/>
              </w:rPr>
              <w:t>Page</w:t>
            </w:r>
          </w:p>
        </w:tc>
      </w:tr>
      <w:tr>
        <w:trPr>
          <w:trHeight w:val="53"/>
        </w:trPr>
        <w:tc>
          <w:tcPr>
            <w:tcW w:w="1300" w:type="dxa"/>
            <w:vAlign w:val="bottom"/>
          </w:tcPr>
          <w:p>
            <w:pPr>
              <w:spacing w:after="0"/>
              <w:rPr>
                <w:sz w:val="4"/>
                <w:szCs w:val="4"/>
                <w:color w:val="auto"/>
              </w:rPr>
            </w:pPr>
          </w:p>
        </w:tc>
        <w:tc>
          <w:tcPr>
            <w:tcW w:w="2080" w:type="dxa"/>
            <w:vAlign w:val="bottom"/>
            <w:tcBorders>
              <w:bottom w:val="single" w:sz="8" w:color="CCEEFF"/>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2000" w:type="dxa"/>
            <w:vAlign w:val="bottom"/>
            <w:tcBorders>
              <w:bottom w:val="single" w:sz="8" w:color="CCEEFF"/>
            </w:tcBorders>
          </w:tcPr>
          <w:p>
            <w:pPr>
              <w:spacing w:after="0"/>
              <w:rPr>
                <w:sz w:val="4"/>
                <w:szCs w:val="4"/>
                <w:color w:val="auto"/>
              </w:rPr>
            </w:pPr>
          </w:p>
        </w:tc>
        <w:tc>
          <w:tcPr>
            <w:tcW w:w="18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31"/>
        </w:trPr>
        <w:tc>
          <w:tcPr>
            <w:tcW w:w="1300" w:type="dxa"/>
            <w:vAlign w:val="bottom"/>
          </w:tcPr>
          <w:p>
            <w:pPr>
              <w:spacing w:after="0"/>
              <w:rPr>
                <w:sz w:val="24"/>
                <w:szCs w:val="24"/>
                <w:color w:val="auto"/>
              </w:rPr>
            </w:pPr>
          </w:p>
        </w:tc>
        <w:tc>
          <w:tcPr>
            <w:tcW w:w="20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00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tcBorders>
              <w:right w:val="single" w:sz="8" w:color="CCEEFF"/>
            </w:tcBorders>
            <w:shd w:val="clear" w:color="auto" w:fill="CCEEFF"/>
          </w:tcPr>
          <w:p>
            <w:pPr>
              <w:spacing w:after="0"/>
              <w:rPr>
                <w:sz w:val="24"/>
                <w:szCs w:val="24"/>
                <w:color w:val="auto"/>
              </w:rPr>
            </w:pPr>
          </w:p>
        </w:tc>
        <w:tc>
          <w:tcPr>
            <w:tcW w:w="1300" w:type="dxa"/>
            <w:vAlign w:val="bottom"/>
          </w:tcPr>
          <w:p>
            <w:pPr>
              <w:spacing w:after="0"/>
              <w:rPr>
                <w:sz w:val="24"/>
                <w:szCs w:val="24"/>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2">
              <w:r>
                <w:rPr>
                  <w:rFonts w:ascii="Arial" w:cs="Arial" w:eastAsia="Arial" w:hAnsi="Arial"/>
                  <w:sz w:val="18"/>
                  <w:szCs w:val="18"/>
                  <w:color w:val="0000EE"/>
                </w:rPr>
                <w:t>Report of Independent Registered Public Accounting Firm</w:t>
              </w:r>
            </w:hyperlink>
          </w:p>
        </w:tc>
        <w:tc>
          <w:tcPr>
            <w:tcW w:w="1880" w:type="dxa"/>
            <w:vAlign w:val="bottom"/>
          </w:tcPr>
          <w:p>
            <w:pPr>
              <w:spacing w:after="0"/>
              <w:rPr>
                <w:sz w:val="19"/>
                <w:szCs w:val="19"/>
                <w:color w:val="auto"/>
              </w:rPr>
            </w:pPr>
          </w:p>
        </w:tc>
        <w:tc>
          <w:tcPr>
            <w:tcW w:w="1640" w:type="dxa"/>
            <w:vAlign w:val="bottom"/>
            <w:gridSpan w:val="4"/>
          </w:tcPr>
          <w:p>
            <w:pPr>
              <w:jc w:val="right"/>
              <w:ind w:right="1320"/>
              <w:spacing w:after="0"/>
              <w:rPr>
                <w:rFonts w:ascii="Arial" w:cs="Arial" w:eastAsia="Arial" w:hAnsi="Arial"/>
                <w:sz w:val="18"/>
                <w:szCs w:val="18"/>
                <w:color w:val="0000EE"/>
              </w:rPr>
            </w:pPr>
            <w:hyperlink w:anchor="page132">
              <w:r>
                <w:rPr>
                  <w:rFonts w:ascii="Arial" w:cs="Arial" w:eastAsia="Arial" w:hAnsi="Arial"/>
                  <w:sz w:val="18"/>
                  <w:szCs w:val="18"/>
                  <w:color w:val="0000EE"/>
                </w:rPr>
                <w:t>F-2</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6">
              <w:r>
                <w:rPr>
                  <w:rFonts w:ascii="Arial" w:cs="Arial" w:eastAsia="Arial" w:hAnsi="Arial"/>
                  <w:sz w:val="18"/>
                  <w:szCs w:val="18"/>
                  <w:color w:val="0000EE"/>
                </w:rPr>
                <w:t>Consolidated Balance Sheets</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6">
              <w:r>
                <w:rPr>
                  <w:rFonts w:ascii="Arial" w:cs="Arial" w:eastAsia="Arial" w:hAnsi="Arial"/>
                  <w:sz w:val="18"/>
                  <w:szCs w:val="18"/>
                  <w:color w:val="0000EE"/>
                </w:rPr>
                <w:t>F-6</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38">
              <w:r>
                <w:rPr>
                  <w:rFonts w:ascii="Arial" w:cs="Arial" w:eastAsia="Arial" w:hAnsi="Arial"/>
                  <w:sz w:val="18"/>
                  <w:szCs w:val="18"/>
                  <w:color w:val="0000EE"/>
                </w:rPr>
                <w:t>Consolidated Statements of Operations</w:t>
              </w:r>
            </w:hyperlink>
          </w:p>
        </w:tc>
        <w:tc>
          <w:tcPr>
            <w:tcW w:w="1880" w:type="dxa"/>
            <w:vAlign w:val="bottom"/>
          </w:tcPr>
          <w:p>
            <w:pPr>
              <w:spacing w:after="0"/>
              <w:rPr>
                <w:sz w:val="19"/>
                <w:szCs w:val="19"/>
                <w:color w:val="auto"/>
              </w:rPr>
            </w:pPr>
          </w:p>
        </w:tc>
        <w:tc>
          <w:tcPr>
            <w:tcW w:w="1640" w:type="dxa"/>
            <w:vAlign w:val="bottom"/>
            <w:gridSpan w:val="4"/>
          </w:tcPr>
          <w:p>
            <w:pPr>
              <w:jc w:val="right"/>
              <w:ind w:right="1320"/>
              <w:spacing w:after="0"/>
              <w:rPr>
                <w:rFonts w:ascii="Arial" w:cs="Arial" w:eastAsia="Arial" w:hAnsi="Arial"/>
                <w:sz w:val="18"/>
                <w:szCs w:val="18"/>
                <w:color w:val="0000EE"/>
              </w:rPr>
            </w:pPr>
            <w:hyperlink w:anchor="page138">
              <w:r>
                <w:rPr>
                  <w:rFonts w:ascii="Arial" w:cs="Arial" w:eastAsia="Arial" w:hAnsi="Arial"/>
                  <w:sz w:val="18"/>
                  <w:szCs w:val="18"/>
                  <w:color w:val="0000EE"/>
                </w:rPr>
                <w:t>F-7</w:t>
              </w:r>
            </w:hyperlink>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30"/>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Consolidated Statements of Equity</w:t>
              </w:r>
            </w:hyperlink>
          </w:p>
        </w:tc>
        <w:tc>
          <w:tcPr>
            <w:tcW w:w="1880" w:type="dxa"/>
            <w:vAlign w:val="bottom"/>
            <w:shd w:val="clear" w:color="auto" w:fill="CCEEFF"/>
          </w:tcPr>
          <w:p>
            <w:pPr>
              <w:spacing w:after="0"/>
              <w:rPr>
                <w:sz w:val="19"/>
                <w:szCs w:val="19"/>
                <w:color w:val="auto"/>
              </w:rPr>
            </w:pPr>
          </w:p>
        </w:tc>
        <w:tc>
          <w:tcPr>
            <w:tcW w:w="340" w:type="dxa"/>
            <w:vAlign w:val="bottom"/>
            <w:tcBorders>
              <w:right w:val="single" w:sz="8" w:color="CCEEFF"/>
            </w:tcBorders>
            <w:gridSpan w:val="3"/>
            <w:shd w:val="clear" w:color="auto" w:fill="CCEEFF"/>
          </w:tcPr>
          <w:p>
            <w:pPr>
              <w:jc w:val="right"/>
              <w:spacing w:after="0"/>
              <w:rPr>
                <w:rFonts w:ascii="Arial" w:cs="Arial" w:eastAsia="Arial" w:hAnsi="Arial"/>
                <w:sz w:val="18"/>
                <w:szCs w:val="18"/>
                <w:color w:val="0000EE"/>
              </w:rPr>
            </w:pPr>
            <w:hyperlink w:anchor="page139">
              <w:r>
                <w:rPr>
                  <w:rFonts w:ascii="Arial" w:cs="Arial" w:eastAsia="Arial" w:hAnsi="Arial"/>
                  <w:sz w:val="18"/>
                  <w:szCs w:val="18"/>
                  <w:color w:val="0000EE"/>
                </w:rPr>
                <w:t>F-8</w:t>
              </w:r>
            </w:hyperlink>
          </w:p>
        </w:tc>
        <w:tc>
          <w:tcPr>
            <w:tcW w:w="1300" w:type="dxa"/>
            <w:vAlign w:val="bottom"/>
          </w:tcPr>
          <w:p>
            <w:pPr>
              <w:spacing w:after="0"/>
              <w:rPr>
                <w:sz w:val="19"/>
                <w:szCs w:val="19"/>
                <w:color w:val="auto"/>
              </w:rPr>
            </w:pPr>
          </w:p>
        </w:tc>
      </w:tr>
      <w:tr>
        <w:trPr>
          <w:trHeight w:val="74"/>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Consolidated Statements of Cash Flows</w:t>
              </w:r>
            </w:hyperlink>
          </w:p>
        </w:tc>
        <w:tc>
          <w:tcPr>
            <w:tcW w:w="1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gridSpan w:val="2"/>
          </w:tcPr>
          <w:p>
            <w:pPr>
              <w:jc w:val="right"/>
              <w:ind w:right="1300"/>
              <w:spacing w:after="0"/>
              <w:rPr>
                <w:rFonts w:ascii="Arial" w:cs="Arial" w:eastAsia="Arial" w:hAnsi="Arial"/>
                <w:sz w:val="18"/>
                <w:szCs w:val="18"/>
                <w:color w:val="0000EE"/>
                <w:w w:val="81"/>
              </w:rPr>
            </w:pPr>
            <w:hyperlink w:anchor="page140">
              <w:r>
                <w:rPr>
                  <w:rFonts w:ascii="Arial" w:cs="Arial" w:eastAsia="Arial" w:hAnsi="Arial"/>
                  <w:sz w:val="18"/>
                  <w:szCs w:val="18"/>
                  <w:color w:val="0000EE"/>
                  <w:w w:val="81"/>
                </w:rPr>
                <w:t>F-9</w:t>
              </w:r>
            </w:hyperlink>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tcPr>
          <w:p>
            <w:pPr>
              <w:spacing w:after="0"/>
              <w:rPr>
                <w:sz w:val="6"/>
                <w:szCs w:val="6"/>
                <w:color w:val="auto"/>
              </w:rPr>
            </w:pPr>
          </w:p>
        </w:tc>
        <w:tc>
          <w:tcPr>
            <w:tcW w:w="4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r>
      <w:tr>
        <w:trPr>
          <w:trHeight w:val="229"/>
        </w:trPr>
        <w:tc>
          <w:tcPr>
            <w:tcW w:w="1300" w:type="dxa"/>
            <w:vAlign w:val="bottom"/>
          </w:tcPr>
          <w:p>
            <w:pPr>
              <w:spacing w:after="0"/>
              <w:rPr>
                <w:sz w:val="19"/>
                <w:szCs w:val="19"/>
                <w:color w:val="auto"/>
              </w:rPr>
            </w:pPr>
          </w:p>
        </w:tc>
        <w:tc>
          <w:tcPr>
            <w:tcW w:w="6200" w:type="dxa"/>
            <w:vAlign w:val="bottom"/>
            <w:gridSpan w:val="7"/>
            <w:shd w:val="clear" w:color="auto" w:fill="CCEEFF"/>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Notes to Consolidated Financial Statements</w:t>
              </w:r>
            </w:hyperlink>
          </w:p>
        </w:tc>
        <w:tc>
          <w:tcPr>
            <w:tcW w:w="2220" w:type="dxa"/>
            <w:vAlign w:val="bottom"/>
            <w:tcBorders>
              <w:right w:val="single" w:sz="8" w:color="CCEEFF"/>
            </w:tcBorders>
            <w:gridSpan w:val="4"/>
            <w:shd w:val="clear" w:color="auto" w:fill="CCEEFF"/>
          </w:tcPr>
          <w:p>
            <w:pPr>
              <w:jc w:val="right"/>
              <w:spacing w:after="0"/>
              <w:rPr>
                <w:rFonts w:ascii="Arial" w:cs="Arial" w:eastAsia="Arial" w:hAnsi="Arial"/>
                <w:sz w:val="18"/>
                <w:szCs w:val="18"/>
                <w:color w:val="0000EE"/>
              </w:rPr>
            </w:pPr>
            <w:hyperlink w:anchor="page142">
              <w:r>
                <w:rPr>
                  <w:rFonts w:ascii="Arial" w:cs="Arial" w:eastAsia="Arial" w:hAnsi="Arial"/>
                  <w:sz w:val="18"/>
                  <w:szCs w:val="18"/>
                  <w:color w:val="0000EE"/>
                </w:rPr>
                <w:t>F-11</w:t>
              </w:r>
            </w:hyperlink>
          </w:p>
        </w:tc>
        <w:tc>
          <w:tcPr>
            <w:tcW w:w="1300" w:type="dxa"/>
            <w:vAlign w:val="bottom"/>
          </w:tcPr>
          <w:p>
            <w:pPr>
              <w:spacing w:after="0"/>
              <w:rPr>
                <w:sz w:val="19"/>
                <w:szCs w:val="19"/>
                <w:color w:val="auto"/>
              </w:rPr>
            </w:pPr>
          </w:p>
        </w:tc>
      </w:tr>
      <w:tr>
        <w:trPr>
          <w:trHeight w:val="75"/>
        </w:trPr>
        <w:tc>
          <w:tcPr>
            <w:tcW w:w="1300" w:type="dxa"/>
            <w:vAlign w:val="bottom"/>
          </w:tcPr>
          <w:p>
            <w:pPr>
              <w:spacing w:after="0"/>
              <w:rPr>
                <w:sz w:val="6"/>
                <w:szCs w:val="6"/>
                <w:color w:val="auto"/>
              </w:rPr>
            </w:pPr>
          </w:p>
        </w:tc>
        <w:tc>
          <w:tcPr>
            <w:tcW w:w="2080" w:type="dxa"/>
            <w:vAlign w:val="bottom"/>
            <w:tcBorders>
              <w:top w:val="single" w:sz="8" w:color="0000EE"/>
            </w:tcBorders>
            <w:shd w:val="clear" w:color="auto" w:fill="CCEEFF"/>
          </w:tcPr>
          <w:p>
            <w:pPr>
              <w:spacing w:after="0"/>
              <w:rPr>
                <w:sz w:val="6"/>
                <w:szCs w:val="6"/>
                <w:color w:val="auto"/>
              </w:rPr>
            </w:pPr>
          </w:p>
        </w:tc>
        <w:tc>
          <w:tcPr>
            <w:tcW w:w="4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060" w:type="dxa"/>
            <w:vAlign w:val="bottom"/>
            <w:tcBorders>
              <w:top w:val="single" w:sz="8" w:color="CCEEFF"/>
            </w:tcBorders>
            <w:shd w:val="clear" w:color="auto" w:fill="CCEEFF"/>
          </w:tcPr>
          <w:p>
            <w:pPr>
              <w:spacing w:after="0"/>
              <w:rPr>
                <w:sz w:val="6"/>
                <w:szCs w:val="6"/>
                <w:color w:val="auto"/>
              </w:rPr>
            </w:pPr>
          </w:p>
        </w:tc>
        <w:tc>
          <w:tcPr>
            <w:tcW w:w="200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240" w:type="dxa"/>
            <w:vAlign w:val="bottom"/>
            <w:tcBorders>
              <w:top w:val="single" w:sz="8" w:color="0000EE"/>
              <w:right w:val="single" w:sz="8" w:color="CCEEFF"/>
            </w:tcBorders>
            <w:shd w:val="clear" w:color="auto" w:fill="CCEEFF"/>
          </w:tcPr>
          <w:p>
            <w:pPr>
              <w:spacing w:after="0"/>
              <w:rPr>
                <w:sz w:val="6"/>
                <w:szCs w:val="6"/>
                <w:color w:val="auto"/>
              </w:rPr>
            </w:pPr>
          </w:p>
        </w:tc>
        <w:tc>
          <w:tcPr>
            <w:tcW w:w="1300" w:type="dxa"/>
            <w:vAlign w:val="bottom"/>
          </w:tcPr>
          <w:p>
            <w:pPr>
              <w:spacing w:after="0"/>
              <w:rPr>
                <w:sz w:val="6"/>
                <w:szCs w:val="6"/>
                <w:color w:val="auto"/>
              </w:rPr>
            </w:pPr>
          </w:p>
        </w:tc>
      </w:tr>
      <w:tr>
        <w:trPr>
          <w:trHeight w:val="432"/>
        </w:trPr>
        <w:tc>
          <w:tcPr>
            <w:tcW w:w="1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2"/>
          </w:tcPr>
          <w:p>
            <w:pPr>
              <w:ind w:left="940"/>
              <w:spacing w:after="0"/>
              <w:rPr>
                <w:sz w:val="20"/>
                <w:szCs w:val="20"/>
                <w:color w:val="auto"/>
              </w:rPr>
            </w:pPr>
            <w:r>
              <w:rPr>
                <w:rFonts w:ascii="Arial" w:cs="Arial" w:eastAsia="Arial" w:hAnsi="Arial"/>
                <w:sz w:val="18"/>
                <w:szCs w:val="18"/>
                <w:color w:val="auto"/>
              </w:rPr>
              <w:t>F-1</w:t>
            </w:r>
          </w:p>
        </w:tc>
        <w:tc>
          <w:tcPr>
            <w:tcW w:w="1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5920740</wp:posOffset>
            </wp:positionH>
            <wp:positionV relativeFrom="paragraph">
              <wp:posOffset>-1859280</wp:posOffset>
            </wp:positionV>
            <wp:extent cx="342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31" w:name="page132"/>
    <w:bookmarkEnd w:id="13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To The Stockholders and Board of Directors of WM Technology, Inc.</w:t>
      </w:r>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have audited the accompanying consolidated balance sheets of WM Technology, Inc. (the Company) as of December 31, 2021 and 2020, the related consolidated statements of operations, changes in stockholders’ equity and cash flows for the three years in the period ended December 31, 2021,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Adoption of ASU No. 2016-02</w:t>
      </w:r>
    </w:p>
    <w:p>
      <w:pPr>
        <w:spacing w:after="0" w:line="121"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discussed in Note 2 to the consolidated financial statements, effective January 1, 2021, the Company adopted Accounting Standards Codification Topic 842, Leases (Topic 842).</w:t>
      </w:r>
    </w:p>
    <w:p>
      <w:pPr>
        <w:spacing w:after="0" w:line="22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53"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58"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Emphasis of Matter Related to the Company’s Operations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is an organization that provides online directory services to legalized cannabis companies. As discussed in Note 2, the Company operates in an industry where laws and regulations vary significantly by jurisdiction. Currently, several states permit medicinal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25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w:t>
      </w:r>
    </w:p>
    <w:p>
      <w:pPr>
        <w:spacing w:after="0" w:line="2" w:lineRule="exact"/>
        <w:rPr>
          <w:sz w:val="20"/>
          <w:szCs w:val="20"/>
          <w:color w:val="auto"/>
        </w:rPr>
      </w:pPr>
    </w:p>
    <w:p>
      <w:pPr>
        <w:jc w:val="both"/>
        <w:ind w:left="300" w:right="319" w:hanging="8"/>
        <w:spacing w:after="0" w:line="253" w:lineRule="auto"/>
        <w:tabs>
          <w:tab w:leader="none" w:pos="589"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2" w:name="page133"/>
    <w:bookmarkEnd w:id="13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Revenue Recognition</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discussed in Note 2 to the consolidated financial statements, the Company generates revenue derived primarily from monthly subscriptions and additional offerings for access to the Company’s software platform and other software as a service solutions. The Company’s contracts with customers can involve multiple performance obligations and rights. The Company recognized $193.1 million of revenue for the year ended December 31, 2021 related to such contracts.</w:t>
      </w:r>
    </w:p>
    <w:p>
      <w:pPr>
        <w:spacing w:after="0" w:line="8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We identified the evaluation of the Company’s analysis of terms and conditions in contracts with customers and their effect on revenue recognition as a critical audit matter. Complex auditor judgment was required to assess the Company’s determination of the performance obligations in such contracts and recognition of such items as over time or point-in-time.</w:t>
      </w:r>
    </w:p>
    <w:p>
      <w:pPr>
        <w:spacing w:after="0" w:line="34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Obtaining an understanding of the Company’s revenue recognition policy and evaluated for appropriateness.</w:t>
      </w:r>
    </w:p>
    <w:p>
      <w:pPr>
        <w:spacing w:after="0" w:line="62" w:lineRule="exact"/>
        <w:rPr>
          <w:rFonts w:ascii="Arial" w:cs="Arial" w:eastAsia="Arial" w:hAnsi="Arial"/>
          <w:sz w:val="18"/>
          <w:szCs w:val="18"/>
          <w:color w:val="auto"/>
        </w:rPr>
      </w:pPr>
    </w:p>
    <w:p>
      <w:pPr>
        <w:jc w:val="both"/>
        <w:ind w:left="1000" w:right="299" w:hanging="348"/>
        <w:spacing w:after="0" w:line="263"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Evaluating the design and implementation of certain internal controls related to the Company’s revenue recognition process, including controls related to the Company’s analysis of terms and conditions review of contracts with customers and their effect on revenue recognition.</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Inquiring of personnel outside of the accounting function to corroborate our understanding of certain terms and conditions for a selection of revenue transactions.</w:t>
      </w:r>
    </w:p>
    <w:p>
      <w:pPr>
        <w:spacing w:after="0" w:line="62" w:lineRule="exact"/>
        <w:rPr>
          <w:rFonts w:ascii="Arial" w:cs="Arial" w:eastAsia="Arial" w:hAnsi="Arial"/>
          <w:sz w:val="18"/>
          <w:szCs w:val="18"/>
          <w:color w:val="auto"/>
        </w:rPr>
      </w:pPr>
    </w:p>
    <w:p>
      <w:pPr>
        <w:ind w:left="1000" w:right="319" w:hanging="348"/>
        <w:spacing w:after="0" w:line="308" w:lineRule="auto"/>
        <w:tabs>
          <w:tab w:leader="none" w:pos="10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Testing a sample of revenue transactions by inspecting the underlying customer agreements and invoices, and evaluating the Company’s recognition in accordance with revenue recognition policies.</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Tested a sample of revenue contracts to ensure appropriate identification of performance obligations and recognition of either point-in-time or over-time.</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Valuation of Intangible Assets in the Sprout and Transportation Logistics Holding Acquisitions</w:t>
      </w:r>
    </w:p>
    <w:p>
      <w:pPr>
        <w:spacing w:after="0" w:line="360"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discussed in Note 7 to the consolidated financial statements, on September 3, 2021 and September 29, 2021, the Company acquired certain businesses of Sprout and Transportation Logistics Holding, LLC, respectively. The transactions were accounted for as business combinations and the assets acquired and liabilities assumed have been recorded based on preliminary estimates of fair value and are subject to change based on the finalization of their fair values of the assets acquired and liabilities assumed.</w:t>
      </w:r>
    </w:p>
    <w:p>
      <w:pPr>
        <w:spacing w:after="0" w:line="68" w:lineRule="exact"/>
        <w:rPr>
          <w:sz w:val="20"/>
          <w:szCs w:val="20"/>
          <w:color w:val="auto"/>
        </w:rPr>
      </w:pPr>
    </w:p>
    <w:p>
      <w:pPr>
        <w:jc w:val="both"/>
        <w:ind w:left="300" w:right="299" w:firstLine="360"/>
        <w:spacing w:after="0" w:line="291" w:lineRule="auto"/>
        <w:rPr>
          <w:sz w:val="20"/>
          <w:szCs w:val="20"/>
          <w:color w:val="auto"/>
        </w:rPr>
      </w:pPr>
      <w:r>
        <w:rPr>
          <w:rFonts w:ascii="Arial" w:cs="Arial" w:eastAsia="Arial" w:hAnsi="Arial"/>
          <w:sz w:val="16"/>
          <w:szCs w:val="16"/>
          <w:color w:val="auto"/>
        </w:rPr>
        <w:t>Auditing management’s preliminary valuation of the software technology assets in the acquisitions was complex and judgmental due to the significant estimation uncertainty in the Company’s determination of the preliminary fair values of software technology assets. In addition, a large portion of the consideration transferred was allocated to goodwill and thus the identification of other potential intangible assets in the acquisition requires complex judgment. The significant estimation uncertainty was primarily due to the sensitivity of the fair value to underlying assumptions including forecasted revenue growth rates, forecasted profit margin, and the discount rate. These significant assumptions are forward looking and could be affected by future economic and market conditions.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3" w:name="page134"/>
    <w:bookmarkEnd w:id="13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jc w:val="both"/>
        <w:ind w:left="1000" w:right="299" w:hanging="348"/>
        <w:spacing w:after="0" w:line="259" w:lineRule="auto"/>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the Company's controls over its estimation process supporting the recognition and measurement of the customer and vendor relationships intangible assets, including controls over management’s evaluation of the methodology and underlying assumptions used in determining the fair value.</w:t>
      </w:r>
    </w:p>
    <w:p>
      <w:pPr>
        <w:spacing w:after="0" w:line="78" w:lineRule="exact"/>
        <w:rPr>
          <w:rFonts w:ascii="Arial" w:cs="Arial" w:eastAsia="Arial" w:hAnsi="Arial"/>
          <w:sz w:val="18"/>
          <w:szCs w:val="18"/>
          <w:color w:val="auto"/>
        </w:rPr>
      </w:pPr>
    </w:p>
    <w:p>
      <w:pPr>
        <w:jc w:val="both"/>
        <w:ind w:left="1000" w:right="299" w:hanging="348"/>
        <w:spacing w:after="0" w:line="275"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Evaluated the Company's selection of the valuation methodology and significant assumptions used by the Company in the valuation of the intangible assets, and the reasonableness of significant assumptions and estimates. For example, we performed analyses to evaluate the sensitivity of changes in assumptions to the fair value of the customer relationships intangible asset and compared the significant assumptions to current industry and market and economic trends.</w:t>
      </w:r>
    </w:p>
    <w:p>
      <w:pPr>
        <w:spacing w:after="0" w:line="68" w:lineRule="exact"/>
        <w:rPr>
          <w:rFonts w:ascii="Arial" w:cs="Arial" w:eastAsia="Arial" w:hAnsi="Arial"/>
          <w:sz w:val="17"/>
          <w:szCs w:val="17"/>
          <w:color w:val="auto"/>
        </w:rPr>
      </w:pPr>
    </w:p>
    <w:p>
      <w:pPr>
        <w:ind w:left="1000" w:right="319" w:hanging="348"/>
        <w:spacing w:after="0" w:line="308" w:lineRule="auto"/>
        <w:tabs>
          <w:tab w:leader="none" w:pos="10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Involved auditor engaged valuation specialist to assist with our evaluation of the methodologies used by the Company and significant assumptions included in the preliminary fair value estimates.</w:t>
      </w:r>
    </w:p>
    <w:p>
      <w:pPr>
        <w:spacing w:after="0" w:line="38" w:lineRule="exact"/>
        <w:rPr>
          <w:rFonts w:ascii="Arial" w:cs="Arial" w:eastAsia="Arial" w:hAnsi="Arial"/>
          <w:sz w:val="17"/>
          <w:szCs w:val="17"/>
          <w:color w:val="auto"/>
        </w:rPr>
      </w:pPr>
    </w:p>
    <w:p>
      <w:pPr>
        <w:ind w:left="1000" w:hanging="348"/>
        <w:spacing w:after="0"/>
        <w:tabs>
          <w:tab w:leader="none" w:pos="10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Tested the clerical accuracy of the models.</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Measurement of the Tax Receivable Agreement Asset and Liability</w:t>
      </w:r>
    </w:p>
    <w:p>
      <w:pPr>
        <w:spacing w:after="0" w:line="30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Critical Audit Matter Description</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discussed in Note 2 and Note 14 of the consolidated financial statements, the Company entered into a Tax Receivable Agreement (the “TRA”) with certain current and historical holders of LLC units of WM Holding Company, LLC (“WMH LLC”), which is a contractual commitment to distribute 85% of any tax benefits (the “TRA liability”), realized or deemed to be realized by the Company to the parties to the TRA. In connection with such potential future tax benefits, the Company has established a deferred tax asset for the additional tax basis and a corresponding TRA liability for 85% of the expected benefit. The TRA payments are contingent upon, among other things, the generation of future taxable income over the term of the TRA and future changes in tax laws. At December 31, 2021, the Company’s deferred tax asset associated with the TRA is approximately $151.3 million (the “TRA asset”), which is included as a component of the overall deferred tax asset of approximately $152.1 million. The liability due to the holders of WMH LLC interests under the TRA was approximately $128.6 million as of December 31, 2021.</w:t>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Auditing management’s accounting for the TRA asset and liability is especially complex and judgmental as the Company’s calculation of the TRA asset and liability requires estimates of its future qualified taxable income over the term of the TRA as a basis to determine if the related tax benefits are expected to be realized. Significant changes in estimates could have a material effect on the Company’s results of operations.</w:t>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primary procedures we performed to address this critical audit matter included: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Obtained an understanding and evaluated the design and implementation of controls over the Company’s process for determining the measurement of the TRA asset and liability.</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completeness and accuracy of the deferred tax asset related to the basis difference in the investment in WMH LLC.</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Recalculated the change in tax basis resulting from the transaction, including the determination of fair value.</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measurement of the Company’s TRA liability by recalculating the Company’s share of the tax basis in the net assets of WMH LLC.</w:t>
      </w:r>
    </w:p>
    <w:p>
      <w:pPr>
        <w:spacing w:after="0" w:line="62" w:lineRule="exact"/>
        <w:rPr>
          <w:rFonts w:ascii="Arial" w:cs="Arial" w:eastAsia="Arial" w:hAnsi="Arial"/>
          <w:sz w:val="18"/>
          <w:szCs w:val="18"/>
          <w:color w:val="auto"/>
        </w:rPr>
      </w:pPr>
    </w:p>
    <w:p>
      <w:pPr>
        <w:jc w:val="both"/>
        <w:ind w:left="1000" w:right="299" w:hanging="348"/>
        <w:spacing w:after="0" w:line="257" w:lineRule="auto"/>
        <w:tabs>
          <w:tab w:leader="none" w:pos="10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Tested the Company’s position that there will be sufficient future taxable income to realize the tax benefits related to the redemptions discussed above, and we evaluated the assumptions used by management to develop the projections of future taxable income. For example, we compared management’s projections of future taxable income with the actual results of prior periods, as well as management’s consideration of current industry and economic trends.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4" w:name="page135"/>
    <w:bookmarkEnd w:id="13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1000" w:right="319" w:hanging="348"/>
        <w:spacing w:after="0" w:line="308" w:lineRule="auto"/>
        <w:tabs>
          <w:tab w:leader="none" w:pos="10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We also assessed the historical accuracy of management’s projections and reconciled the projections of future taxable income with other forecasted financial information prepared by the Company.</w:t>
      </w:r>
    </w:p>
    <w:p>
      <w:pPr>
        <w:spacing w:after="0" w:line="38" w:lineRule="exact"/>
        <w:rPr>
          <w:rFonts w:ascii="Arial" w:cs="Arial" w:eastAsia="Arial" w:hAnsi="Arial"/>
          <w:sz w:val="17"/>
          <w:szCs w:val="17"/>
          <w:color w:val="auto"/>
        </w:rPr>
      </w:pPr>
    </w:p>
    <w:p>
      <w:pPr>
        <w:ind w:left="1000" w:right="3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Recalculated the TRA liability and verified the calculation of the TRA liability was in accordance with the terms set out in the TRA.</w:t>
      </w:r>
    </w:p>
    <w:p>
      <w:pPr>
        <w:spacing w:after="0" w:line="62"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Involved auditor engaged tax specialists to assist with the performance of such audit procedures listed above.</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Baker Tilly US, LLP</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Irvine, California</w:t>
      </w:r>
    </w:p>
    <w:p>
      <w:pPr>
        <w:spacing w:after="0" w:line="2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February 25, 2022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5" w:name="page136"/>
    <w:bookmarkEnd w:id="13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2"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49530</wp:posOffset>
            </wp:positionV>
            <wp:extent cx="107188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800" w:type="dxa"/>
            <w:vAlign w:val="bottom"/>
          </w:tcPr>
          <w:p>
            <w:pPr>
              <w:spacing w:after="0"/>
              <w:rPr>
                <w:sz w:val="16"/>
                <w:szCs w:val="16"/>
                <w:color w:val="auto"/>
              </w:rPr>
            </w:pPr>
          </w:p>
        </w:tc>
        <w:tc>
          <w:tcPr>
            <w:tcW w:w="660" w:type="dxa"/>
            <w:vAlign w:val="bottom"/>
          </w:tcPr>
          <w:p>
            <w:pPr>
              <w:jc w:val="right"/>
              <w:ind w:right="131"/>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6"/>
                <w:szCs w:val="16"/>
                <w:color w:val="auto"/>
              </w:rPr>
            </w:pPr>
          </w:p>
        </w:tc>
        <w:tc>
          <w:tcPr>
            <w:tcW w:w="520" w:type="dxa"/>
            <w:vAlign w:val="bottom"/>
          </w:tcPr>
          <w:p>
            <w:pPr>
              <w:jc w:val="right"/>
              <w:ind w:right="31"/>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6"/>
                <w:szCs w:val="16"/>
                <w:color w:val="auto"/>
              </w:rPr>
            </w:pPr>
          </w:p>
        </w:tc>
      </w:tr>
      <w:tr>
        <w:trPr>
          <w:trHeight w:val="53"/>
        </w:trPr>
        <w:tc>
          <w:tcPr>
            <w:tcW w:w="680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Current assets</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1"/>
              </w:rPr>
              <w:t>$ 67,777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$ 19,919</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17,550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9,428</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13,607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4,820</w:t>
            </w:r>
          </w:p>
        </w:tc>
      </w:tr>
      <w:tr>
        <w:trPr>
          <w:trHeight w:val="270"/>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98,934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34,167</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13,283</w:t>
            </w: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7,387</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83"/>
        </w:trPr>
        <w:tc>
          <w:tcPr>
            <w:tcW w:w="6800" w:type="dxa"/>
            <w:vAlign w:val="bottom"/>
          </w:tcPr>
          <w:p>
            <w:pPr>
              <w:spacing w:after="0"/>
              <w:rPr>
                <w:sz w:val="20"/>
                <w:szCs w:val="20"/>
                <w:color w:val="auto"/>
              </w:rPr>
            </w:pPr>
            <w:r>
              <w:rPr>
                <w:rFonts w:ascii="Arial" w:cs="Arial" w:eastAsia="Arial" w:hAnsi="Arial"/>
                <w:sz w:val="18"/>
                <w:szCs w:val="18"/>
                <w:color w:val="auto"/>
              </w:rPr>
              <w:t>Goodwill</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45,295</w:t>
            </w:r>
          </w:p>
        </w:tc>
        <w:tc>
          <w:tcPr>
            <w:tcW w:w="520" w:type="dxa"/>
            <w:vAlign w:val="bottom"/>
          </w:tcPr>
          <w:p>
            <w:pPr>
              <w:jc w:val="right"/>
              <w:spacing w:after="0"/>
              <w:rPr>
                <w:sz w:val="20"/>
                <w:szCs w:val="20"/>
                <w:color w:val="auto"/>
              </w:rPr>
            </w:pPr>
            <w:r>
              <w:rPr>
                <w:rFonts w:ascii="Arial" w:cs="Arial" w:eastAsia="Arial" w:hAnsi="Arial"/>
                <w:sz w:val="18"/>
                <w:szCs w:val="18"/>
                <w:color w:val="auto"/>
              </w:rPr>
              <w:t>3,961</w:t>
            </w:r>
          </w:p>
        </w:tc>
        <w:tc>
          <w:tcPr>
            <w:tcW w:w="60" w:type="dxa"/>
            <w:vAlign w:val="bottom"/>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8,299</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4,505</w:t>
            </w: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Right-of-use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36,549</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152,097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10,687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3,874</w:t>
            </w:r>
          </w:p>
        </w:tc>
      </w:tr>
      <w:tr>
        <w:trPr>
          <w:trHeight w:val="48"/>
        </w:trPr>
        <w:tc>
          <w:tcPr>
            <w:tcW w:w="68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358"/>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310"/>
        </w:trPr>
        <w:tc>
          <w:tcPr>
            <w:tcW w:w="68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Liabilities and Equity</w:t>
            </w:r>
          </w:p>
        </w:tc>
        <w:tc>
          <w:tcPr>
            <w:tcW w:w="660" w:type="dxa"/>
            <w:vAlign w:val="bottom"/>
            <w:tcBorders>
              <w:top w:val="single" w:sz="8" w:color="auto"/>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1"/>
              </w:rPr>
              <w:t>$ 23,155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79"/>
              </w:rPr>
              <w:t>$ 12,651</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8,057</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5,264</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Deferred rent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liabilities, 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5,463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Notes payable to members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205</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68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37,800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23,249</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non-current</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39,377</w:t>
            </w: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Tax receivable agreement liability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128,567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27,460</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1,374</w:t>
            </w:r>
          </w:p>
        </w:tc>
      </w:tr>
      <w:tr>
        <w:trPr>
          <w:trHeight w:val="48"/>
        </w:trPr>
        <w:tc>
          <w:tcPr>
            <w:tcW w:w="68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233,204</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24,623</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Commitments and contingencies (Note 4)</w:t>
            </w: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equity/Members’ equity</w:t>
            </w:r>
          </w:p>
        </w:tc>
        <w:tc>
          <w:tcPr>
            <w:tcW w:w="66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w w:val="96"/>
              </w:rPr>
              <w:t>Preferred Stock - $0.0001 par value; 75,000,000 shares authorized; no shares issued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and outstanding at December 31, 2021 and December 31, 2020</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56"/>
        </w:trPr>
        <w:tc>
          <w:tcPr>
            <w:tcW w:w="68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Class A Common Stock - $0.0001 par value; 1,500,000,000 shares authorized;</w:t>
            </w:r>
          </w:p>
        </w:tc>
        <w:tc>
          <w:tcPr>
            <w:tcW w:w="660" w:type="dxa"/>
            <w:vAlign w:val="bottom"/>
            <w:shd w:val="clear" w:color="auto" w:fill="CCEEFF"/>
          </w:tcPr>
          <w:p>
            <w:pPr>
              <w:spacing w:after="0"/>
              <w:rPr>
                <w:sz w:val="22"/>
                <w:szCs w:val="22"/>
                <w:color w:val="auto"/>
              </w:rPr>
            </w:pPr>
          </w:p>
        </w:tc>
        <w:tc>
          <w:tcPr>
            <w:tcW w:w="380" w:type="dxa"/>
            <w:vAlign w:val="bottom"/>
            <w:tcBorders>
              <w:right w:val="single" w:sz="8" w:color="CCEEFF"/>
            </w:tcBorders>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r>
      <w:tr>
        <w:trPr>
          <w:trHeight w:val="216"/>
        </w:trPr>
        <w:tc>
          <w:tcPr>
            <w:tcW w:w="680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9"/>
              </w:rPr>
              <w:t>65,677,361 shares issued and outstanding at December 31, 2021 and no shares</w:t>
            </w:r>
          </w:p>
        </w:tc>
        <w:tc>
          <w:tcPr>
            <w:tcW w:w="66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64"/>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80" w:type="dxa"/>
            <w:vAlign w:val="bottom"/>
            <w:tcBorders>
              <w:bottom w:val="single" w:sz="8" w:color="CCEEFF"/>
              <w:right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56"/>
        </w:trPr>
        <w:tc>
          <w:tcPr>
            <w:tcW w:w="6800" w:type="dxa"/>
            <w:vAlign w:val="bottom"/>
          </w:tcPr>
          <w:p>
            <w:pPr>
              <w:ind w:left="180"/>
              <w:spacing w:after="0"/>
              <w:rPr>
                <w:sz w:val="20"/>
                <w:szCs w:val="20"/>
                <w:color w:val="auto"/>
              </w:rPr>
            </w:pPr>
            <w:r>
              <w:rPr>
                <w:rFonts w:ascii="Arial" w:cs="Arial" w:eastAsia="Arial" w:hAnsi="Arial"/>
                <w:sz w:val="18"/>
                <w:szCs w:val="18"/>
                <w:color w:val="auto"/>
              </w:rPr>
              <w:t>Class V Common Stock - $0.0001 par value; 500,000,000 shares authorized,</w:t>
            </w:r>
          </w:p>
        </w:tc>
        <w:tc>
          <w:tcPr>
            <w:tcW w:w="6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r>
      <w:tr>
        <w:trPr>
          <w:trHeight w:val="216"/>
        </w:trPr>
        <w:tc>
          <w:tcPr>
            <w:tcW w:w="6800" w:type="dxa"/>
            <w:vAlign w:val="bottom"/>
          </w:tcPr>
          <w:p>
            <w:pPr>
              <w:ind w:left="360"/>
              <w:spacing w:after="0"/>
              <w:rPr>
                <w:sz w:val="20"/>
                <w:szCs w:val="20"/>
                <w:color w:val="auto"/>
              </w:rPr>
            </w:pPr>
            <w:r>
              <w:rPr>
                <w:rFonts w:ascii="Arial" w:cs="Arial" w:eastAsia="Arial" w:hAnsi="Arial"/>
                <w:sz w:val="18"/>
                <w:szCs w:val="18"/>
                <w:color w:val="auto"/>
                <w:w w:val="99"/>
              </w:rPr>
              <w:t>65,502,347 shares issued and outstanding at December 31, 2021 and no shares</w:t>
            </w: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800" w:type="dxa"/>
            <w:vAlign w:val="bottom"/>
          </w:tcPr>
          <w:p>
            <w:pPr>
              <w:ind w:left="360"/>
              <w:spacing w:after="0"/>
              <w:rPr>
                <w:sz w:val="20"/>
                <w:szCs w:val="20"/>
                <w:color w:val="auto"/>
              </w:rPr>
            </w:pPr>
            <w:r>
              <w:rPr>
                <w:rFonts w:ascii="Arial" w:cs="Arial" w:eastAsia="Arial" w:hAnsi="Arial"/>
                <w:sz w:val="18"/>
                <w:szCs w:val="18"/>
                <w:color w:val="auto"/>
              </w:rPr>
              <w:t>issued and outstanding at December 31, 2020</w:t>
            </w:r>
          </w:p>
        </w:tc>
        <w:tc>
          <w:tcPr>
            <w:tcW w:w="660" w:type="dxa"/>
            <w:vAlign w:val="bottom"/>
          </w:tcPr>
          <w:p>
            <w:pPr>
              <w:jc w:val="right"/>
              <w:spacing w:after="0"/>
              <w:rPr>
                <w:sz w:val="20"/>
                <w:szCs w:val="20"/>
                <w:color w:val="auto"/>
              </w:rPr>
            </w:pPr>
            <w:r>
              <w:rPr>
                <w:rFonts w:ascii="Arial" w:cs="Arial" w:eastAsia="Arial" w:hAnsi="Arial"/>
                <w:sz w:val="18"/>
                <w:szCs w:val="18"/>
                <w:color w:val="auto"/>
              </w:rPr>
              <w:t>7</w:t>
            </w:r>
          </w:p>
        </w:tc>
        <w:tc>
          <w:tcPr>
            <w:tcW w:w="380" w:type="dxa"/>
            <w:vAlign w:val="bottom"/>
          </w:tcPr>
          <w:p>
            <w:pPr>
              <w:spacing w:after="0"/>
              <w:rPr>
                <w:sz w:val="20"/>
                <w:szCs w:val="20"/>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04"/>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2,173</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61,369</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48"/>
        </w:trPr>
        <w:tc>
          <w:tcPr>
            <w:tcW w:w="68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Borders>
              <w:top w:val="single" w:sz="8" w:color="auto"/>
            </w:tcBorders>
          </w:tcPr>
          <w:p>
            <w:pPr>
              <w:spacing w:after="0"/>
              <w:rPr>
                <w:sz w:val="4"/>
                <w:szCs w:val="4"/>
                <w:color w:val="auto"/>
              </w:rPr>
            </w:pPr>
          </w:p>
        </w:tc>
      </w:tr>
      <w:tr>
        <w:trPr>
          <w:trHeight w:val="318"/>
        </w:trPr>
        <w:tc>
          <w:tcPr>
            <w:tcW w:w="6800" w:type="dxa"/>
            <w:vAlign w:val="bottom"/>
            <w:tcBorders>
              <w:bottom w:val="single" w:sz="8" w:color="CCEEFF"/>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WM Technology, Inc. stockholders’ equity</w:t>
            </w:r>
          </w:p>
        </w:tc>
        <w:tc>
          <w:tcPr>
            <w:tcW w:w="1040" w:type="dxa"/>
            <w:vAlign w:val="bottom"/>
            <w:tcBorders>
              <w:bottom w:val="single" w:sz="8" w:color="CCEEFF"/>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63,556</w:t>
            </w:r>
          </w:p>
        </w:tc>
        <w:tc>
          <w:tcPr>
            <w:tcW w:w="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800" w:type="dxa"/>
            <w:vAlign w:val="bottom"/>
          </w:tcPr>
          <w:p>
            <w:pPr>
              <w:ind w:left="180"/>
              <w:spacing w:after="0"/>
              <w:rPr>
                <w:sz w:val="20"/>
                <w:szCs w:val="20"/>
                <w:color w:val="auto"/>
              </w:rPr>
            </w:pPr>
            <w:r>
              <w:rPr>
                <w:rFonts w:ascii="Arial" w:cs="Arial" w:eastAsia="Arial" w:hAnsi="Arial"/>
                <w:sz w:val="18"/>
                <w:szCs w:val="18"/>
                <w:color w:val="auto"/>
              </w:rPr>
              <w:t>Noncontrolling interests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68,384</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6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318"/>
        </w:trPr>
        <w:tc>
          <w:tcPr>
            <w:tcW w:w="680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Members’ equity</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right w:val="single" w:sz="8" w:color="CCEEFF"/>
            </w:tcBorders>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29,271</w:t>
            </w:r>
          </w:p>
        </w:tc>
      </w:tr>
      <w:tr>
        <w:trPr>
          <w:trHeight w:val="284"/>
        </w:trPr>
        <w:tc>
          <w:tcPr>
            <w:tcW w:w="6800" w:type="dxa"/>
            <w:vAlign w:val="bottom"/>
          </w:tcPr>
          <w:p>
            <w:pPr>
              <w:ind w:left="360"/>
              <w:spacing w:after="0"/>
              <w:rPr>
                <w:sz w:val="20"/>
                <w:szCs w:val="20"/>
                <w:color w:val="auto"/>
              </w:rPr>
            </w:pPr>
            <w:r>
              <w:rPr>
                <w:rFonts w:ascii="Arial" w:cs="Arial" w:eastAsia="Arial" w:hAnsi="Arial"/>
                <w:sz w:val="18"/>
                <w:szCs w:val="18"/>
                <w:color w:val="auto"/>
              </w:rPr>
              <w:t>Total equity</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131,940</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29,271</w:t>
            </w:r>
          </w:p>
        </w:tc>
        <w:tc>
          <w:tcPr>
            <w:tcW w:w="60" w:type="dxa"/>
            <w:vAlign w:val="bottom"/>
          </w:tcPr>
          <w:p>
            <w:pPr>
              <w:spacing w:after="0"/>
              <w:rPr>
                <w:sz w:val="24"/>
                <w:szCs w:val="24"/>
                <w:color w:val="auto"/>
              </w:rPr>
            </w:pPr>
          </w:p>
        </w:tc>
      </w:tr>
      <w:tr>
        <w:trPr>
          <w:trHeight w:val="48"/>
        </w:trPr>
        <w:tc>
          <w:tcPr>
            <w:tcW w:w="680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8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r>
      <w:tr>
        <w:trPr>
          <w:trHeight w:val="290"/>
        </w:trPr>
        <w:tc>
          <w:tcPr>
            <w:tcW w:w="680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liabilities and stockholders’ equity/members’ equity</w:t>
            </w:r>
          </w:p>
        </w:tc>
        <w:tc>
          <w:tcPr>
            <w:tcW w:w="1040" w:type="dxa"/>
            <w:vAlign w:val="bottom"/>
            <w:tcBorders>
              <w:right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79"/>
              </w:rPr>
              <w:t>$ 365,144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$ 53,894</w:t>
            </w:r>
          </w:p>
        </w:tc>
      </w:tr>
      <w:tr>
        <w:trPr>
          <w:trHeight w:val="27"/>
        </w:trPr>
        <w:tc>
          <w:tcPr>
            <w:tcW w:w="680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380" w:type="dxa"/>
            <w:vAlign w:val="bottom"/>
            <w:tcBorders>
              <w:top w:val="single" w:sz="8" w:color="CCEEFF"/>
              <w:right w:val="single" w:sz="8" w:color="auto"/>
            </w:tcBorders>
            <w:shd w:val="clear" w:color="auto" w:fill="CCEEFF"/>
          </w:tcPr>
          <w:p>
            <w:pPr>
              <w:spacing w:after="0"/>
              <w:rPr>
                <w:sz w:val="2"/>
                <w:szCs w:val="2"/>
                <w:color w:val="auto"/>
              </w:rPr>
            </w:pPr>
          </w:p>
        </w:tc>
        <w:tc>
          <w:tcPr>
            <w:tcW w:w="52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-8897620</wp:posOffset>
            </wp:positionV>
            <wp:extent cx="20574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-8897620</wp:posOffset>
            </wp:positionV>
            <wp:extent cx="10287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9019"/>
          </w:cols>
          <w:pgMar w:left="1440" w:top="265" w:right="1440" w:bottom="0" w:gutter="0" w:footer="0" w:header="0"/>
        </w:sectPr>
      </w:pPr>
    </w:p>
    <w:bookmarkStart w:id="136" w:name="page137"/>
    <w:bookmarkEnd w:id="136"/>
    <w:p>
      <w:pPr>
        <w:jc w:val="center"/>
        <w:ind w:right="19"/>
        <w:spacing w:after="0"/>
        <w:rPr>
          <w:sz w:val="20"/>
          <w:szCs w:val="20"/>
          <w:color w:val="auto"/>
        </w:rPr>
      </w:pPr>
      <w:r>
        <w:rPr>
          <w:rFonts w:ascii="Arial" w:cs="Arial" w:eastAsia="Arial" w:hAnsi="Arial"/>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147955</wp:posOffset>
            </wp:positionV>
            <wp:extent cx="699516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7" w:name="page138"/>
    <w:bookmarkEnd w:id="13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40" w:type="dxa"/>
            <w:vAlign w:val="bottom"/>
            <w:gridSpan w:val="11"/>
          </w:tcPr>
          <w:p>
            <w:pPr>
              <w:jc w:val="right"/>
              <w:ind w:right="4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00" w:type="dxa"/>
            <w:vAlign w:val="bottom"/>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600" w:type="dxa"/>
            <w:vAlign w:val="bottom"/>
          </w:tcPr>
          <w:p>
            <w:pPr>
              <w:spacing w:after="0"/>
              <w:rPr>
                <w:sz w:val="19"/>
                <w:szCs w:val="19"/>
                <w:color w:val="auto"/>
              </w:rPr>
            </w:pPr>
          </w:p>
        </w:tc>
        <w:tc>
          <w:tcPr>
            <w:tcW w:w="1000" w:type="dxa"/>
            <w:vAlign w:val="bottom"/>
            <w:gridSpan w:val="5"/>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6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40" w:type="dxa"/>
            <w:vAlign w:val="bottom"/>
            <w:gridSpan w:val="4"/>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60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$ 193,146</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w w:val="92"/>
              </w:rPr>
              <w:t>$ 161,791</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w w:val="89"/>
              </w:rPr>
              <w:t>$ 144,232</w:t>
            </w:r>
          </w:p>
        </w:tc>
      </w:tr>
      <w:tr>
        <w:trPr>
          <w:trHeight w:val="324"/>
        </w:trPr>
        <w:tc>
          <w:tcPr>
            <w:tcW w:w="5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Cost of revenues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7,938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7,630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7,074</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56,119</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30,716</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39,746</w:t>
            </w: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Product development</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35,395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27,142</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29,497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160" w:type="dxa"/>
            <w:vAlign w:val="bottom"/>
            <w:tcBorders>
              <w:bottom w:val="single" w:sz="8" w:color="CCEEFF"/>
            </w:tcBorders>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97,447</w:t>
            </w:r>
          </w:p>
        </w:tc>
        <w:tc>
          <w:tcPr>
            <w:tcW w:w="92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51,127</w:t>
            </w:r>
          </w:p>
        </w:tc>
        <w:tc>
          <w:tcPr>
            <w:tcW w:w="7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56,466</w:t>
            </w:r>
          </w:p>
        </w:tc>
      </w:tr>
      <w:tr>
        <w:trPr>
          <w:trHeight w:val="256"/>
        </w:trPr>
        <w:tc>
          <w:tcPr>
            <w:tcW w:w="560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4,425</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3,978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5,162</w:t>
            </w:r>
          </w:p>
        </w:tc>
      </w:tr>
      <w:tr>
        <w:trPr>
          <w:trHeight w:val="61"/>
        </w:trPr>
        <w:tc>
          <w:tcPr>
            <w:tcW w:w="56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62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201,324</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120,593</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137,945</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3"/>
        </w:trPr>
        <w:tc>
          <w:tcPr>
            <w:tcW w:w="5600" w:type="dxa"/>
            <w:vAlign w:val="bottom"/>
          </w:tcPr>
          <w:p>
            <w:pPr>
              <w:spacing w:after="0"/>
              <w:rPr>
                <w:sz w:val="20"/>
                <w:szCs w:val="20"/>
                <w:color w:val="auto"/>
              </w:rPr>
            </w:pPr>
            <w:r>
              <w:rPr>
                <w:rFonts w:ascii="Arial" w:cs="Arial" w:eastAsia="Arial" w:hAnsi="Arial"/>
                <w:sz w:val="18"/>
                <w:szCs w:val="18"/>
                <w:color w:val="auto"/>
              </w:rPr>
              <w:t>Operating (loss) income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(8,178)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41,198</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6,287</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Change in fair value of warrant liability</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 net</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(6,723)</w:t>
            </w:r>
          </w:p>
        </w:tc>
        <w:tc>
          <w:tcPr>
            <w:tcW w:w="9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(2,368)</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(5,341)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151,617</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946</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(601)</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84"/>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152,218</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(375)</w:t>
            </w: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7"/>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noncontrolling interests</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91,835</w:t>
            </w: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6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270"/>
        </w:trPr>
        <w:tc>
          <w:tcPr>
            <w:tcW w:w="5600" w:type="dxa"/>
            <w:vAlign w:val="bottom"/>
          </w:tcPr>
          <w:p>
            <w:pPr>
              <w:ind w:left="180"/>
              <w:spacing w:after="0"/>
              <w:rPr>
                <w:sz w:val="20"/>
                <w:szCs w:val="20"/>
                <w:color w:val="auto"/>
              </w:rPr>
            </w:pPr>
            <w:r>
              <w:rPr>
                <w:rFonts w:ascii="Arial" w:cs="Arial" w:eastAsia="Arial" w:hAnsi="Arial"/>
                <w:sz w:val="18"/>
                <w:szCs w:val="18"/>
                <w:color w:val="auto"/>
              </w:rPr>
              <w:t>Net income (loss) attributable to WM Technology, Inc.</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$ 60,383</w:t>
            </w:r>
          </w:p>
        </w:tc>
        <w:tc>
          <w:tcPr>
            <w:tcW w:w="920" w:type="dxa"/>
            <w:vAlign w:val="bottom"/>
            <w:gridSpan w:val="5"/>
          </w:tcPr>
          <w:p>
            <w:pPr>
              <w:jc w:val="right"/>
              <w:ind w:right="160"/>
              <w:spacing w:after="0"/>
              <w:rPr>
                <w:sz w:val="20"/>
                <w:szCs w:val="20"/>
                <w:color w:val="auto"/>
              </w:rPr>
            </w:pPr>
            <w:r>
              <w:rPr>
                <w:rFonts w:ascii="Arial" w:cs="Arial" w:eastAsia="Arial" w:hAnsi="Arial"/>
                <w:sz w:val="18"/>
                <w:szCs w:val="18"/>
                <w:color w:val="auto"/>
              </w:rPr>
              <w:t>$ 38,830</w:t>
            </w:r>
          </w:p>
        </w:tc>
        <w:tc>
          <w:tcPr>
            <w:tcW w:w="740" w:type="dxa"/>
            <w:vAlign w:val="bottom"/>
            <w:gridSpan w:val="4"/>
          </w:tcPr>
          <w:p>
            <w:pPr>
              <w:jc w:val="right"/>
              <w:spacing w:after="0"/>
              <w:rPr>
                <w:sz w:val="20"/>
                <w:szCs w:val="20"/>
                <w:color w:val="auto"/>
              </w:rPr>
            </w:pPr>
            <w:r>
              <w:rPr>
                <w:rFonts w:ascii="Arial" w:cs="Arial" w:eastAsia="Arial" w:hAnsi="Arial"/>
                <w:sz w:val="18"/>
                <w:szCs w:val="18"/>
                <w:color w:val="auto"/>
              </w:rPr>
              <w:t>$ (375)</w:t>
            </w:r>
          </w:p>
        </w:tc>
      </w:tr>
      <w:tr>
        <w:trPr>
          <w:trHeight w:val="20"/>
        </w:trPr>
        <w:tc>
          <w:tcPr>
            <w:tcW w:w="5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income per share</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$ 0.93</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65"/>
        </w:trPr>
        <w:tc>
          <w:tcPr>
            <w:tcW w:w="5600" w:type="dxa"/>
            <w:vAlign w:val="bottom"/>
          </w:tcPr>
          <w:p>
            <w:pPr>
              <w:ind w:left="180"/>
              <w:spacing w:after="0"/>
              <w:rPr>
                <w:sz w:val="20"/>
                <w:szCs w:val="20"/>
                <w:color w:val="auto"/>
              </w:rPr>
            </w:pPr>
            <w:r>
              <w:rPr>
                <w:rFonts w:ascii="Arial" w:cs="Arial" w:eastAsia="Arial" w:hAnsi="Arial"/>
                <w:sz w:val="18"/>
                <w:szCs w:val="18"/>
                <w:color w:val="auto"/>
              </w:rPr>
              <w:t>Diluted loss per share</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 (0.18)</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324"/>
        </w:trPr>
        <w:tc>
          <w:tcPr>
            <w:tcW w:w="56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r>
      <w:tr>
        <w:trPr>
          <w:trHeight w:val="270"/>
        </w:trPr>
        <w:tc>
          <w:tcPr>
            <w:tcW w:w="5600" w:type="dxa"/>
            <w:vAlign w:val="bottom"/>
          </w:tcPr>
          <w:p>
            <w:pPr>
              <w:spacing w:after="0"/>
              <w:rPr>
                <w:sz w:val="20"/>
                <w:szCs w:val="20"/>
                <w:color w:val="auto"/>
              </w:rPr>
            </w:pPr>
            <w:r>
              <w:rPr>
                <w:rFonts w:ascii="Arial" w:cs="Arial" w:eastAsia="Arial" w:hAnsi="Arial"/>
                <w:sz w:val="18"/>
                <w:szCs w:val="18"/>
                <w:color w:val="auto"/>
              </w:rPr>
              <w:t>Class A Common Stock:</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60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65"/>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basic shares outstanding</w:t>
            </w:r>
          </w:p>
        </w:tc>
        <w:tc>
          <w:tcPr>
            <w:tcW w:w="1160" w:type="dxa"/>
            <w:vAlign w:val="bottom"/>
            <w:gridSpan w:val="6"/>
            <w:shd w:val="clear" w:color="auto" w:fill="CCEEFF"/>
          </w:tcPr>
          <w:p>
            <w:pPr>
              <w:jc w:val="right"/>
              <w:ind w:right="160"/>
              <w:spacing w:after="0"/>
              <w:rPr>
                <w:sz w:val="20"/>
                <w:szCs w:val="20"/>
                <w:color w:val="auto"/>
              </w:rPr>
            </w:pPr>
            <w:r>
              <w:rPr>
                <w:rFonts w:ascii="Arial" w:cs="Arial" w:eastAsia="Arial" w:hAnsi="Arial"/>
                <w:sz w:val="18"/>
                <w:szCs w:val="18"/>
                <w:color w:val="auto"/>
              </w:rPr>
              <w:t>65,013,517</w:t>
            </w:r>
          </w:p>
        </w:tc>
        <w:tc>
          <w:tcPr>
            <w:tcW w:w="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r>
        <w:trPr>
          <w:trHeight w:val="433"/>
        </w:trPr>
        <w:tc>
          <w:tcPr>
            <w:tcW w:w="5600" w:type="dxa"/>
            <w:vAlign w:val="bottom"/>
          </w:tcPr>
          <w:p>
            <w:pPr>
              <w:ind w:left="180"/>
              <w:spacing w:after="0"/>
              <w:rPr>
                <w:sz w:val="20"/>
                <w:szCs w:val="20"/>
                <w:color w:val="auto"/>
              </w:rPr>
            </w:pPr>
            <w:r>
              <w:rPr>
                <w:rFonts w:ascii="Arial" w:cs="Arial" w:eastAsia="Arial" w:hAnsi="Arial"/>
                <w:sz w:val="18"/>
                <w:szCs w:val="18"/>
                <w:color w:val="auto"/>
              </w:rPr>
              <w:t>Weighted average diluted shares outstanding</w:t>
            </w:r>
          </w:p>
        </w:tc>
        <w:tc>
          <w:tcPr>
            <w:tcW w:w="1160" w:type="dxa"/>
            <w:vAlign w:val="bottom"/>
            <w:gridSpan w:val="6"/>
          </w:tcPr>
          <w:p>
            <w:pPr>
              <w:jc w:val="right"/>
              <w:ind w:right="160"/>
              <w:spacing w:after="0"/>
              <w:rPr>
                <w:sz w:val="20"/>
                <w:szCs w:val="20"/>
                <w:color w:val="auto"/>
              </w:rPr>
            </w:pPr>
            <w:r>
              <w:rPr>
                <w:rFonts w:ascii="Arial" w:cs="Arial" w:eastAsia="Arial" w:hAnsi="Arial"/>
                <w:sz w:val="18"/>
                <w:szCs w:val="18"/>
                <w:color w:val="auto"/>
              </w:rPr>
              <w:t>66,813,417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r>
              <w:rPr>
                <w:rFonts w:ascii="Arial" w:cs="Arial" w:eastAsia="Arial" w:hAnsi="Arial"/>
                <w:sz w:val="29"/>
                <w:szCs w:val="29"/>
                <w:color w:val="auto"/>
                <w:vertAlign w:val="superscript"/>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-5649595</wp:posOffset>
            </wp:positionV>
            <wp:extent cx="1028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-5649595</wp:posOffset>
            </wp:positionV>
            <wp:extent cx="1028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-5649595</wp:posOffset>
            </wp:positionV>
            <wp:extent cx="514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3" w:lineRule="exact"/>
        <w:rPr>
          <w:sz w:val="20"/>
          <w:szCs w:val="20"/>
          <w:color w:val="auto"/>
        </w:rPr>
      </w:pPr>
    </w:p>
    <w:p>
      <w:pPr>
        <w:jc w:val="both"/>
        <w:ind w:left="640" w:right="299" w:hanging="348"/>
        <w:spacing w:after="0" w:line="204" w:lineRule="auto"/>
        <w:tabs>
          <w:tab w:leader="none" w:pos="640" w:val="left"/>
        </w:tabs>
        <w:numPr>
          <w:ilvl w:val="0"/>
          <w:numId w:val="79"/>
        </w:numPr>
        <w:rPr>
          <w:rFonts w:ascii="Arial" w:cs="Arial" w:eastAsia="Arial" w:hAnsi="Arial"/>
          <w:sz w:val="22"/>
          <w:szCs w:val="22"/>
          <w:color w:val="auto"/>
          <w:vertAlign w:val="superscript"/>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(Note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-427355</wp:posOffset>
            </wp:positionV>
            <wp:extent cx="8229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8" w:name="page139"/>
    <w:bookmarkEnd w:id="13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data)</w:t>
      </w:r>
    </w:p>
    <w:p>
      <w:pPr>
        <w:spacing w:after="0" w:line="16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40" w:type="dxa"/>
            <w:vAlign w:val="bottom"/>
            <w:gridSpan w:val="6"/>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Common Stock</w:t>
            </w:r>
          </w:p>
        </w:tc>
        <w:tc>
          <w:tcPr>
            <w:tcW w:w="13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Total WM</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440" w:type="dxa"/>
            <w:vAlign w:val="bottom"/>
            <w:gridSpan w:val="6"/>
            <w:vMerge w:val="continue"/>
          </w:tcPr>
          <w:p>
            <w:pPr>
              <w:spacing w:after="0"/>
              <w:rPr>
                <w:sz w:val="7"/>
                <w:szCs w:val="7"/>
                <w:color w:val="auto"/>
              </w:rPr>
            </w:pPr>
          </w:p>
        </w:tc>
        <w:tc>
          <w:tcPr>
            <w:tcW w:w="1360" w:type="dxa"/>
            <w:vAlign w:val="bottom"/>
            <w:gridSpan w:val="6"/>
            <w:vMerge w:val="continue"/>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Technology,</w:t>
            </w: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6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6"/>
            <w:vMerge w:val="restart"/>
          </w:tcPr>
          <w:p>
            <w:pPr>
              <w:jc w:val="center"/>
              <w:ind w:right="100"/>
              <w:spacing w:after="0"/>
              <w:rPr>
                <w:sz w:val="20"/>
                <w:szCs w:val="20"/>
                <w:color w:val="auto"/>
              </w:rPr>
            </w:pPr>
            <w:r>
              <w:rPr>
                <w:rFonts w:ascii="Arial" w:cs="Arial" w:eastAsia="Arial" w:hAnsi="Arial"/>
                <w:sz w:val="14"/>
                <w:szCs w:val="14"/>
                <w:b w:val="1"/>
                <w:bCs w:val="1"/>
                <w:color w:val="auto"/>
                <w:w w:val="89"/>
              </w:rPr>
              <w:t>Class A</w:t>
            </w:r>
          </w:p>
        </w:tc>
        <w:tc>
          <w:tcPr>
            <w:tcW w:w="1360" w:type="dxa"/>
            <w:vAlign w:val="bottom"/>
            <w:gridSpan w:val="6"/>
            <w:vMerge w:val="restart"/>
          </w:tcPr>
          <w:p>
            <w:pPr>
              <w:jc w:val="right"/>
              <w:ind w:right="480"/>
              <w:spacing w:after="0"/>
              <w:rPr>
                <w:sz w:val="20"/>
                <w:szCs w:val="20"/>
                <w:color w:val="auto"/>
              </w:rPr>
            </w:pPr>
            <w:r>
              <w:rPr>
                <w:rFonts w:ascii="Arial" w:cs="Arial" w:eastAsia="Arial" w:hAnsi="Arial"/>
                <w:sz w:val="14"/>
                <w:szCs w:val="14"/>
                <w:b w:val="1"/>
                <w:bCs w:val="1"/>
                <w:color w:val="auto"/>
              </w:rPr>
              <w:t>Class V</w:t>
            </w: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40" w:type="dxa"/>
            <w:vAlign w:val="bottom"/>
            <w:gridSpan w:val="6"/>
            <w:vMerge w:val="continue"/>
          </w:tcPr>
          <w:p>
            <w:pPr>
              <w:spacing w:after="0"/>
              <w:rPr>
                <w:sz w:val="10"/>
                <w:szCs w:val="10"/>
                <w:color w:val="auto"/>
              </w:rPr>
            </w:pPr>
          </w:p>
        </w:tc>
        <w:tc>
          <w:tcPr>
            <w:tcW w:w="1360" w:type="dxa"/>
            <w:vAlign w:val="bottom"/>
            <w:gridSpan w:val="6"/>
            <w:vMerge w:val="continue"/>
          </w:tcPr>
          <w:p>
            <w:pPr>
              <w:spacing w:after="0"/>
              <w:rPr>
                <w:sz w:val="10"/>
                <w:szCs w:val="10"/>
                <w:color w:val="auto"/>
              </w:rPr>
            </w:pPr>
          </w:p>
        </w:tc>
        <w:tc>
          <w:tcPr>
            <w:tcW w:w="720" w:type="dxa"/>
            <w:vAlign w:val="bottom"/>
            <w:gridSpan w:val="5"/>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gridSpan w:val="4"/>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Inc.</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gridSpan w:val="5"/>
            <w:vMerge w:val="continue"/>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gridSpan w:val="4"/>
            <w:vMerge w:val="continue"/>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
        </w:trPr>
        <w:tc>
          <w:tcPr>
            <w:tcW w:w="1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5"/>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Paid-in</w:t>
            </w:r>
          </w:p>
        </w:tc>
        <w:tc>
          <w:tcPr>
            <w:tcW w:w="2940" w:type="dxa"/>
            <w:vAlign w:val="bottom"/>
            <w:gridSpan w:val="20"/>
            <w:vMerge w:val="restart"/>
          </w:tcPr>
          <w:p>
            <w:pPr>
              <w:spacing w:after="0" w:line="149" w:lineRule="exact"/>
              <w:rPr>
                <w:sz w:val="20"/>
                <w:szCs w:val="20"/>
                <w:color w:val="auto"/>
              </w:rPr>
            </w:pPr>
            <w:r>
              <w:rPr>
                <w:rFonts w:ascii="Arial" w:cs="Arial" w:eastAsia="Arial" w:hAnsi="Arial"/>
                <w:sz w:val="14"/>
                <w:szCs w:val="14"/>
                <w:b w:val="1"/>
                <w:bCs w:val="1"/>
                <w:color w:val="auto"/>
                <w:w w:val="97"/>
              </w:rPr>
              <w:t>Retained Stockholders' controlling Members’</w:t>
            </w: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jc w:val="right"/>
              <w:ind w:right="68"/>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06"/>
        </w:trPr>
        <w:tc>
          <w:tcPr>
            <w:tcW w:w="136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Par Value</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w w:val="90"/>
              </w:rPr>
              <w:t>Par Value</w:t>
            </w:r>
          </w:p>
        </w:tc>
        <w:tc>
          <w:tcPr>
            <w:tcW w:w="720" w:type="dxa"/>
            <w:vAlign w:val="bottom"/>
            <w:gridSpan w:val="5"/>
            <w:vMerge w:val="continue"/>
          </w:tcPr>
          <w:p>
            <w:pPr>
              <w:spacing w:after="0"/>
              <w:rPr>
                <w:sz w:val="9"/>
                <w:szCs w:val="9"/>
                <w:color w:val="auto"/>
              </w:rPr>
            </w:pPr>
          </w:p>
        </w:tc>
        <w:tc>
          <w:tcPr>
            <w:tcW w:w="2940" w:type="dxa"/>
            <w:vAlign w:val="bottom"/>
            <w:gridSpan w:val="20"/>
            <w:vMerge w:val="continue"/>
          </w:tcPr>
          <w:p>
            <w:pPr>
              <w:spacing w:after="0"/>
              <w:rPr>
                <w:sz w:val="9"/>
                <w:szCs w:val="9"/>
                <w:color w:val="auto"/>
              </w:rPr>
            </w:pPr>
          </w:p>
        </w:tc>
        <w:tc>
          <w:tcPr>
            <w:tcW w:w="40" w:type="dxa"/>
            <w:vAlign w:val="bottom"/>
            <w:vMerge w:val="continue"/>
          </w:tcPr>
          <w:p>
            <w:pPr>
              <w:spacing w:after="0"/>
              <w:rPr>
                <w:sz w:val="9"/>
                <w:szCs w:val="9"/>
                <w:color w:val="auto"/>
              </w:rPr>
            </w:pPr>
          </w:p>
        </w:tc>
        <w:tc>
          <w:tcPr>
            <w:tcW w:w="2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700" w:type="dxa"/>
            <w:vAlign w:val="bottom"/>
            <w:gridSpan w:val="4"/>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660" w:type="dxa"/>
            <w:vAlign w:val="bottom"/>
            <w:gridSpan w:val="4"/>
            <w:vMerge w:val="continue"/>
          </w:tcPr>
          <w:p>
            <w:pPr>
              <w:spacing w:after="0"/>
              <w:rPr>
                <w:sz w:val="16"/>
                <w:szCs w:val="16"/>
                <w:color w:val="auto"/>
              </w:rPr>
            </w:pPr>
          </w:p>
        </w:tc>
        <w:tc>
          <w:tcPr>
            <w:tcW w:w="7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8"/>
              </w:rPr>
              <w:t>Capital</w:t>
            </w:r>
          </w:p>
        </w:tc>
        <w:tc>
          <w:tcPr>
            <w:tcW w:w="620" w:type="dxa"/>
            <w:vAlign w:val="bottom"/>
            <w:gridSpan w:val="6"/>
          </w:tcPr>
          <w:p>
            <w:pPr>
              <w:spacing w:after="0"/>
              <w:rPr>
                <w:sz w:val="20"/>
                <w:szCs w:val="20"/>
                <w:color w:val="auto"/>
              </w:rPr>
            </w:pPr>
            <w:r>
              <w:rPr>
                <w:rFonts w:ascii="Arial" w:cs="Arial" w:eastAsia="Arial" w:hAnsi="Arial"/>
                <w:sz w:val="14"/>
                <w:szCs w:val="14"/>
                <w:b w:val="1"/>
                <w:bCs w:val="1"/>
                <w:color w:val="auto"/>
              </w:rPr>
              <w:t>Earnings</w:t>
            </w:r>
          </w:p>
        </w:tc>
        <w:tc>
          <w:tcPr>
            <w:tcW w:w="9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Equity</w:t>
            </w:r>
          </w:p>
        </w:tc>
        <w:tc>
          <w:tcPr>
            <w:tcW w:w="720" w:type="dxa"/>
            <w:vAlign w:val="bottom"/>
            <w:gridSpan w:val="5"/>
          </w:tcPr>
          <w:p>
            <w:pPr>
              <w:ind w:left="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6"/>
                <w:szCs w:val="16"/>
                <w:color w:val="auto"/>
              </w:rPr>
            </w:pPr>
          </w:p>
        </w:tc>
        <w:tc>
          <w:tcPr>
            <w:tcW w:w="6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Equity</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53"/>
        </w:trPr>
        <w:tc>
          <w:tcPr>
            <w:tcW w:w="13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5"/>
                <w:szCs w:val="15"/>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5"/>
                <w:szCs w:val="15"/>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5"/>
                <w:szCs w:val="15"/>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$ 30,124</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$ 30,124</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(15,382)</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(15,382)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(1,567)</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(1,567)</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(375)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24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40" w:type="dxa"/>
            <w:vAlign w:val="bottom"/>
            <w:gridSpan w:val="4"/>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center"/>
              <w:ind w:left="248"/>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260" w:type="dxa"/>
            <w:vAlign w:val="bottom"/>
            <w:gridSpan w:val="3"/>
            <w:vMerge w:val="restart"/>
            <w:shd w:val="clear" w:color="auto" w:fill="CCEEFF"/>
          </w:tcPr>
          <w:p>
            <w:pPr>
              <w:ind w:left="160"/>
              <w:spacing w:after="0"/>
              <w:rPr>
                <w:sz w:val="20"/>
                <w:szCs w:val="20"/>
                <w:color w:val="auto"/>
              </w:rPr>
            </w:pPr>
            <w:r>
              <w:rPr>
                <w:rFonts w:ascii="Arial" w:cs="Arial" w:eastAsia="Arial" w:hAnsi="Arial"/>
                <w:sz w:val="14"/>
                <w:szCs w:val="14"/>
                <w:b w:val="1"/>
                <w:bCs w:val="1"/>
                <w:color w:val="auto"/>
              </w:rPr>
              <w:t>$</w:t>
            </w: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$ 12,800</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$ 12,800</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240" w:type="dxa"/>
            <w:vAlign w:val="bottom"/>
            <w:tcBorders>
              <w:bottom w:val="single" w:sz="8" w:color="CCEEFF"/>
            </w:tcBorders>
            <w:gridSpan w:val="3"/>
            <w:vMerge w:val="continue"/>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240" w:type="dxa"/>
            <w:vAlign w:val="bottom"/>
            <w:tcBorders>
              <w:bottom w:val="single" w:sz="8" w:color="CCEEFF"/>
            </w:tcBorders>
            <w:gridSpan w:val="4"/>
            <w:vMerge w:val="continue"/>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440" w:type="dxa"/>
            <w:vAlign w:val="bottom"/>
            <w:tcBorders>
              <w:bottom w:val="single" w:sz="8" w:color="CCEEFF"/>
            </w:tcBorders>
            <w:gridSpan w:val="2"/>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260" w:type="dxa"/>
            <w:vAlign w:val="bottom"/>
            <w:tcBorders>
              <w:bottom w:val="single" w:sz="8" w:color="CCEEFF"/>
            </w:tcBorders>
            <w:gridSpan w:val="3"/>
            <w:vMerge w:val="continue"/>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360" w:type="dxa"/>
            <w:vAlign w:val="bottom"/>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(21,953)</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(21,953)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(406)</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3"/>
        </w:trPr>
        <w:tc>
          <w:tcPr>
            <w:tcW w:w="13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38,830</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38,830</w:t>
            </w:r>
          </w:p>
        </w:tc>
        <w:tc>
          <w:tcPr>
            <w:tcW w:w="0" w:type="dxa"/>
            <w:vAlign w:val="bottom"/>
          </w:tcPr>
          <w:p>
            <w:pPr>
              <w:spacing w:after="0"/>
              <w:rPr>
                <w:sz w:val="1"/>
                <w:szCs w:val="1"/>
                <w:color w:val="auto"/>
              </w:rPr>
            </w:pPr>
          </w:p>
        </w:tc>
      </w:tr>
      <w:tr>
        <w:trPr>
          <w:trHeight w:val="48"/>
        </w:trPr>
        <w:tc>
          <w:tcPr>
            <w:tcW w:w="136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6"/>
                <w:szCs w:val="16"/>
                <w:color w:val="auto"/>
              </w:rPr>
            </w:pPr>
          </w:p>
        </w:tc>
        <w:tc>
          <w:tcPr>
            <w:tcW w:w="30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w w:val="91"/>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16"/>
                <w:szCs w:val="16"/>
                <w:color w:val="auto"/>
              </w:rPr>
            </w:pPr>
          </w:p>
        </w:tc>
        <w:tc>
          <w:tcPr>
            <w:tcW w:w="28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w w:val="91"/>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 —</w:t>
            </w:r>
          </w:p>
        </w:tc>
        <w:tc>
          <w:tcPr>
            <w:tcW w:w="700" w:type="dxa"/>
            <w:vAlign w:val="bottom"/>
            <w:gridSpan w:val="5"/>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$ 29,271</w:t>
            </w:r>
          </w:p>
        </w:tc>
        <w:tc>
          <w:tcPr>
            <w:tcW w:w="5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$ 29,271</w:t>
            </w:r>
          </w:p>
        </w:tc>
        <w:tc>
          <w:tcPr>
            <w:tcW w:w="0" w:type="dxa"/>
            <w:vAlign w:val="bottom"/>
          </w:tcPr>
          <w:p>
            <w:pPr>
              <w:spacing w:after="0"/>
              <w:rPr>
                <w:sz w:val="1"/>
                <w:szCs w:val="1"/>
                <w:color w:val="auto"/>
              </w:rPr>
            </w:pPr>
          </w:p>
        </w:tc>
      </w:tr>
      <w:tr>
        <w:trPr>
          <w:trHeight w:val="205"/>
        </w:trPr>
        <w:tc>
          <w:tcPr>
            <w:tcW w:w="1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vMerge w:val="continue"/>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3"/>
            <w:vMerge w:val="continue"/>
            <w:shd w:val="clear" w:color="auto" w:fill="CCEEFF"/>
          </w:tcPr>
          <w:p>
            <w:pPr>
              <w:spacing w:after="0"/>
              <w:rPr>
                <w:sz w:val="17"/>
                <w:szCs w:val="17"/>
                <w:color w:val="auto"/>
              </w:rPr>
            </w:pPr>
          </w:p>
        </w:tc>
        <w:tc>
          <w:tcPr>
            <w:tcW w:w="700" w:type="dxa"/>
            <w:vAlign w:val="bottom"/>
            <w:tcBorders>
              <w:bottom w:val="single" w:sz="8" w:color="CCEEFF"/>
            </w:tcBorders>
            <w:gridSpan w:val="2"/>
            <w:vMerge w:val="continue"/>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vMerge w:val="continue"/>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vMerge w:val="continue"/>
            <w:shd w:val="clear" w:color="auto" w:fill="CCEEFF"/>
          </w:tcPr>
          <w:p>
            <w:pPr>
              <w:spacing w:after="0"/>
              <w:rPr>
                <w:sz w:val="17"/>
                <w:szCs w:val="17"/>
                <w:color w:val="auto"/>
              </w:rPr>
            </w:pPr>
          </w:p>
        </w:tc>
        <w:tc>
          <w:tcPr>
            <w:tcW w:w="700" w:type="dxa"/>
            <w:vAlign w:val="bottom"/>
            <w:tcBorders>
              <w:bottom w:val="single" w:sz="8" w:color="CCEEFF"/>
            </w:tcBorders>
            <w:gridSpan w:val="5"/>
            <w:vMerge w:val="continue"/>
            <w:shd w:val="clear" w:color="auto" w:fill="CCEEFF"/>
          </w:tcPr>
          <w:p>
            <w:pPr>
              <w:spacing w:after="0"/>
              <w:rPr>
                <w:sz w:val="17"/>
                <w:szCs w:val="17"/>
                <w:color w:val="auto"/>
              </w:rPr>
            </w:pPr>
          </w:p>
        </w:tc>
        <w:tc>
          <w:tcPr>
            <w:tcW w:w="580" w:type="dxa"/>
            <w:vAlign w:val="bottom"/>
            <w:tcBorders>
              <w:bottom w:val="single" w:sz="8" w:color="CCEEFF"/>
            </w:tcBorders>
            <w:gridSpan w:val="3"/>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Stock-based</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9,570</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20,853</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30,423</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7"/>
        </w:trPr>
        <w:tc>
          <w:tcPr>
            <w:tcW w:w="1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Distributions</w:t>
            </w:r>
          </w:p>
        </w:tc>
        <w:tc>
          <w:tcPr>
            <w:tcW w:w="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(888)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(18,110)</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(18,998)</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Repurchase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Class B Units</w:t>
            </w:r>
          </w:p>
        </w:tc>
        <w:tc>
          <w:tcPr>
            <w:tcW w:w="20" w:type="dxa"/>
            <w:vAlign w:val="bottom"/>
          </w:tcPr>
          <w:p>
            <w:pPr>
              <w:spacing w:after="0"/>
              <w:rPr>
                <w:sz w:val="15"/>
                <w:szCs w:val="15"/>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gridSpan w:val="5"/>
          </w:tcPr>
          <w:p>
            <w:pPr>
              <w:jc w:val="right"/>
              <w:ind w:right="60"/>
              <w:spacing w:after="0"/>
              <w:rPr>
                <w:sz w:val="20"/>
                <w:szCs w:val="20"/>
                <w:color w:val="auto"/>
              </w:rPr>
            </w:pPr>
            <w:r>
              <w:rPr>
                <w:rFonts w:ascii="Arial" w:cs="Arial" w:eastAsia="Arial" w:hAnsi="Arial"/>
                <w:sz w:val="14"/>
                <w:szCs w:val="14"/>
                <w:color w:val="auto"/>
              </w:rPr>
              <w:t>(5,565)</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(5,565)</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3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and</w:t>
            </w:r>
          </w:p>
        </w:tc>
        <w:tc>
          <w:tcPr>
            <w:tcW w:w="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w w:val="96"/>
              </w:rPr>
              <w:t>shares issued in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the Business</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shd w:val="clear" w:color="auto" w:fill="CCEEFF"/>
          </w:tcPr>
          <w:p>
            <w:pPr>
              <w:ind w:left="360"/>
              <w:spacing w:after="0" w:line="149" w:lineRule="exact"/>
              <w:rPr>
                <w:sz w:val="20"/>
                <w:szCs w:val="20"/>
                <w:color w:val="auto"/>
              </w:rPr>
            </w:pPr>
            <w:r>
              <w:rPr>
                <w:rFonts w:ascii="Arial" w:cs="Arial" w:eastAsia="Arial" w:hAnsi="Arial"/>
                <w:sz w:val="14"/>
                <w:szCs w:val="14"/>
                <w:color w:val="auto"/>
              </w:rPr>
              <w:t>Combination</w:t>
            </w:r>
          </w:p>
        </w:tc>
        <w:tc>
          <w:tcPr>
            <w:tcW w:w="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3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4"/>
                <w:szCs w:val="14"/>
                <w:color w:val="auto"/>
              </w:rPr>
              <w:t>(Note 6)</w:t>
            </w: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4"/>
              </w:rPr>
              <w:t>63,738,563</w:t>
            </w:r>
          </w:p>
        </w:tc>
        <w:tc>
          <w:tcPr>
            <w:tcW w:w="8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65,502,347</w:t>
            </w:r>
          </w:p>
        </w:tc>
        <w:tc>
          <w:tcPr>
            <w:tcW w:w="66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7</w:t>
            </w:r>
          </w:p>
        </w:tc>
        <w:tc>
          <w:tcPr>
            <w:tcW w:w="72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(20,118)</w:t>
            </w: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986</w:t>
            </w:r>
          </w:p>
        </w:tc>
        <w:tc>
          <w:tcPr>
            <w:tcW w:w="90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(19,119)</w:t>
            </w:r>
          </w:p>
        </w:tc>
        <w:tc>
          <w:tcPr>
            <w:tcW w:w="7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(44,928)</w:t>
            </w:r>
          </w:p>
        </w:tc>
        <w:tc>
          <w:tcPr>
            <w:tcW w:w="700" w:type="dxa"/>
            <w:vAlign w:val="bottom"/>
            <w:tcBorders>
              <w:bottom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(20,674)</w:t>
            </w: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(84,721)</w:t>
            </w:r>
          </w:p>
        </w:tc>
        <w:tc>
          <w:tcPr>
            <w:tcW w:w="0" w:type="dxa"/>
            <w:vAlign w:val="bottom"/>
          </w:tcPr>
          <w:p>
            <w:pPr>
              <w:spacing w:after="0"/>
              <w:rPr>
                <w:sz w:val="1"/>
                <w:szCs w:val="1"/>
                <w:color w:val="auto"/>
              </w:rPr>
            </w:pPr>
          </w:p>
        </w:tc>
      </w:tr>
      <w:tr>
        <w:trPr>
          <w:trHeight w:val="184"/>
        </w:trPr>
        <w:tc>
          <w:tcPr>
            <w:tcW w:w="1360" w:type="dxa"/>
            <w:vAlign w:val="bottom"/>
          </w:tcPr>
          <w:p>
            <w:pPr>
              <w:ind w:left="180"/>
              <w:spacing w:after="0"/>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common stock</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ind w:left="360"/>
              <w:spacing w:after="0" w:line="149" w:lineRule="exact"/>
              <w:rPr>
                <w:sz w:val="20"/>
                <w:szCs w:val="20"/>
                <w:color w:val="auto"/>
              </w:rPr>
            </w:pPr>
            <w:r>
              <w:rPr>
                <w:rFonts w:ascii="Arial" w:cs="Arial" w:eastAsia="Arial" w:hAnsi="Arial"/>
                <w:sz w:val="14"/>
                <w:szCs w:val="14"/>
                <w:color w:val="auto"/>
              </w:rPr>
              <w:t>for acquisitions</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60" w:type="dxa"/>
            <w:vAlign w:val="bottom"/>
          </w:tcPr>
          <w:p>
            <w:pPr>
              <w:ind w:left="360"/>
              <w:spacing w:after="0"/>
              <w:rPr>
                <w:sz w:val="20"/>
                <w:szCs w:val="20"/>
                <w:color w:val="auto"/>
              </w:rPr>
            </w:pPr>
            <w:r>
              <w:rPr>
                <w:rFonts w:ascii="Arial" w:cs="Arial" w:eastAsia="Arial" w:hAnsi="Arial"/>
                <w:sz w:val="14"/>
                <w:szCs w:val="14"/>
                <w:color w:val="auto"/>
              </w:rPr>
              <w:t>(Note 7)</w:t>
            </w: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1,938,798</w:t>
            </w:r>
          </w:p>
        </w:tc>
        <w:tc>
          <w:tcPr>
            <w:tcW w:w="80" w:type="dxa"/>
            <w:vAlign w:val="bottom"/>
          </w:tcPr>
          <w:p>
            <w:pPr>
              <w:spacing w:after="0"/>
              <w:rPr>
                <w:sz w:val="15"/>
                <w:szCs w:val="15"/>
                <w:color w:val="auto"/>
              </w:rPr>
            </w:pPr>
          </w:p>
        </w:tc>
        <w:tc>
          <w:tcPr>
            <w:tcW w:w="700" w:type="dxa"/>
            <w:vAlign w:val="bottom"/>
            <w:gridSpan w:val="4"/>
          </w:tcPr>
          <w:p>
            <w:pPr>
              <w:jc w:val="right"/>
              <w:ind w:right="80"/>
              <w:spacing w:after="0"/>
              <w:rPr>
                <w:sz w:val="20"/>
                <w:szCs w:val="20"/>
                <w:color w:val="auto"/>
              </w:rPr>
            </w:pPr>
            <w:r>
              <w:rPr>
                <w:rFonts w:ascii="Arial" w:cs="Arial" w:eastAsia="Arial" w:hAnsi="Arial"/>
                <w:sz w:val="14"/>
                <w:szCs w:val="14"/>
                <w:color w:val="auto"/>
              </w:rPr>
              <w:t>1</w:t>
            </w:r>
          </w:p>
        </w:tc>
        <w:tc>
          <w:tcPr>
            <w:tcW w:w="7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12,721</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4"/>
                <w:szCs w:val="14"/>
                <w:color w:val="auto"/>
                <w:w w:val="88"/>
              </w:rPr>
              <w:t>12,722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4"/>
                <w:szCs w:val="14"/>
                <w:color w:val="auto"/>
                <w:w w:val="93"/>
              </w:rPr>
              <w:t>16,590</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3"/>
        </w:trPr>
        <w:tc>
          <w:tcPr>
            <w:tcW w:w="13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20" w:type="dxa"/>
            <w:vAlign w:val="bottom"/>
            <w:gridSpan w:val="6"/>
            <w:shd w:val="clear" w:color="auto" w:fill="CCEEFF"/>
          </w:tcPr>
          <w:p>
            <w:pPr>
              <w:jc w:val="right"/>
              <w:ind w:right="60"/>
              <w:spacing w:after="0"/>
              <w:rPr>
                <w:sz w:val="20"/>
                <w:szCs w:val="20"/>
                <w:color w:val="auto"/>
              </w:rPr>
            </w:pPr>
            <w:r>
              <w:rPr>
                <w:rFonts w:ascii="Arial" w:cs="Arial" w:eastAsia="Arial" w:hAnsi="Arial"/>
                <w:sz w:val="14"/>
                <w:szCs w:val="14"/>
                <w:color w:val="auto"/>
              </w:rPr>
              <w:t>60,383</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88"/>
              </w:rPr>
              <w:t>60,383</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3"/>
              </w:rPr>
              <w:t>76,757</w:t>
            </w:r>
          </w:p>
        </w:tc>
        <w:tc>
          <w:tcPr>
            <w:tcW w:w="700" w:type="dxa"/>
            <w:vAlign w:val="bottom"/>
            <w:gridSpan w:val="5"/>
            <w:shd w:val="clear" w:color="auto" w:fill="CCEEFF"/>
          </w:tcPr>
          <w:p>
            <w:pPr>
              <w:jc w:val="right"/>
              <w:ind w:right="60"/>
              <w:spacing w:after="0"/>
              <w:rPr>
                <w:sz w:val="20"/>
                <w:szCs w:val="20"/>
                <w:color w:val="auto"/>
              </w:rPr>
            </w:pPr>
            <w:r>
              <w:rPr>
                <w:rFonts w:ascii="Arial" w:cs="Arial" w:eastAsia="Arial" w:hAnsi="Arial"/>
                <w:sz w:val="14"/>
                <w:szCs w:val="14"/>
                <w:color w:val="auto"/>
              </w:rPr>
              <w:t>15,078</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152,218</w:t>
            </w:r>
          </w:p>
        </w:tc>
        <w:tc>
          <w:tcPr>
            <w:tcW w:w="0" w:type="dxa"/>
            <w:vAlign w:val="bottom"/>
          </w:tcPr>
          <w:p>
            <w:pPr>
              <w:spacing w:after="0"/>
              <w:rPr>
                <w:sz w:val="1"/>
                <w:szCs w:val="1"/>
                <w:color w:val="auto"/>
              </w:rPr>
            </w:pPr>
          </w:p>
        </w:tc>
      </w:tr>
      <w:tr>
        <w:trPr>
          <w:trHeight w:val="48"/>
        </w:trPr>
        <w:tc>
          <w:tcPr>
            <w:tcW w:w="13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6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4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32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42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auto"/>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auto"/>
            </w:tcBorders>
            <w:shd w:val="clear" w:color="auto" w:fill="CCEEFF"/>
          </w:tcPr>
          <w:p>
            <w:pPr>
              <w:spacing w:after="0"/>
              <w:rPr>
                <w:sz w:val="4"/>
                <w:szCs w:val="4"/>
                <w:color w:val="auto"/>
              </w:rPr>
            </w:pPr>
          </w:p>
        </w:tc>
        <w:tc>
          <w:tcPr>
            <w:tcW w:w="520" w:type="dxa"/>
            <w:vAlign w:val="bottom"/>
            <w:tcBorders>
              <w:top w:val="single" w:sz="8" w:color="auto"/>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1360" w:type="dxa"/>
            <w:vAlign w:val="bottom"/>
          </w:tcPr>
          <w:p>
            <w:pPr>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vMerge w:val="restart"/>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65,677,361</w:t>
            </w:r>
          </w:p>
        </w:tc>
        <w:tc>
          <w:tcPr>
            <w:tcW w:w="80" w:type="dxa"/>
            <w:vAlign w:val="bottom"/>
          </w:tcPr>
          <w:p>
            <w:pPr>
              <w:spacing w:after="0"/>
              <w:rPr>
                <w:sz w:val="16"/>
                <w:szCs w:val="16"/>
                <w:color w:val="auto"/>
              </w:rPr>
            </w:pPr>
          </w:p>
        </w:tc>
        <w:tc>
          <w:tcPr>
            <w:tcW w:w="400" w:type="dxa"/>
            <w:vAlign w:val="bottom"/>
            <w:vMerge w:val="restart"/>
          </w:tcPr>
          <w:p>
            <w:pPr>
              <w:spacing w:after="0"/>
              <w:rPr>
                <w:sz w:val="16"/>
                <w:szCs w:val="16"/>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$ 7</w:t>
            </w:r>
          </w:p>
        </w:tc>
        <w:tc>
          <w:tcPr>
            <w:tcW w:w="80" w:type="dxa"/>
            <w:vAlign w:val="bottom"/>
            <w:vMerge w:val="restart"/>
          </w:tcPr>
          <w:p>
            <w:pPr>
              <w:spacing w:after="0"/>
              <w:rPr>
                <w:sz w:val="16"/>
                <w:szCs w:val="16"/>
                <w:color w:val="auto"/>
              </w:rPr>
            </w:pPr>
          </w:p>
        </w:tc>
        <w:tc>
          <w:tcPr>
            <w:tcW w:w="70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88"/>
              </w:rPr>
              <w:t>65,502,347</w:t>
            </w:r>
          </w:p>
        </w:tc>
        <w:tc>
          <w:tcPr>
            <w:tcW w:w="66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$ 7</w:t>
            </w:r>
          </w:p>
        </w:tc>
        <w:tc>
          <w:tcPr>
            <w:tcW w:w="720" w:type="dxa"/>
            <w:vAlign w:val="bottom"/>
            <w:gridSpan w:val="5"/>
            <w:vMerge w:val="restart"/>
          </w:tcPr>
          <w:p>
            <w:pPr>
              <w:jc w:val="right"/>
              <w:ind w:right="60"/>
              <w:spacing w:after="0"/>
              <w:rPr>
                <w:sz w:val="20"/>
                <w:szCs w:val="20"/>
                <w:color w:val="auto"/>
              </w:rPr>
            </w:pPr>
            <w:r>
              <w:rPr>
                <w:rFonts w:ascii="Arial" w:cs="Arial" w:eastAsia="Arial" w:hAnsi="Arial"/>
                <w:sz w:val="14"/>
                <w:szCs w:val="14"/>
                <w:b w:val="1"/>
                <w:bCs w:val="1"/>
                <w:color w:val="auto"/>
              </w:rPr>
              <w:t>$ 2,173</w:t>
            </w:r>
          </w:p>
        </w:tc>
        <w:tc>
          <w:tcPr>
            <w:tcW w:w="620" w:type="dxa"/>
            <w:vAlign w:val="bottom"/>
            <w:gridSpan w:val="6"/>
            <w:vMerge w:val="restart"/>
          </w:tcPr>
          <w:p>
            <w:pPr>
              <w:jc w:val="right"/>
              <w:ind w:right="60"/>
              <w:spacing w:after="0"/>
              <w:rPr>
                <w:sz w:val="20"/>
                <w:szCs w:val="20"/>
                <w:color w:val="auto"/>
              </w:rPr>
            </w:pPr>
            <w:r>
              <w:rPr>
                <w:rFonts w:ascii="Arial" w:cs="Arial" w:eastAsia="Arial" w:hAnsi="Arial"/>
                <w:sz w:val="14"/>
                <w:szCs w:val="14"/>
                <w:b w:val="1"/>
                <w:bCs w:val="1"/>
                <w:color w:val="auto"/>
                <w:w w:val="99"/>
              </w:rPr>
              <w:t>$ 61,369</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$ 63,556</w:t>
            </w:r>
          </w:p>
        </w:tc>
        <w:tc>
          <w:tcPr>
            <w:tcW w:w="720" w:type="dxa"/>
            <w:vAlign w:val="bottom"/>
            <w:gridSpan w:val="5"/>
            <w:vMerge w:val="restart"/>
          </w:tcPr>
          <w:p>
            <w:pPr>
              <w:jc w:val="right"/>
              <w:ind w:right="40"/>
              <w:spacing w:after="0"/>
              <w:rPr>
                <w:sz w:val="20"/>
                <w:szCs w:val="20"/>
                <w:color w:val="auto"/>
              </w:rPr>
            </w:pPr>
            <w:r>
              <w:rPr>
                <w:rFonts w:ascii="Arial" w:cs="Arial" w:eastAsia="Arial" w:hAnsi="Arial"/>
                <w:sz w:val="14"/>
                <w:szCs w:val="14"/>
                <w:b w:val="1"/>
                <w:bCs w:val="1"/>
                <w:color w:val="auto"/>
              </w:rPr>
              <w:t>$ 68,384</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gridSpan w:val="6"/>
            <w:vMerge w:val="restart"/>
          </w:tcPr>
          <w:p>
            <w:pPr>
              <w:jc w:val="right"/>
              <w:spacing w:after="0"/>
              <w:rPr>
                <w:sz w:val="20"/>
                <w:szCs w:val="20"/>
                <w:color w:val="auto"/>
              </w:rPr>
            </w:pPr>
            <w:r>
              <w:rPr>
                <w:rFonts w:ascii="Arial" w:cs="Arial" w:eastAsia="Arial" w:hAnsi="Arial"/>
                <w:sz w:val="14"/>
                <w:szCs w:val="14"/>
                <w:b w:val="1"/>
                <w:bCs w:val="1"/>
                <w:color w:val="auto"/>
                <w:w w:val="97"/>
              </w:rPr>
              <w:t>$— $ 131,940</w:t>
            </w:r>
          </w:p>
        </w:tc>
        <w:tc>
          <w:tcPr>
            <w:tcW w:w="0" w:type="dxa"/>
            <w:vAlign w:val="bottom"/>
          </w:tcPr>
          <w:p>
            <w:pPr>
              <w:spacing w:after="0"/>
              <w:rPr>
                <w:sz w:val="1"/>
                <w:szCs w:val="1"/>
                <w:color w:val="auto"/>
              </w:rPr>
            </w:pPr>
          </w:p>
        </w:tc>
      </w:tr>
      <w:tr>
        <w:trPr>
          <w:trHeight w:val="171"/>
        </w:trPr>
        <w:tc>
          <w:tcPr>
            <w:tcW w:w="1360" w:type="dxa"/>
            <w:vAlign w:val="bottom"/>
          </w:tcPr>
          <w:p>
            <w:pPr>
              <w:ind w:left="140"/>
              <w:spacing w:after="0"/>
              <w:rPr>
                <w:sz w:val="20"/>
                <w:szCs w:val="20"/>
                <w:color w:val="auto"/>
              </w:rPr>
            </w:pPr>
            <w:r>
              <w:rPr>
                <w:rFonts w:ascii="Arial" w:cs="Arial" w:eastAsia="Arial" w:hAnsi="Arial"/>
                <w:sz w:val="14"/>
                <w:szCs w:val="14"/>
                <w:b w:val="1"/>
                <w:bCs w:val="1"/>
                <w:color w:val="auto"/>
              </w:rPr>
              <w:t>2021</w:t>
            </w:r>
          </w:p>
        </w:tc>
        <w:tc>
          <w:tcPr>
            <w:tcW w:w="2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6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620" w:type="dxa"/>
            <w:vAlign w:val="bottom"/>
            <w:gridSpan w:val="6"/>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-4079875</wp:posOffset>
            </wp:positionV>
            <wp:extent cx="342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1925320</wp:posOffset>
            </wp:positionH>
            <wp:positionV relativeFrom="paragraph">
              <wp:posOffset>-4079875</wp:posOffset>
            </wp:positionV>
            <wp:extent cx="514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-4079875</wp:posOffset>
            </wp:positionV>
            <wp:extent cx="514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1033780</wp:posOffset>
            </wp:positionH>
            <wp:positionV relativeFrom="paragraph">
              <wp:posOffset>-4079875</wp:posOffset>
            </wp:positionV>
            <wp:extent cx="2540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-4079875</wp:posOffset>
            </wp:positionV>
            <wp:extent cx="342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4694555</wp:posOffset>
            </wp:positionH>
            <wp:positionV relativeFrom="paragraph">
              <wp:posOffset>-4079875</wp:posOffset>
            </wp:positionV>
            <wp:extent cx="342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-4079875</wp:posOffset>
            </wp:positionV>
            <wp:extent cx="342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-4079875</wp:posOffset>
            </wp:positionV>
            <wp:extent cx="342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-4079875</wp:posOffset>
            </wp:positionV>
            <wp:extent cx="342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2808605</wp:posOffset>
            </wp:positionH>
            <wp:positionV relativeFrom="paragraph">
              <wp:posOffset>-4079875</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9" w:name="page140"/>
    <w:bookmarkEnd w:id="13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40" w:type="dxa"/>
            <w:vAlign w:val="bottom"/>
            <w:gridSpan w:val="11"/>
          </w:tcPr>
          <w:p>
            <w:pPr>
              <w:jc w:val="right"/>
              <w:ind w:right="39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8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224"/>
        </w:trPr>
        <w:tc>
          <w:tcPr>
            <w:tcW w:w="5820" w:type="dxa"/>
            <w:vAlign w:val="bottom"/>
          </w:tcPr>
          <w:p>
            <w:pPr>
              <w:spacing w:after="0"/>
              <w:rPr>
                <w:sz w:val="19"/>
                <w:szCs w:val="19"/>
                <w:color w:val="auto"/>
              </w:rPr>
            </w:pPr>
          </w:p>
        </w:tc>
        <w:tc>
          <w:tcPr>
            <w:tcW w:w="800" w:type="dxa"/>
            <w:vAlign w:val="bottom"/>
            <w:gridSpan w:val="3"/>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7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6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2019</w:t>
            </w:r>
          </w:p>
        </w:tc>
      </w:tr>
      <w:tr>
        <w:trPr>
          <w:trHeight w:val="53"/>
        </w:trPr>
        <w:tc>
          <w:tcPr>
            <w:tcW w:w="58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r>
        <w:trPr>
          <w:trHeight w:val="311"/>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Net income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$ 152,218</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w w:val="99"/>
              </w:rPr>
              <w:t>$ 38,830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 (375)</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5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w w:val="95"/>
              </w:rPr>
              <w:t>Adjustments to reconcile net income (loss) to net cash provided by operating</w:t>
            </w: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tcBorders>
              <w:right w:val="single" w:sz="8" w:color="CCEEFF"/>
            </w:tcBorders>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r>
      <w:tr>
        <w:trPr>
          <w:trHeight w:val="26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right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4,425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3,978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5,162</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Fair value of warrant liability</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(166,518)</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Impairment loss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2,372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29,324</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Deferred tax asset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(842)</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5,487</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1,271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70"/>
        </w:trPr>
        <w:tc>
          <w:tcPr>
            <w:tcW w:w="58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(13,609)</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(6,770)</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(2,752)</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8,235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(3,036)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(611)</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(3,344)</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Accounts payable and accrued expenses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(480)</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(960)</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7,374</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rent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3,693</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2,793</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935</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165</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23,092</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38,620</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6,295</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(7,935)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(5,129)</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paid for acquisitions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(16,000)</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Cash paid for other investments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(6,500)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(30,435)</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(1,311)</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(5,129)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Proceeds from business combination</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79,969</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repayments of secured line of credit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right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(5,020)</w:t>
            </w:r>
          </w:p>
        </w:tc>
      </w:tr>
      <w:tr>
        <w:trPr>
          <w:trHeight w:val="270"/>
        </w:trPr>
        <w:tc>
          <w:tcPr>
            <w:tcW w:w="5820" w:type="dxa"/>
            <w:vAlign w:val="bottom"/>
          </w:tcPr>
          <w:p>
            <w:pPr>
              <w:ind w:left="180"/>
              <w:spacing w:after="0"/>
              <w:rPr>
                <w:sz w:val="20"/>
                <w:szCs w:val="20"/>
                <w:color w:val="auto"/>
              </w:rPr>
            </w:pPr>
            <w:r>
              <w:rPr>
                <w:rFonts w:ascii="Arial" w:cs="Arial" w:eastAsia="Arial" w:hAnsi="Arial"/>
                <w:sz w:val="18"/>
                <w:szCs w:val="18"/>
                <w:color w:val="auto"/>
              </w:rPr>
              <w:t>Payment of note payable</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8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304"/>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Distributions</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(18,998)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(21,952)</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(15,382)</w:t>
            </w:r>
          </w:p>
        </w:tc>
      </w:tr>
      <w:tr>
        <w:trPr>
          <w:trHeight w:val="256"/>
        </w:trPr>
        <w:tc>
          <w:tcPr>
            <w:tcW w:w="5820" w:type="dxa"/>
            <w:vAlign w:val="bottom"/>
          </w:tcPr>
          <w:p>
            <w:pPr>
              <w:ind w:left="180"/>
              <w:spacing w:after="0"/>
              <w:rPr>
                <w:sz w:val="20"/>
                <w:szCs w:val="20"/>
                <w:color w:val="auto"/>
              </w:rPr>
            </w:pPr>
            <w:r>
              <w:rPr>
                <w:rFonts w:ascii="Arial" w:cs="Arial" w:eastAsia="Arial" w:hAnsi="Arial"/>
                <w:sz w:val="18"/>
                <w:szCs w:val="18"/>
                <w:color w:val="auto"/>
              </w:rPr>
              <w:t>Repurchase of Class B Units</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(5,565)</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(406)</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(1,567)</w:t>
            </w:r>
          </w:p>
        </w:tc>
      </w:tr>
      <w:tr>
        <w:trPr>
          <w:trHeight w:val="61"/>
        </w:trPr>
        <w:tc>
          <w:tcPr>
            <w:tcW w:w="582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7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9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55,201</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(22,358)</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(21,969)</w:t>
            </w:r>
          </w:p>
        </w:tc>
      </w:tr>
      <w:tr>
        <w:trPr>
          <w:trHeight w:val="61"/>
        </w:trPr>
        <w:tc>
          <w:tcPr>
            <w:tcW w:w="5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right w:val="single" w:sz="8" w:color="CCEEFF"/>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r>
      <w:tr>
        <w:trPr>
          <w:trHeight w:val="338"/>
        </w:trPr>
        <w:tc>
          <w:tcPr>
            <w:tcW w:w="5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0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96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47,858</w:t>
            </w:r>
          </w:p>
        </w:tc>
        <w:tc>
          <w:tcPr>
            <w:tcW w:w="88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14,951</w:t>
            </w:r>
          </w:p>
        </w:tc>
        <w:tc>
          <w:tcPr>
            <w:tcW w:w="7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(20,803)</w:t>
            </w:r>
          </w:p>
        </w:tc>
      </w:tr>
      <w:tr>
        <w:trPr>
          <w:trHeight w:val="256"/>
        </w:trPr>
        <w:tc>
          <w:tcPr>
            <w:tcW w:w="5820" w:type="dxa"/>
            <w:vAlign w:val="bottom"/>
          </w:tcPr>
          <w:p>
            <w:pPr>
              <w:spacing w:after="0"/>
              <w:rPr>
                <w:sz w:val="20"/>
                <w:szCs w:val="20"/>
                <w:color w:val="auto"/>
              </w:rPr>
            </w:pPr>
            <w:r>
              <w:rPr>
                <w:rFonts w:ascii="Arial" w:cs="Arial" w:eastAsia="Arial" w:hAnsi="Arial"/>
                <w:sz w:val="18"/>
                <w:szCs w:val="18"/>
                <w:color w:val="auto"/>
              </w:rPr>
              <w:t>Cash – beginning of period</w:t>
            </w:r>
          </w:p>
        </w:tc>
        <w:tc>
          <w:tcPr>
            <w:tcW w:w="960" w:type="dxa"/>
            <w:vAlign w:val="bottom"/>
            <w:gridSpan w:val="4"/>
          </w:tcPr>
          <w:p>
            <w:pPr>
              <w:jc w:val="right"/>
              <w:ind w:right="160"/>
              <w:spacing w:after="0"/>
              <w:rPr>
                <w:sz w:val="20"/>
                <w:szCs w:val="20"/>
                <w:color w:val="auto"/>
              </w:rPr>
            </w:pPr>
            <w:r>
              <w:rPr>
                <w:rFonts w:ascii="Arial" w:cs="Arial" w:eastAsia="Arial" w:hAnsi="Arial"/>
                <w:sz w:val="18"/>
                <w:szCs w:val="18"/>
                <w:color w:val="auto"/>
              </w:rPr>
              <w:t>19,919</w:t>
            </w:r>
          </w:p>
        </w:tc>
        <w:tc>
          <w:tcPr>
            <w:tcW w:w="880" w:type="dxa"/>
            <w:vAlign w:val="bottom"/>
            <w:gridSpan w:val="4"/>
          </w:tcPr>
          <w:p>
            <w:pPr>
              <w:jc w:val="right"/>
              <w:ind w:right="160"/>
              <w:spacing w:after="0"/>
              <w:rPr>
                <w:sz w:val="20"/>
                <w:szCs w:val="20"/>
                <w:color w:val="auto"/>
              </w:rPr>
            </w:pPr>
            <w:r>
              <w:rPr>
                <w:rFonts w:ascii="Arial" w:cs="Arial" w:eastAsia="Arial" w:hAnsi="Arial"/>
                <w:sz w:val="18"/>
                <w:szCs w:val="18"/>
                <w:color w:val="auto"/>
              </w:rPr>
              <w:t>4,968</w:t>
            </w:r>
          </w:p>
        </w:tc>
        <w:tc>
          <w:tcPr>
            <w:tcW w:w="760" w:type="dxa"/>
            <w:vAlign w:val="bottom"/>
            <w:gridSpan w:val="5"/>
          </w:tcPr>
          <w:p>
            <w:pPr>
              <w:jc w:val="right"/>
              <w:spacing w:after="0"/>
              <w:rPr>
                <w:sz w:val="20"/>
                <w:szCs w:val="20"/>
                <w:color w:val="auto"/>
              </w:rPr>
            </w:pPr>
            <w:r>
              <w:rPr>
                <w:rFonts w:ascii="Arial" w:cs="Arial" w:eastAsia="Arial" w:hAnsi="Arial"/>
                <w:sz w:val="18"/>
                <w:szCs w:val="18"/>
                <w:color w:val="auto"/>
              </w:rPr>
              <w:t>25,771</w:t>
            </w:r>
          </w:p>
        </w:tc>
      </w:tr>
      <w:tr>
        <w:trPr>
          <w:trHeight w:val="61"/>
        </w:trPr>
        <w:tc>
          <w:tcPr>
            <w:tcW w:w="58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r>
      <w:tr>
        <w:trPr>
          <w:trHeight w:val="29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Cash – end of period</w:t>
            </w:r>
          </w:p>
        </w:tc>
        <w:tc>
          <w:tcPr>
            <w:tcW w:w="160" w:type="dxa"/>
            <w:vAlign w:val="bottom"/>
            <w:gridSpan w:val="2"/>
            <w:shd w:val="clear" w:color="auto" w:fill="CCEEFF"/>
          </w:tcPr>
          <w:p>
            <w:pPr>
              <w:spacing w:after="0"/>
              <w:rPr>
                <w:sz w:val="24"/>
                <w:szCs w:val="24"/>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$ 67,777</w:t>
            </w:r>
          </w:p>
        </w:tc>
        <w:tc>
          <w:tcPr>
            <w:tcW w:w="8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9"/>
              </w:rPr>
              <w:t>$ 19,919</w:t>
            </w:r>
          </w:p>
        </w:tc>
        <w:tc>
          <w:tcPr>
            <w:tcW w:w="7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$ 4,968</w:t>
            </w:r>
          </w:p>
        </w:tc>
      </w:tr>
      <w:tr>
        <w:trPr>
          <w:trHeight w:val="27"/>
        </w:trPr>
        <w:tc>
          <w:tcPr>
            <w:tcW w:w="58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64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4951730</wp:posOffset>
            </wp:positionH>
            <wp:positionV relativeFrom="paragraph">
              <wp:posOffset>-7474585</wp:posOffset>
            </wp:positionV>
            <wp:extent cx="10287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-7474585</wp:posOffset>
            </wp:positionV>
            <wp:extent cx="10287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-7474585</wp:posOffset>
            </wp:positionV>
            <wp:extent cx="514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0" w:name="page141"/>
    <w:bookmarkEnd w:id="14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ind w:left="600" w:hanging="308"/>
        <w:spacing w:after="0"/>
        <w:tabs>
          <w:tab w:leader="none" w:pos="6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   —</w:t>
      </w:r>
    </w:p>
    <w:p>
      <w:pPr>
        <w:spacing w:after="0" w:line="17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2120" w:type="dxa"/>
            <w:vAlign w:val="bottom"/>
            <w:gridSpan w:val="5"/>
          </w:tcPr>
          <w:p>
            <w:pPr>
              <w:ind w:left="440"/>
              <w:spacing w:after="0"/>
              <w:rPr>
                <w:sz w:val="20"/>
                <w:szCs w:val="20"/>
                <w:color w:val="auto"/>
              </w:rPr>
            </w:pPr>
            <w:r>
              <w:rPr>
                <w:rFonts w:ascii="Arial" w:cs="Arial" w:eastAsia="Arial" w:hAnsi="Arial"/>
                <w:sz w:val="14"/>
                <w:szCs w:val="14"/>
                <w:b w:val="1"/>
                <w:bCs w:val="1"/>
                <w:color w:val="auto"/>
                <w:w w:val="92"/>
              </w:rPr>
              <w:t>Years Ended December 31,</w:t>
            </w:r>
          </w:p>
        </w:tc>
        <w:tc>
          <w:tcPr>
            <w:tcW w:w="440" w:type="dxa"/>
            <w:vAlign w:val="bottom"/>
          </w:tcPr>
          <w:p>
            <w:pPr>
              <w:spacing w:after="0"/>
              <w:rPr>
                <w:sz w:val="16"/>
                <w:szCs w:val="16"/>
                <w:color w:val="auto"/>
              </w:rPr>
            </w:pPr>
          </w:p>
        </w:tc>
      </w:tr>
      <w:tr>
        <w:trPr>
          <w:trHeight w:val="53"/>
        </w:trPr>
        <w:tc>
          <w:tcPr>
            <w:tcW w:w="586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224"/>
        </w:trPr>
        <w:tc>
          <w:tcPr>
            <w:tcW w:w="5860" w:type="dxa"/>
            <w:vAlign w:val="bottom"/>
          </w:tcPr>
          <w:p>
            <w:pPr>
              <w:spacing w:after="0"/>
              <w:rPr>
                <w:sz w:val="19"/>
                <w:szCs w:val="19"/>
                <w:color w:val="auto"/>
              </w:rPr>
            </w:pPr>
          </w:p>
        </w:tc>
        <w:tc>
          <w:tcPr>
            <w:tcW w:w="720" w:type="dxa"/>
            <w:vAlign w:val="bottom"/>
          </w:tcPr>
          <w:p>
            <w:pPr>
              <w:jc w:val="right"/>
              <w:ind w:right="133"/>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9"/>
                <w:szCs w:val="19"/>
                <w:color w:val="auto"/>
              </w:rPr>
            </w:pPr>
          </w:p>
        </w:tc>
        <w:tc>
          <w:tcPr>
            <w:tcW w:w="580" w:type="dxa"/>
            <w:vAlign w:val="bottom"/>
          </w:tcPr>
          <w:p>
            <w:pPr>
              <w:jc w:val="right"/>
              <w:ind w:right="52"/>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b w:val="1"/>
                <w:bCs w:val="1"/>
                <w:color w:val="auto"/>
                <w:w w:val="89"/>
              </w:rPr>
              <w:t>2019</w:t>
            </w:r>
          </w:p>
        </w:tc>
      </w:tr>
      <w:tr>
        <w:trPr>
          <w:trHeight w:val="53"/>
        </w:trPr>
        <w:tc>
          <w:tcPr>
            <w:tcW w:w="586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7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Cash paid during the year for:</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$ 157</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$ 242</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$ 1,336</w:t>
            </w:r>
          </w:p>
        </w:tc>
        <w:tc>
          <w:tcPr>
            <w:tcW w:w="10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$ 118</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24"/>
        </w:trPr>
        <w:tc>
          <w:tcPr>
            <w:tcW w:w="58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5860" w:type="dxa"/>
            <w:vAlign w:val="bottom"/>
          </w:tcPr>
          <w:p>
            <w:pPr>
              <w:spacing w:after="0"/>
              <w:rPr>
                <w:sz w:val="20"/>
                <w:szCs w:val="20"/>
                <w:color w:val="auto"/>
              </w:rPr>
            </w:pPr>
            <w:r>
              <w:rPr>
                <w:rFonts w:ascii="Arial" w:cs="Arial" w:eastAsia="Arial" w:hAnsi="Arial"/>
                <w:sz w:val="18"/>
                <w:szCs w:val="18"/>
                <w:b w:val="1"/>
                <w:bCs w:val="1"/>
                <w:color w:val="auto"/>
              </w:rPr>
              <w:t>Supplemental disclosures of noncash activities</w:t>
            </w:r>
          </w:p>
        </w:tc>
        <w:tc>
          <w:tcPr>
            <w:tcW w:w="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Warranty liability assumed from the Business 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$ 193,978</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56"/>
        </w:trPr>
        <w:tc>
          <w:tcPr>
            <w:tcW w:w="5860" w:type="dxa"/>
            <w:vAlign w:val="bottom"/>
          </w:tcPr>
          <w:p>
            <w:pPr>
              <w:ind w:left="180"/>
              <w:spacing w:after="0"/>
              <w:rPr>
                <w:sz w:val="20"/>
                <w:szCs w:val="20"/>
                <w:color w:val="auto"/>
              </w:rPr>
            </w:pPr>
            <w:r>
              <w:rPr>
                <w:rFonts w:ascii="Arial" w:cs="Arial" w:eastAsia="Arial" w:hAnsi="Arial"/>
                <w:sz w:val="18"/>
                <w:szCs w:val="18"/>
                <w:color w:val="auto"/>
              </w:rPr>
              <w:t>Tax receivable agreement liability recognized in connection with the</w:t>
            </w:r>
          </w:p>
        </w:tc>
        <w:tc>
          <w:tcPr>
            <w:tcW w:w="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$ 128,567</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5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recognized in connection with the Business</w:t>
            </w:r>
          </w:p>
        </w:tc>
        <w:tc>
          <w:tcPr>
            <w:tcW w:w="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64"/>
        </w:trPr>
        <w:tc>
          <w:tcPr>
            <w:tcW w:w="5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Combination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$ 151,255</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Other assets assumed from the Business Combination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$ 1,053</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Issuance of equity for acquisitions</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$ 29,312</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Holdback liability recognized in connection with acquisition</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$ 1,000</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5860" w:type="dxa"/>
            <w:vAlign w:val="bottom"/>
          </w:tcPr>
          <w:p>
            <w:pPr>
              <w:spacing w:after="0"/>
              <w:rPr>
                <w:sz w:val="4"/>
                <w:szCs w:val="4"/>
                <w:color w:val="auto"/>
              </w:rPr>
            </w:pPr>
          </w:p>
        </w:tc>
        <w:tc>
          <w:tcPr>
            <w:tcW w:w="7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5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 assumed in connection with acquisition</w:t>
            </w:r>
          </w:p>
        </w:tc>
        <w:tc>
          <w:tcPr>
            <w:tcW w:w="1080" w:type="dxa"/>
            <w:vAlign w:val="bottom"/>
            <w:tcBorders>
              <w:bottom w:val="single" w:sz="8" w:color="CCEEFF"/>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$ 100</w:t>
            </w:r>
          </w:p>
        </w:tc>
        <w:tc>
          <w:tcPr>
            <w:tcW w:w="10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5860" w:type="dxa"/>
            <w:vAlign w:val="bottom"/>
          </w:tcPr>
          <w:p>
            <w:pPr>
              <w:ind w:left="180"/>
              <w:spacing w:after="0"/>
              <w:rPr>
                <w:sz w:val="20"/>
                <w:szCs w:val="20"/>
                <w:color w:val="auto"/>
              </w:rPr>
            </w:pPr>
            <w:r>
              <w:rPr>
                <w:rFonts w:ascii="Arial" w:cs="Arial" w:eastAsia="Arial" w:hAnsi="Arial"/>
                <w:sz w:val="18"/>
                <w:szCs w:val="18"/>
                <w:color w:val="auto"/>
              </w:rPr>
              <w:t>Stock-based compensation capitalized for software development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$ 1,099</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 —</w:t>
            </w:r>
          </w:p>
        </w:tc>
        <w:tc>
          <w:tcPr>
            <w:tcW w:w="44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4968875</wp:posOffset>
            </wp:positionH>
            <wp:positionV relativeFrom="paragraph">
              <wp:posOffset>-3136900</wp:posOffset>
            </wp:positionV>
            <wp:extent cx="22288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4368800</wp:posOffset>
            </wp:positionH>
            <wp:positionV relativeFrom="paragraph">
              <wp:posOffset>-3136900</wp:posOffset>
            </wp:positionV>
            <wp:extent cx="22288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-3136900</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1" w:name="page142"/>
    <w:bookmarkEnd w:id="14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40" w:hanging="348"/>
        <w:spacing w:after="0"/>
        <w:tabs>
          <w:tab w:leader="none" w:pos="64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Organization</w:t>
      </w:r>
    </w:p>
    <w:p>
      <w:pPr>
        <w:spacing w:after="0" w:line="121"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WM Technology, Inc. (the “Company”) is one of the oldest and largest marketplace and technology solutions providers exclusively servicing the cannabis industry, primarily consumers, retailers and brands in the United States state-legal and Canadian cannabis markets. The Company’s business consists of its commerce-driven marketplace, Weedmaps, and its monthly subscription software offering, WM Business. The Company’s Weedmaps marketplace provides information on the cannabis plant and the industry and advocates for legalization. The Weedmaps marketplace provides consumers with information regarding cannabis retailers and brands, as well as the strain, pricing, and other information regarding locally available cannabis products, through our website and mobile apps, permitting product discovery, access to deals and discounts, and reservation of products for pickup by consumers or delivery to consumers by participating retailers. WM Business, the Company’s subscription package, is a comprehensive set of eCommerce and compliance software solutions catered towards cannabis retailers, delivery services and brands where clients receive access to a standard listing page and its suite of software solutions, including WM Orders, WM Dispatch, WM Store, WM Dashboard, integrations and API platform, as well as access to its WM Retail and WM Exchange products, where available. The Company charges a monthly fee to clients for access to its WM Business subscription package and then offer other add-on products for additional fees, including our featured listings and our Sprout (customer relationship management) and Cannveya (delivery and logistics software) solutions. The Company sells its WM Business offering in the United States, currently offers some of its WM Business solutions in Canada and has a limited number of non-monetized listings in several other countries, including Austria, Germany, the Netherlands, Spain, and Switzerland. The Company operates in the United States, Canada, and other foreign jurisdictions where medical and/or adult cannabis use is legal under state or applicable national law. The Company is headquartered in Irvine, California.</w:t>
      </w:r>
    </w:p>
    <w:p>
      <w:pPr>
        <w:spacing w:after="0" w:line="74"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7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188" w:lineRule="exact"/>
        <w:rPr>
          <w:sz w:val="20"/>
          <w:szCs w:val="20"/>
          <w:color w:val="auto"/>
        </w:rPr>
      </w:pPr>
    </w:p>
    <w:p>
      <w:pPr>
        <w:ind w:left="640" w:hanging="348"/>
        <w:spacing w:after="0"/>
        <w:tabs>
          <w:tab w:leader="none" w:pos="64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300" w:right="319" w:firstLine="360"/>
        <w:spacing w:after="0" w:line="275"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consolidated financial statements. Such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consolidated financial statements.</w:t>
      </w:r>
    </w:p>
    <w:p>
      <w:pPr>
        <w:spacing w:after="0" w:line="68" w:lineRule="exact"/>
        <w:rPr>
          <w:sz w:val="20"/>
          <w:szCs w:val="20"/>
          <w:color w:val="auto"/>
        </w:rPr>
      </w:pPr>
    </w:p>
    <w:p>
      <w:pPr>
        <w:jc w:val="both"/>
        <w:ind w:left="300" w:right="319" w:firstLine="360"/>
        <w:spacing w:after="0" w:line="311" w:lineRule="auto"/>
        <w:rPr>
          <w:sz w:val="20"/>
          <w:szCs w:val="20"/>
          <w:color w:val="auto"/>
        </w:rPr>
      </w:pPr>
      <w:r>
        <w:rPr>
          <w:rFonts w:ascii="Arial" w:cs="Arial" w:eastAsia="Arial" w:hAnsi="Arial"/>
          <w:sz w:val="16"/>
          <w:szCs w:val="16"/>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2" w:name="page143"/>
    <w:bookmarkEnd w:id="14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299" w:firstLine="360"/>
        <w:spacing w:after="0" w:line="277" w:lineRule="auto"/>
        <w:rPr>
          <w:sz w:val="20"/>
          <w:szCs w:val="20"/>
          <w:color w:val="auto"/>
        </w:rPr>
      </w:pPr>
      <w:r>
        <w:rPr>
          <w:rFonts w:ascii="Arial" w:cs="Arial" w:eastAsia="Arial" w:hAnsi="Arial"/>
          <w:sz w:val="18"/>
          <w:szCs w:val="18"/>
          <w:color w:val="auto"/>
        </w:rPr>
        <w:t>Accordingly, for accounting purposes, the Reverse Recapitalization was treated as the equivalent of Legacy WMH issuing stock for the net assets of Silver Spike, accompanied by a recapitalization.</w:t>
      </w:r>
    </w:p>
    <w:p>
      <w:pPr>
        <w:spacing w:after="0" w:line="62"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Legacy WMH was determined to be the accounting acquirer based on evaluation of the following facts and circumstances:</w:t>
      </w:r>
    </w:p>
    <w:p>
      <w:pPr>
        <w:spacing w:after="0" w:line="62" w:lineRule="exact"/>
        <w:rPr>
          <w:sz w:val="20"/>
          <w:szCs w:val="20"/>
          <w:color w:val="auto"/>
        </w:rPr>
      </w:pPr>
    </w:p>
    <w:p>
      <w:pPr>
        <w:ind w:left="1000" w:right="319" w:hanging="348"/>
        <w:spacing w:after="0" w:line="277" w:lineRule="auto"/>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Class A Unit holders, through their ownership of the Class V Common Stock, have the greatest voting interest in the Company with over 50% of the voting interest;</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selected the majority of the new board of directors of the Company;</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Legacy WMH senior management is the senior management of the Company; and</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Legacy WMH is the larger entity based on historical operating activity and has the larger employee base.</w:t>
      </w:r>
    </w:p>
    <w:p>
      <w:pPr>
        <w:spacing w:after="0" w:line="14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Thus, the financial statements included in this annual report reflect (i) the historical operating results of Legacy WMH prior to the Business Combination; (ii) the combined results of the WMH LLC and Silver Spike following the Business Combination; and (iii) the acquired assets and liabilities of Silver Spike stated at historical cost, with no goodwill or other intangible assets recorded.</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The consolidated financial statements include the accounts of WM Technology, Inc. and WM Holding Company, LLC, including their wholly and majority owned subsidiaries. In conformity with GAAP, all significant intercompany accounts and transactions have been eliminated.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years ended December 31, 2021, 2020 and 2019.</w:t>
      </w: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63"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tax receivable agreement liability, revenue recognition, stock-based compensation, and the recognition and disclosure of contingent liabilities.</w:t>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8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 xml:space="preserve">The Company follows the guidance in ASC 820 -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its financial assets and liabilities that are re-measured and reported at fair value at each reporting period.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3" w:name="page144"/>
    <w:bookmarkEnd w:id="14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4" w:lineRule="exact"/>
        <w:rPr>
          <w:sz w:val="20"/>
          <w:szCs w:val="20"/>
          <w:color w:val="auto"/>
        </w:rPr>
      </w:pPr>
    </w:p>
    <w:p>
      <w:pPr>
        <w:jc w:val="both"/>
        <w:ind w:left="1000" w:right="29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75" w:lineRule="exact"/>
        <w:rPr>
          <w:rFonts w:ascii="Arial" w:cs="Arial" w:eastAsia="Arial" w:hAnsi="Arial"/>
          <w:sz w:val="18"/>
          <w:szCs w:val="18"/>
          <w:color w:val="auto"/>
        </w:rPr>
      </w:pPr>
    </w:p>
    <w:p>
      <w:pPr>
        <w:ind w:left="1000" w:right="299" w:hanging="348"/>
        <w:spacing w:after="0" w:line="277" w:lineRule="auto"/>
        <w:tabs>
          <w:tab w:leader="none" w:pos="10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Level 3: Unobservable inputs based on the Company assessment of the assumptions that market participants would use in pricing the asset or liability.</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is recorded at the invoiced amount and does not bear interest.</w:t>
      </w:r>
    </w:p>
    <w:p>
      <w:pPr>
        <w:spacing w:after="0" w:line="117"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Effective January 1, 2021, the Company adopted the new accounting guidance on measuring credit losses on its trade accounts receivable using the modified retrospective approach. The new credit loss guidance replaces the old model for measuring the allowance for credit losses with a model that is based on the expected losses rather than incurred losses. Under the new credit loss model, lifetime expected credit losses are measured and recognized at each reporting date based on historical, current and forecast information. The adoption of this guidance did not have a material impact on the Company’s consolidated financial statements.</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Company calculates the expected credit losses on a pool basis for those trade receivables that have similar risk characteristics. For those trade receivables that do not share similar risk characteristics, the allowance for doubtful accounts is calculated on an individual basis. Risk characteristics relevant to the Company’s accounts receivable include balance of customer account and aging status.</w:t>
      </w:r>
    </w:p>
    <w:p>
      <w:pPr>
        <w:spacing w:after="0" w:line="79"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Prior to the accounting adoption, the Company reserved an allowance for all balances outstanding in excess of ninety days.</w:t>
      </w:r>
    </w:p>
    <w:p>
      <w:pPr>
        <w:spacing w:after="0" w:line="62"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Account balances are written off against the allowance when it is determined that it is probable that the receivable will not be recovered. The Company recorded a provision for doubtful accounts of $5.2 million and $0.9 million as of December 31, 2021 and 2020, respectively.</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changes in the allowance for doubtful accounts: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9"/>
          </w:tcPr>
          <w:p>
            <w:pPr>
              <w:jc w:val="right"/>
              <w:ind w:right="21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24"/>
        </w:trPr>
        <w:tc>
          <w:tcPr>
            <w:tcW w:w="6160" w:type="dxa"/>
            <w:vAlign w:val="bottom"/>
          </w:tcPr>
          <w:p>
            <w:pPr>
              <w:spacing w:after="0"/>
              <w:rPr>
                <w:sz w:val="19"/>
                <w:szCs w:val="19"/>
                <w:color w:val="auto"/>
              </w:rPr>
            </w:pPr>
          </w:p>
        </w:tc>
        <w:tc>
          <w:tcPr>
            <w:tcW w:w="620" w:type="dxa"/>
            <w:vAlign w:val="bottom"/>
            <w:gridSpan w:val="3"/>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r>
      <w:tr>
        <w:trPr>
          <w:trHeight w:val="53"/>
        </w:trPr>
        <w:tc>
          <w:tcPr>
            <w:tcW w:w="61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6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Allowance, beginning of year</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$ 857</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$ 914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$ 734</w:t>
            </w: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Addition to allowance</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5,487</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1,271</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180</w:t>
            </w:r>
          </w:p>
        </w:tc>
      </w:tr>
      <w:tr>
        <w:trPr>
          <w:trHeight w:val="54"/>
        </w:trPr>
        <w:tc>
          <w:tcPr>
            <w:tcW w:w="6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Write-off, net of recoveries</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300" w:type="dxa"/>
            <w:vAlign w:val="bottom"/>
            <w:shd w:val="clear" w:color="auto" w:fill="CCEEFF"/>
          </w:tcPr>
          <w:p>
            <w:pPr>
              <w:spacing w:after="0"/>
              <w:rPr>
                <w:sz w:val="22"/>
                <w:szCs w:val="22"/>
                <w:color w:val="auto"/>
              </w:rPr>
            </w:pPr>
          </w:p>
        </w:tc>
        <w:tc>
          <w:tcPr>
            <w:tcW w:w="9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(1,328)</w:t>
            </w:r>
          </w:p>
        </w:tc>
        <w:tc>
          <w:tcPr>
            <w:tcW w:w="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61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auto"/>
            </w:tcBorders>
            <w:shd w:val="clear" w:color="auto" w:fill="CCEEFF"/>
          </w:tcPr>
          <w:p>
            <w:pPr>
              <w:spacing w:after="0"/>
              <w:rPr>
                <w:sz w:val="5"/>
                <w:szCs w:val="5"/>
                <w:color w:val="auto"/>
              </w:rPr>
            </w:pPr>
          </w:p>
        </w:tc>
        <w:tc>
          <w:tcPr>
            <w:tcW w:w="54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auto"/>
            </w:tcBorders>
            <w:shd w:val="clear" w:color="auto" w:fill="CCEEFF"/>
          </w:tcPr>
          <w:p>
            <w:pPr>
              <w:spacing w:after="0"/>
              <w:rPr>
                <w:sz w:val="5"/>
                <w:szCs w:val="5"/>
                <w:color w:val="auto"/>
              </w:rPr>
            </w:pPr>
          </w:p>
        </w:tc>
        <w:tc>
          <w:tcPr>
            <w:tcW w:w="400" w:type="dxa"/>
            <w:vAlign w:val="bottom"/>
            <w:tcBorders>
              <w:top w:val="single" w:sz="8" w:color="auto"/>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6160" w:type="dxa"/>
            <w:vAlign w:val="bottom"/>
          </w:tcPr>
          <w:p>
            <w:pPr>
              <w:spacing w:after="0"/>
              <w:rPr>
                <w:sz w:val="20"/>
                <w:szCs w:val="20"/>
                <w:color w:val="auto"/>
              </w:rPr>
            </w:pPr>
            <w:r>
              <w:rPr>
                <w:rFonts w:ascii="Arial" w:cs="Arial" w:eastAsia="Arial" w:hAnsi="Arial"/>
                <w:sz w:val="18"/>
                <w:szCs w:val="18"/>
                <w:color w:val="auto"/>
              </w:rPr>
              <w:t>Allowance, end of year</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9"/>
              </w:rPr>
              <w:t>$ 5,169</w:t>
            </w:r>
          </w:p>
        </w:tc>
        <w:tc>
          <w:tcPr>
            <w:tcW w:w="300" w:type="dxa"/>
            <w:vAlign w:val="bottom"/>
          </w:tcPr>
          <w:p>
            <w:pPr>
              <w:spacing w:after="0"/>
              <w:rPr>
                <w:sz w:val="23"/>
                <w:szCs w:val="23"/>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8"/>
                <w:szCs w:val="18"/>
                <w:color w:val="auto"/>
              </w:rPr>
              <w:t>$ 857</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88"/>
              </w:rPr>
              <w:t>$ 914</w:t>
            </w:r>
          </w:p>
        </w:tc>
      </w:tr>
      <w:tr>
        <w:trPr>
          <w:trHeight w:val="20"/>
        </w:trPr>
        <w:tc>
          <w:tcPr>
            <w:tcW w:w="6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-847725</wp:posOffset>
            </wp:positionV>
            <wp:extent cx="18859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-847725</wp:posOffset>
            </wp:positionV>
            <wp:extent cx="18859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-847725</wp:posOffset>
            </wp:positionV>
            <wp:extent cx="939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9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Investment in Equity Security</w:t>
      </w:r>
    </w:p>
    <w:p>
      <w:pPr>
        <w:spacing w:after="0" w:line="117"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are accounted for at cost, less any impairment, plus or minus changes resulting from observable price changes in orderly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4" w:name="page145"/>
    <w:bookmarkEnd w:id="14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63" w:lineRule="auto"/>
        <w:rPr>
          <w:sz w:val="20"/>
          <w:szCs w:val="20"/>
          <w:color w:val="auto"/>
        </w:rPr>
      </w:pPr>
      <w:r>
        <w:rPr>
          <w:rFonts w:ascii="Arial" w:cs="Arial" w:eastAsia="Arial" w:hAnsi="Arial"/>
          <w:sz w:val="18"/>
          <w:szCs w:val="18"/>
          <w:color w:val="auto"/>
        </w:rPr>
        <w:t>transactions for an identical or similar investment of the same issuer. As December 31, 2021, the carrying value of the Company’s investments in equity securities without a readily determinable fair value was $6.5 million, which is recorded within Other assets on the Company’s consolidated balance sheets.</w:t>
      </w:r>
    </w:p>
    <w:p>
      <w:pPr>
        <w:spacing w:after="0" w:line="33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Property and equipment are stated at cost, less accumulated depreciation, and consist of internally developed software, computer equipment, furniture and fixtures and leasehold improvements. Depreciation is computed using the straight-line method over the estimated useful lives of the assets and generally over five years for computer equipment, seven years for furniture and fixtures and five years for leasehold improvements. Maintenance and repairs are expensed as incurred. When assets are retired or otherwise disposed of, the cost and related accumulated depreciation are removed from the accounts and any resulting gain or loss is reflected in the Company’s results of operations.</w:t>
      </w:r>
    </w:p>
    <w:p>
      <w:pPr>
        <w:spacing w:after="0" w:line="8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Capitalized website and internal-use software development costs are included in property and equipment in the accompanying balance sheets. The Company capitalizes certain costs related to the development and enhancement of the Weedmaps platform and SaaS solutions. The Company began to capitalize these costs when preliminary development efforts were successfully completed, management has authorized and committed project funding, and it was probable that the project would be completed and the software would be used as intended. Capitalization ceases upon completion of all substantial testing. Maintenance and training costs are expensed as incurred. Such costs are amortized when placed in service, on a straight-line basis over the estimated useful life of the related asset, generally estimated to be three years. Costs incurred for enhancements that were expected to result in additional features or functionality are capitalized and expensed over the estimated useful life of the enhancements, generally three years. Product development costs that do not meet the criteria for capitalization are expensed as incurred.</w:t>
      </w:r>
    </w:p>
    <w:p>
      <w:pPr>
        <w:spacing w:after="0" w:line="6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The Company assess impairment of property and equipment when an event and change in circumstance indicates that the carrying value of such assets may not be recoverable. If an event and a change in circumstance indicates that the carrying amount of an asset (or asset group) may not be recoverable and the expected undiscounted cash flows attributable to the asset are less than its carrying value, an impairment loss equals to the excess of the asset’s carrying value over its fair value is recognized.</w:t>
      </w:r>
    </w:p>
    <w:p>
      <w:pPr>
        <w:spacing w:after="0" w:line="3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 xml:space="preserve">Effective January 1, 2021, the Company accounts for its leases under ASC 842 - </w:t>
      </w:r>
      <w:r>
        <w:rPr>
          <w:rFonts w:ascii="Arial" w:cs="Arial" w:eastAsia="Arial" w:hAnsi="Arial"/>
          <w:sz w:val="17"/>
          <w:szCs w:val="17"/>
          <w:i w:val="1"/>
          <w:iCs w:val="1"/>
          <w:color w:val="auto"/>
        </w:rPr>
        <w:t>Leases</w:t>
      </w:r>
      <w:r>
        <w:rPr>
          <w:rFonts w:ascii="Arial" w:cs="Arial" w:eastAsia="Arial" w:hAnsi="Arial"/>
          <w:sz w:val="17"/>
          <w:szCs w:val="17"/>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7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Company assess impairment of ROU assets when an event and change in circumstance indicates that the carrying value of such ROU assets may not be recoverable. If an event and a change in circumstance indicates that the carrying value of an ROU asset may not be recoverable and the estimated fair value attributable to the ROU asset is less than its carrying value, an impairment loss equals to the excess of the ROU asset’s carrying value over its fair value is recognized.</w:t>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 xml:space="preserve">The Company continues to account for leases in the prior period financial statements under ASC 840, </w:t>
      </w:r>
      <w:r>
        <w:rPr>
          <w:rFonts w:ascii="Arial" w:cs="Arial" w:eastAsia="Arial" w:hAnsi="Arial"/>
          <w:sz w:val="16"/>
          <w:szCs w:val="16"/>
          <w:i w:val="1"/>
          <w:iCs w:val="1"/>
          <w:color w:val="auto"/>
        </w:rPr>
        <w:t>Leases</w:t>
      </w:r>
      <w:r>
        <w:rPr>
          <w:rFonts w:ascii="Arial" w:cs="Arial" w:eastAsia="Arial" w:hAnsi="Arial"/>
          <w:sz w:val="16"/>
          <w:szCs w:val="16"/>
          <w:color w:val="auto"/>
        </w:rPr>
        <w: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5" w:name="page146"/>
    <w:bookmarkEnd w:id="14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Warrant Liability</w:t>
      </w:r>
    </w:p>
    <w:p>
      <w:pPr>
        <w:spacing w:after="0" w:line="117"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The Company assumed 12,499,993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December 31,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78" w:lineRule="exact"/>
        <w:rPr>
          <w:sz w:val="20"/>
          <w:szCs w:val="20"/>
          <w:color w:val="auto"/>
        </w:rPr>
      </w:pPr>
    </w:p>
    <w:p>
      <w:pPr>
        <w:jc w:val="both"/>
        <w:ind w:left="300" w:right="299" w:firstLine="360"/>
        <w:spacing w:after="0" w:line="289"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Own Equity</w:t>
      </w:r>
      <w:r>
        <w:rPr>
          <w:rFonts w:ascii="Arial" w:cs="Arial" w:eastAsia="Arial" w:hAnsi="Arial"/>
          <w:sz w:val="16"/>
          <w:szCs w:val="16"/>
          <w:color w:val="auto"/>
        </w:rPr>
        <w:t>, and concluded they do not meet the criteria to be classified in stockholders’ equity. Specifically, the</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consolidated balance sheets at fair value, with subsequent changes in their respective fair values recognized in change in fair value of warrant liabilities within the consolidated statements of operations at each reporting date.</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The Company’s revenues are derived primarily from monthly subscriptions and additional offerings for access to the Company’s Weedmaps platform and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9" w:lineRule="exact"/>
        <w:rPr>
          <w:sz w:val="20"/>
          <w:szCs w:val="20"/>
          <w:color w:val="auto"/>
        </w:rPr>
      </w:pPr>
    </w:p>
    <w:p>
      <w:pPr>
        <w:jc w:val="both"/>
        <w:ind w:left="300" w:right="299" w:firstLine="360"/>
        <w:spacing w:after="0" w:line="253" w:lineRule="auto"/>
        <w:rPr>
          <w:sz w:val="20"/>
          <w:szCs w:val="20"/>
          <w:color w:val="auto"/>
        </w:rPr>
      </w:pPr>
      <w:r>
        <w:rPr>
          <w:rFonts w:ascii="Arial" w:cs="Arial" w:eastAsia="Arial" w:hAnsi="Arial"/>
          <w:sz w:val="18"/>
          <w:szCs w:val="18"/>
          <w:color w:val="auto"/>
        </w:rPr>
        <w:t>Substantially all of the Company’s revenue is generated by providing standard listing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Prior to January 1, 2021, the Company charged a fee for access to the Company’s orders functionality and those fees were recognized at a point in time, typically when an order for delivery or pickup was submitted. Starting on January 1, 2021, the Company eliminated the technology services fee charge related to the Company’s orders functionality.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w:t>
      </w:r>
    </w:p>
    <w:p>
      <w:pPr>
        <w:spacing w:after="0" w:line="86"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Deferred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6" w:name="page147"/>
    <w:bookmarkEnd w:id="14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5" w:lineRule="auto"/>
        <w:rPr>
          <w:sz w:val="20"/>
          <w:szCs w:val="20"/>
          <w:color w:val="auto"/>
        </w:rPr>
      </w:pPr>
      <w:r>
        <w:rPr>
          <w:rFonts w:ascii="Arial" w:cs="Arial" w:eastAsia="Arial" w:hAnsi="Arial"/>
          <w:sz w:val="18"/>
          <w:szCs w:val="18"/>
          <w:color w:val="auto"/>
        </w:rPr>
        <w:t>revenue as of December 31, 2020 and 2019 was $5.3 million and $4.3 million, respectively, and the balances were fully recognized in the first quarter of the following fiscal year. The deferred revenue balance as of December 31, 2021 was $8.1 million and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58"/>
        </w:trPr>
        <w:tc>
          <w:tcPr>
            <w:tcW w:w="60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recognized over time</w:t>
            </w:r>
            <w:r>
              <w:rPr>
                <w:rFonts w:ascii="Arial" w:cs="Arial" w:eastAsia="Arial" w:hAnsi="Arial"/>
                <w:sz w:val="29"/>
                <w:szCs w:val="29"/>
                <w:color w:val="auto"/>
                <w:vertAlign w:val="superscript"/>
              </w:rPr>
              <w:t>(1)</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$ 155,363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$ 143,490</w:t>
            </w:r>
          </w:p>
        </w:tc>
      </w:tr>
      <w:tr>
        <w:trPr>
          <w:trHeight w:val="297"/>
        </w:trPr>
        <w:tc>
          <w:tcPr>
            <w:tcW w:w="6080" w:type="dxa"/>
            <w:vAlign w:val="bottom"/>
          </w:tcPr>
          <w:p>
            <w:pPr>
              <w:spacing w:after="0" w:line="296" w:lineRule="exact"/>
              <w:rPr>
                <w:sz w:val="20"/>
                <w:szCs w:val="20"/>
                <w:color w:val="auto"/>
              </w:rPr>
            </w:pPr>
            <w:r>
              <w:rPr>
                <w:rFonts w:ascii="Arial" w:cs="Arial" w:eastAsia="Arial" w:hAnsi="Arial"/>
                <w:sz w:val="18"/>
                <w:szCs w:val="18"/>
                <w:color w:val="auto"/>
              </w:rPr>
              <w:t>Revenues recognized at a point in time</w:t>
            </w:r>
            <w:r>
              <w:rPr>
                <w:rFonts w:ascii="Arial" w:cs="Arial" w:eastAsia="Arial" w:hAnsi="Arial"/>
                <w:sz w:val="29"/>
                <w:szCs w:val="29"/>
                <w:color w:val="auto"/>
                <w:vertAlign w:val="superscript"/>
              </w:rPr>
              <w:t>(2)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6,428</w:t>
            </w:r>
          </w:p>
        </w:tc>
        <w:tc>
          <w:tcPr>
            <w:tcW w:w="680" w:type="dxa"/>
            <w:vAlign w:val="bottom"/>
          </w:tcPr>
          <w:p>
            <w:pPr>
              <w:jc w:val="right"/>
              <w:spacing w:after="0"/>
              <w:rPr>
                <w:sz w:val="20"/>
                <w:szCs w:val="20"/>
                <w:color w:val="auto"/>
              </w:rPr>
            </w:pPr>
            <w:r>
              <w:rPr>
                <w:rFonts w:ascii="Arial" w:cs="Arial" w:eastAsia="Arial" w:hAnsi="Arial"/>
                <w:sz w:val="18"/>
                <w:szCs w:val="18"/>
                <w:color w:val="auto"/>
              </w:rPr>
              <w:t>742</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1"/>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-693420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-693420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-693420</wp:posOffset>
            </wp:positionV>
            <wp:extent cx="342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8" w:lineRule="exact"/>
        <w:rPr>
          <w:sz w:val="20"/>
          <w:szCs w:val="20"/>
          <w:color w:val="auto"/>
        </w:rPr>
      </w:pPr>
    </w:p>
    <w:p>
      <w:pPr>
        <w:ind w:left="640" w:hanging="348"/>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spacing w:after="0" w:line="41" w:lineRule="exact"/>
        <w:rPr>
          <w:rFonts w:ascii="Arial" w:cs="Arial" w:eastAsia="Arial" w:hAnsi="Arial"/>
          <w:sz w:val="14"/>
          <w:szCs w:val="14"/>
          <w:color w:val="auto"/>
        </w:rPr>
      </w:pPr>
    </w:p>
    <w:p>
      <w:pPr>
        <w:ind w:left="640" w:hanging="348"/>
        <w:spacing w:after="0"/>
        <w:tabs>
          <w:tab w:leader="none" w:pos="6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U.S. and foreign revenues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340" w:type="dxa"/>
            <w:vAlign w:val="bottom"/>
            <w:gridSpan w:val="5"/>
          </w:tcPr>
          <w:p>
            <w:pPr>
              <w:jc w:val="right"/>
              <w:ind w:right="295"/>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608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224"/>
        </w:trPr>
        <w:tc>
          <w:tcPr>
            <w:tcW w:w="6080" w:type="dxa"/>
            <w:vAlign w:val="bottom"/>
          </w:tcPr>
          <w:p>
            <w:pPr>
              <w:spacing w:after="0"/>
              <w:rPr>
                <w:sz w:val="19"/>
                <w:szCs w:val="19"/>
                <w:color w:val="auto"/>
              </w:rPr>
            </w:pPr>
          </w:p>
        </w:tc>
        <w:tc>
          <w:tcPr>
            <w:tcW w:w="660" w:type="dxa"/>
            <w:vAlign w:val="bottom"/>
          </w:tcPr>
          <w:p>
            <w:pPr>
              <w:jc w:val="right"/>
              <w:ind w:right="137"/>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r>
      <w:tr>
        <w:trPr>
          <w:trHeight w:val="53"/>
        </w:trPr>
        <w:tc>
          <w:tcPr>
            <w:tcW w:w="60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608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U.S. revenues</w:t>
            </w:r>
          </w:p>
        </w:tc>
        <w:tc>
          <w:tcPr>
            <w:tcW w:w="82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bottom w:val="single" w:sz="8" w:color="CCEEFF"/>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$ 130,373</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2"/>
              </w:rPr>
              <w:t>$ 132,077</w:t>
            </w:r>
          </w:p>
        </w:tc>
      </w:tr>
      <w:tr>
        <w:trPr>
          <w:trHeight w:val="256"/>
        </w:trPr>
        <w:tc>
          <w:tcPr>
            <w:tcW w:w="6080" w:type="dxa"/>
            <w:vAlign w:val="bottom"/>
          </w:tcPr>
          <w:p>
            <w:pPr>
              <w:spacing w:after="0"/>
              <w:rPr>
                <w:sz w:val="20"/>
                <w:szCs w:val="20"/>
                <w:color w:val="auto"/>
              </w:rPr>
            </w:pPr>
            <w:r>
              <w:rPr>
                <w:rFonts w:ascii="Arial" w:cs="Arial" w:eastAsia="Arial" w:hAnsi="Arial"/>
                <w:sz w:val="18"/>
                <w:szCs w:val="18"/>
                <w:color w:val="auto"/>
              </w:rPr>
              <w:t>Foreign revenues</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31,418</w:t>
            </w:r>
          </w:p>
        </w:tc>
        <w:tc>
          <w:tcPr>
            <w:tcW w:w="680" w:type="dxa"/>
            <w:vAlign w:val="bottom"/>
          </w:tcPr>
          <w:p>
            <w:pPr>
              <w:jc w:val="right"/>
              <w:spacing w:after="0"/>
              <w:rPr>
                <w:sz w:val="20"/>
                <w:szCs w:val="20"/>
                <w:color w:val="auto"/>
              </w:rPr>
            </w:pPr>
            <w:r>
              <w:rPr>
                <w:rFonts w:ascii="Arial" w:cs="Arial" w:eastAsia="Arial" w:hAnsi="Arial"/>
                <w:sz w:val="18"/>
                <w:szCs w:val="18"/>
                <w:color w:val="auto"/>
              </w:rPr>
              <w:t>12,155</w:t>
            </w:r>
          </w:p>
        </w:tc>
      </w:tr>
      <w:tr>
        <w:trPr>
          <w:trHeight w:val="61"/>
        </w:trPr>
        <w:tc>
          <w:tcPr>
            <w:tcW w:w="6080" w:type="dxa"/>
            <w:vAlign w:val="bottom"/>
          </w:tcPr>
          <w:p>
            <w:pPr>
              <w:spacing w:after="0"/>
              <w:rPr>
                <w:sz w:val="5"/>
                <w:szCs w:val="5"/>
                <w:color w:val="auto"/>
              </w:rPr>
            </w:pPr>
          </w:p>
        </w:tc>
        <w:tc>
          <w:tcPr>
            <w:tcW w:w="66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r>
      <w:tr>
        <w:trPr>
          <w:trHeight w:val="290"/>
        </w:trPr>
        <w:tc>
          <w:tcPr>
            <w:tcW w:w="608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8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$ 193,146</w:t>
            </w:r>
          </w:p>
        </w:tc>
        <w:tc>
          <w:tcPr>
            <w:tcW w:w="84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$ 161,791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2"/>
              </w:rPr>
              <w:t>$ 144,232</w:t>
            </w:r>
          </w:p>
        </w:tc>
      </w:tr>
      <w:tr>
        <w:trPr>
          <w:trHeight w:val="27"/>
        </w:trPr>
        <w:tc>
          <w:tcPr>
            <w:tcW w:w="6080" w:type="dxa"/>
            <w:vAlign w:val="bottom"/>
            <w:tcBorders>
              <w:top w:val="single" w:sz="8" w:color="CCEEFF"/>
              <w:right w:val="single" w:sz="8" w:color="auto"/>
            </w:tcBorders>
            <w:shd w:val="clear" w:color="auto" w:fill="CCEEFF"/>
          </w:tcPr>
          <w:p>
            <w:pPr>
              <w:spacing w:after="0"/>
              <w:rPr>
                <w:sz w:val="2"/>
                <w:szCs w:val="2"/>
                <w:color w:val="auto"/>
              </w:rPr>
            </w:pPr>
          </w:p>
        </w:tc>
        <w:tc>
          <w:tcPr>
            <w:tcW w:w="66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c>
          <w:tcPr>
            <w:tcW w:w="160" w:type="dxa"/>
            <w:vAlign w:val="bottom"/>
            <w:tcBorders>
              <w:top w:val="single" w:sz="8" w:color="CCEEFF"/>
              <w:right w:val="single" w:sz="8" w:color="auto"/>
            </w:tcBorders>
            <w:shd w:val="clear" w:color="auto" w:fill="CCEEFF"/>
          </w:tcPr>
          <w:p>
            <w:pPr>
              <w:spacing w:after="0"/>
              <w:rPr>
                <w:sz w:val="2"/>
                <w:szCs w:val="2"/>
                <w:color w:val="auto"/>
              </w:rPr>
            </w:pPr>
          </w:p>
        </w:tc>
        <w:tc>
          <w:tcPr>
            <w:tcW w:w="6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5003165</wp:posOffset>
            </wp:positionH>
            <wp:positionV relativeFrom="paragraph">
              <wp:posOffset>-650875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-650875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-650875</wp:posOffset>
            </wp:positionV>
            <wp:extent cx="342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Company’s cost of revenue primarily consists of web hosting, internet service costs, and credit card processing costs.</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Product Development Costs</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Advertising</w:t>
      </w:r>
    </w:p>
    <w:p>
      <w:pPr>
        <w:spacing w:after="0" w:line="117"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Company expenses the cost of advertising in the period incurred. Advertising expense totaled $17.7 million, $10.6 million and $20.6 million for the years ended December 31, 2021, 2020 and 2019, respectively, and are included in sales and marketing expense in the accompanying consolidated statements of operations.</w:t>
      </w:r>
    </w:p>
    <w:p>
      <w:pPr>
        <w:spacing w:after="0" w:line="2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The Company measures fair value of employee stock-based compensation awards on the date of grant and allocates the related expense over the requisite service period. The fair value of restricted stock units and performance-based restricted stock units is equal to the market price of the Company’s common stock on the date of grant. The fair value of the Class P Units is measured using the Black-Scholes-Merton valuation model. When awards include a performance condition that impacts the vesting of the award, the Company records compensation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7" w:name="page148"/>
    <w:bookmarkEnd w:id="14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86" w:lineRule="auto"/>
        <w:rPr>
          <w:sz w:val="20"/>
          <w:szCs w:val="20"/>
          <w:color w:val="auto"/>
        </w:rPr>
      </w:pPr>
      <w:r>
        <w:rPr>
          <w:rFonts w:ascii="Arial" w:cs="Arial" w:eastAsia="Arial" w:hAnsi="Arial"/>
          <w:sz w:val="17"/>
          <w:szCs w:val="17"/>
          <w:color w:val="auto"/>
        </w:rPr>
        <w:t>cost when it becomes probable that the performance condition will be met and the expense will be attributed over the performance period. The expected volatility is based on the historical volatility and implied volatilities for comparable companies, the expected life of the award is based on the simplified method.</w:t>
      </w:r>
    </w:p>
    <w:p>
      <w:pPr>
        <w:spacing w:after="0" w:line="5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23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Other Expense</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Other expense consists primarily of transaction costs related to the warrants, political contributions, interest expense, legal settlements, financing fees and other tax related expenses.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Company accounts for income taxes pursuant to the asset and liability method which requires the recognition of deferred income tax assets and liabilities related to the expected future tax consequences arising from temporary differences between the carrying amounts and tax bases of assets and liabilities based on enacted statutory tax rates applicable to the periods in which the temporary differences are expected to reverse. Any effects of changes in income tax rates or laws are included in income tax expense in the period of enactment. A valuation allowance is recognized if we determine it is more likely than not that all or a portion of a deferred tax asset will not be recognized. In making such determination, the Company considers all available evidence, including scheduled reversals of deferred tax liabilities, projected future taxable income, tax planning strategies and recent and expected future results of operation.</w:t>
      </w:r>
    </w:p>
    <w:p>
      <w:pPr>
        <w:spacing w:after="0" w:line="2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and its subsidiaries operate in one business segment.</w:t>
      </w:r>
    </w:p>
    <w:p>
      <w:pPr>
        <w:spacing w:after="0" w:line="27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Basic income (loss) per share is computed by dividing net income (loss) attributable to WM Technology, Inc.</w:t>
      </w:r>
    </w:p>
    <w:p>
      <w:pPr>
        <w:spacing w:after="0" w:line="4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by the weighted-average number of shares of Class A Common Stock outstanding during the period.</w:t>
      </w:r>
    </w:p>
    <w:p>
      <w:pPr>
        <w:spacing w:after="0" w:line="10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 Stock awards are excluded from the calculation of diluted EPS in the event they are antidilutive or subject to performance conditions for which the necessary conditions have not been satisfied by the end of the reporting period.</w:t>
      </w:r>
    </w:p>
    <w:p>
      <w:pPr>
        <w:spacing w:after="0" w:line="53"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consolidated financial statements. As a result,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21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jc w:val="both"/>
        <w:ind w:left="300" w:right="299" w:firstLine="360"/>
        <w:spacing w:after="0" w:line="342" w:lineRule="auto"/>
        <w:rPr>
          <w:sz w:val="20"/>
          <w:szCs w:val="20"/>
          <w:color w:val="auto"/>
        </w:rPr>
      </w:pPr>
      <w:r>
        <w:rPr>
          <w:rFonts w:ascii="Arial" w:cs="Arial" w:eastAsia="Arial" w:hAnsi="Arial"/>
          <w:sz w:val="16"/>
          <w:szCs w:val="16"/>
          <w:color w:val="auto"/>
        </w:rPr>
        <w:t>Prior to December 31, 2021, the Company was an “emerging growth company” (EGC) as defined in the Jumpstart Our Business Startups Act, (JOBS Act), and elected to take advantage of certain exemptions from various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8" w:name="page149"/>
    <w:bookmarkEnd w:id="14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9" w:lineRule="auto"/>
        <w:rPr>
          <w:sz w:val="20"/>
          <w:szCs w:val="20"/>
          <w:color w:val="auto"/>
        </w:rPr>
      </w:pPr>
      <w:r>
        <w:rPr>
          <w:rFonts w:ascii="Arial" w:cs="Arial" w:eastAsia="Arial" w:hAnsi="Arial"/>
          <w:sz w:val="18"/>
          <w:szCs w:val="18"/>
          <w:color w:val="auto"/>
        </w:rPr>
        <w:t>reporting requirements that are applicable to other public companies until the Company is no longer an EGC, including using the extended transition period for complying with new or revised accounting standards. As of December 31, 2021, the Company has become a large accelerated filer under the rules of the SEC and is no longer classified as an EGC.</w:t>
      </w:r>
    </w:p>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60" w:lineRule="exact"/>
        <w:rPr>
          <w:sz w:val="20"/>
          <w:szCs w:val="20"/>
          <w:color w:val="auto"/>
        </w:rPr>
      </w:pPr>
    </w:p>
    <w:p>
      <w:pPr>
        <w:jc w:val="both"/>
        <w:ind w:left="300" w:right="299" w:firstLine="360"/>
        <w:spacing w:after="0" w:line="268" w:lineRule="auto"/>
        <w:rPr>
          <w:sz w:val="20"/>
          <w:szCs w:val="20"/>
          <w:color w:val="auto"/>
        </w:rPr>
      </w:pPr>
      <w:r>
        <w:rPr>
          <w:rFonts w:ascii="Arial" w:cs="Arial" w:eastAsia="Arial" w:hAnsi="Arial"/>
          <w:sz w:val="17"/>
          <w:szCs w:val="17"/>
          <w:color w:val="auto"/>
        </w:rPr>
        <w:t>In June 2016, the FASB issued ASU 2016-13, Financial Instruments—Credit Losses: Measurement of Credit Losses on Financial Instruments (Topic 326). This update modifies measurement of credit losses. The new standard requires that entities estimate credit losses based upon an “expected credit loss” approach rather than the historical “incurred loss” approach. The new approach requires entities to measure all expected credit losses for financial assets based on historical experience, current conditions and reasonable forecasts of collectability. The change in approach impacts the timing of recognition of credit losses.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8"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In August 2018, the FASB issued ASU 2018-15, Intangibles—Goodwill and Other—Internal-Use Software (Subtopic 350-40). The new standard aligns the requirements for capitalizing implementation costs incurred in a cloud computing arrangement that is a service contract with the requirements for capitalizing implementation costs incurred to develop or obtain internal-use software (and hosting arrangements that include an internal-use software license). The Company adopted this guidance effective on January 1, 2021, using the modified retrospective transition approach. Prior to December 31, 2021, as an EGC, the Company elected to use the extended transition period provided by the JOBS Act for the implementation of new or revised accounting standards, and as a result of this election, the Company did not have to comply with the public company FASB standard’s effective date for this guidance until the Company ceased to be classified as an EGC. Effective on December 31, 2021, the Company lost its EGC status which accelerated the requirement of this adoption. The adoption of this guidance did not have a material impact on the Company’s consolidated financial statements.</w:t>
      </w:r>
    </w:p>
    <w:p>
      <w:pPr>
        <w:spacing w:after="0" w:line="74"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In December 2019, the FASB issued ASU 2019-12, Income Taxes (ASC 740): Simplifying the Accounting for Income Taxes. The standard eliminates the need for an organization to analyze whether the following apply in a given period: (1) the exception to the incremental approach for intraperiod tax allocation; (2) the exceptions to accounting for basis differences when there are ownership changes in foreign investments; and (3) the exception in interim periods income tax accounting for year-to-date losses that exceed anticipated losses. The ASU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(4) enacted changes in tax laws in interim periods and (5) certain income tax accounting for employee stock ownership plans and affordable housing projects. The Company adopted ASU 2019-12 on January 1, 2021 on a prospective basis. The adoption did not have a material impact on the Company’s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9" w:name="page150"/>
    <w:bookmarkEnd w:id="14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0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Effective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components of lease related costs, net for the year ended December 31, 2021 are as follows (in thousands):</w:t>
      </w:r>
    </w:p>
    <w:p>
      <w:pPr>
        <w:spacing w:after="0" w:line="18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auto"/>
              </w:rPr>
              <w:t>31, 2021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1460" w:type="dxa"/>
            <w:vAlign w:val="bottom"/>
            <w:tcBorders>
              <w:bottom w:val="single" w:sz="8" w:color="CCEEFF"/>
            </w:tcBorders>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$ 9,229</w:t>
            </w: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Variable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2,217</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 cost</w:t>
            </w: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11,446</w:t>
            </w: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257"/>
        </w:trPr>
        <w:tc>
          <w:tcPr>
            <w:tcW w:w="6960" w:type="dxa"/>
            <w:vAlign w:val="bottom"/>
          </w:tcPr>
          <w:p>
            <w:pPr>
              <w:spacing w:after="0"/>
              <w:rPr>
                <w:sz w:val="20"/>
                <w:szCs w:val="20"/>
                <w:color w:val="auto"/>
              </w:rPr>
            </w:pPr>
            <w:r>
              <w:rPr>
                <w:rFonts w:ascii="Arial" w:cs="Arial" w:eastAsia="Arial" w:hAnsi="Arial"/>
                <w:sz w:val="18"/>
                <w:szCs w:val="18"/>
                <w:color w:val="auto"/>
              </w:rPr>
              <w:t>Short-term lease cost</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r>
      <w:tr>
        <w:trPr>
          <w:trHeight w:val="61"/>
        </w:trPr>
        <w:tc>
          <w:tcPr>
            <w:tcW w:w="6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cost, net</w:t>
            </w:r>
          </w:p>
        </w:tc>
        <w:tc>
          <w:tcPr>
            <w:tcW w:w="4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$ 11,534</w:t>
            </w:r>
          </w:p>
        </w:tc>
        <w:tc>
          <w:tcPr>
            <w:tcW w:w="4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-1079500</wp:posOffset>
            </wp:positionV>
            <wp:extent cx="15430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90" w:lineRule="auto"/>
        <w:rPr>
          <w:sz w:val="20"/>
          <w:szCs w:val="20"/>
          <w:color w:val="auto"/>
        </w:rPr>
      </w:pPr>
      <w:r>
        <w:rPr>
          <w:rFonts w:ascii="Arial" w:cs="Arial" w:eastAsia="Arial" w:hAnsi="Arial"/>
          <w:sz w:val="16"/>
          <w:szCs w:val="16"/>
          <w:color w:val="auto"/>
        </w:rPr>
        <w:t>During the year ended December 31, 2021, the Company made cash payments of $8.2 million on its operating leases, all of which were included in cash flows from operating activities within the consolidated statements of cash flows. During the year ended December 31, 2021, ROU assets obtained in exchange for operating lease liabilities were $43.3 million. Net rent expense for the years ended December 31, 2021, 2020 and 2019 amounted to $11.5 million, $11.1 million, and $5.6 million, respectively, and is included in general and administrative expense in the accompanying consolidated statements of operations. Sublease rental income is recognized as a reduction to the related lease expense on a straight-line basis over the sublease term. For the year ended December 31, 2021, the Company recorded contra rent expense related to a sublease of $0.2 million.</w:t>
      </w:r>
    </w:p>
    <w:p>
      <w:pPr>
        <w:spacing w:after="0" w:line="5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As of December 31, 2021, future minimum payments for the next five years and thereafter are as follows (in thousands):</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Operating</w:t>
            </w:r>
          </w:p>
        </w:tc>
      </w:tr>
      <w:tr>
        <w:trPr>
          <w:trHeight w:val="186"/>
        </w:trPr>
        <w:tc>
          <w:tcPr>
            <w:tcW w:w="7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Leases</w:t>
            </w:r>
          </w:p>
        </w:tc>
      </w:tr>
      <w:tr>
        <w:trPr>
          <w:trHeight w:val="53"/>
        </w:trPr>
        <w:tc>
          <w:tcPr>
            <w:tcW w:w="770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311"/>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2022</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$ 9,597</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9,898</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2024</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9,405</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04"/>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7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5,830</w:t>
            </w:r>
          </w:p>
        </w:tc>
      </w:tr>
      <w:tr>
        <w:trPr>
          <w:trHeight w:val="270"/>
        </w:trPr>
        <w:tc>
          <w:tcPr>
            <w:tcW w:w="7700" w:type="dxa"/>
            <w:vAlign w:val="bottom"/>
          </w:tcPr>
          <w:p>
            <w:pPr>
              <w:spacing w:after="0"/>
              <w:rPr>
                <w:sz w:val="20"/>
                <w:szCs w:val="20"/>
                <w:color w:val="auto"/>
              </w:rPr>
            </w:pPr>
            <w:r>
              <w:rPr>
                <w:rFonts w:ascii="Arial" w:cs="Arial" w:eastAsia="Arial" w:hAnsi="Arial"/>
                <w:sz w:val="18"/>
                <w:szCs w:val="18"/>
                <w:color w:val="auto"/>
              </w:rPr>
              <w:t>2026</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rPr>
              <w:t>5,408</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gridSpan w:val="2"/>
            <w:shd w:val="clear" w:color="auto" w:fill="CCEEFF"/>
          </w:tcPr>
          <w:p>
            <w:pPr>
              <w:spacing w:after="0"/>
              <w:rPr>
                <w:sz w:val="24"/>
                <w:szCs w:val="24"/>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24,325</w:t>
            </w:r>
          </w:p>
        </w:tc>
      </w:tr>
      <w:tr>
        <w:trPr>
          <w:trHeight w:val="284"/>
        </w:trPr>
        <w:tc>
          <w:tcPr>
            <w:tcW w:w="7700" w:type="dxa"/>
            <w:vAlign w:val="bottom"/>
          </w:tcPr>
          <w:p>
            <w:pPr>
              <w:ind w:left="180"/>
              <w:spacing w:after="0"/>
              <w:rPr>
                <w:sz w:val="20"/>
                <w:szCs w:val="20"/>
                <w:color w:val="auto"/>
              </w:rPr>
            </w:pPr>
            <w:r>
              <w:rPr>
                <w:rFonts w:ascii="Arial" w:cs="Arial" w:eastAsia="Arial" w:hAnsi="Arial"/>
                <w:sz w:val="18"/>
                <w:szCs w:val="18"/>
                <w:color w:val="auto"/>
              </w:rPr>
              <w:t>Total</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$ 64,463</w:t>
            </w:r>
          </w:p>
        </w:tc>
      </w:tr>
      <w:tr>
        <w:trPr>
          <w:trHeight w:val="54"/>
        </w:trPr>
        <w:tc>
          <w:tcPr>
            <w:tcW w:w="77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r>
      <w:tr>
        <w:trPr>
          <w:trHeight w:val="318"/>
        </w:trPr>
        <w:tc>
          <w:tcPr>
            <w:tcW w:w="7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present value discount</w:t>
            </w:r>
          </w:p>
        </w:tc>
        <w:tc>
          <w:tcPr>
            <w:tcW w:w="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(19,623)</w:t>
            </w:r>
          </w:p>
        </w:tc>
      </w:tr>
      <w:tr>
        <w:trPr>
          <w:trHeight w:val="270"/>
        </w:trPr>
        <w:tc>
          <w:tcPr>
            <w:tcW w:w="7700" w:type="dxa"/>
            <w:vAlign w:val="bottom"/>
          </w:tcPr>
          <w:p>
            <w:pPr>
              <w:ind w:left="180"/>
              <w:spacing w:after="0"/>
              <w:rPr>
                <w:sz w:val="20"/>
                <w:szCs w:val="20"/>
                <w:color w:val="auto"/>
              </w:rPr>
            </w:pPr>
            <w:r>
              <w:rPr>
                <w:rFonts w:ascii="Arial" w:cs="Arial" w:eastAsia="Arial" w:hAnsi="Arial"/>
                <w:sz w:val="18"/>
                <w:szCs w:val="18"/>
                <w:color w:val="auto"/>
              </w:rPr>
              <w:t>Operating lease liabilities</w:t>
            </w:r>
          </w:p>
        </w:tc>
        <w:tc>
          <w:tcPr>
            <w:tcW w:w="720" w:type="dxa"/>
            <w:vAlign w:val="bottom"/>
            <w:gridSpan w:val="4"/>
          </w:tcPr>
          <w:p>
            <w:pPr>
              <w:jc w:val="right"/>
              <w:spacing w:after="0"/>
              <w:rPr>
                <w:sz w:val="20"/>
                <w:szCs w:val="20"/>
                <w:color w:val="auto"/>
              </w:rPr>
            </w:pPr>
            <w:r>
              <w:rPr>
                <w:rFonts w:ascii="Arial" w:cs="Arial" w:eastAsia="Arial" w:hAnsi="Arial"/>
                <w:sz w:val="18"/>
                <w:szCs w:val="18"/>
                <w:color w:val="auto"/>
                <w:w w:val="99"/>
              </w:rPr>
              <w:t>$ 44,840</w:t>
            </w:r>
          </w:p>
        </w:tc>
      </w:tr>
      <w:tr>
        <w:trPr>
          <w:trHeight w:val="20"/>
        </w:trPr>
        <w:tc>
          <w:tcPr>
            <w:tcW w:w="7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-2099945</wp:posOffset>
            </wp:positionV>
            <wp:extent cx="2743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As of December 31, 2021, the Company’s operating leases had a weighted average remaining lease term of 7.4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year ended December 31,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consolidated statements of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0" w:name="page151"/>
    <w:bookmarkEnd w:id="15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3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180" w:lineRule="exact"/>
        <w:rPr>
          <w:sz w:val="20"/>
          <w:szCs w:val="20"/>
          <w:color w:val="auto"/>
        </w:rPr>
      </w:pPr>
    </w:p>
    <w:p>
      <w:pPr>
        <w:ind w:left="640" w:hanging="348"/>
        <w:spacing w:after="0"/>
        <w:tabs>
          <w:tab w:leader="none" w:pos="64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 (in thousands):</w:t>
      </w:r>
    </w:p>
    <w:p>
      <w:pPr>
        <w:spacing w:after="0" w:line="14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480" w:type="dxa"/>
            <w:vAlign w:val="bottom"/>
          </w:tcPr>
          <w:p>
            <w:pPr>
              <w:spacing w:after="0"/>
              <w:rPr>
                <w:sz w:val="16"/>
                <w:szCs w:val="16"/>
                <w:color w:val="auto"/>
              </w:rPr>
            </w:pPr>
          </w:p>
        </w:tc>
        <w:tc>
          <w:tcPr>
            <w:tcW w:w="7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648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6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Liabilities:</w:t>
            </w:r>
          </w:p>
        </w:tc>
        <w:tc>
          <w:tcPr>
            <w:tcW w:w="3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70"/>
        </w:trPr>
        <w:tc>
          <w:tcPr>
            <w:tcW w:w="6480" w:type="dxa"/>
            <w:vAlign w:val="bottom"/>
          </w:tcPr>
          <w:p>
            <w:pPr>
              <w:spacing w:after="0"/>
              <w:rPr>
                <w:sz w:val="20"/>
                <w:szCs w:val="20"/>
                <w:color w:val="auto"/>
              </w:rPr>
            </w:pPr>
            <w:r>
              <w:rPr>
                <w:rFonts w:ascii="Arial" w:cs="Arial" w:eastAsia="Arial" w:hAnsi="Arial"/>
                <w:sz w:val="18"/>
                <w:szCs w:val="18"/>
                <w:color w:val="auto"/>
              </w:rPr>
              <w:t>Warrant liability – Public Warrants</w:t>
            </w:r>
          </w:p>
        </w:tc>
        <w:tc>
          <w:tcPr>
            <w:tcW w:w="3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$ 16,750</w:t>
            </w:r>
          </w:p>
        </w:tc>
      </w:tr>
      <w:tr>
        <w:trPr>
          <w:trHeight w:val="54"/>
        </w:trPr>
        <w:tc>
          <w:tcPr>
            <w:tcW w:w="6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 – Private Placement Warrants</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10,710</w:t>
            </w:r>
          </w:p>
        </w:tc>
      </w:tr>
      <w:tr>
        <w:trPr>
          <w:trHeight w:val="61"/>
        </w:trPr>
        <w:tc>
          <w:tcPr>
            <w:tcW w:w="64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6480" w:type="dxa"/>
            <w:vAlign w:val="bottom"/>
          </w:tcPr>
          <w:p>
            <w:pPr>
              <w:ind w:left="180"/>
              <w:spacing w:after="0"/>
              <w:rPr>
                <w:sz w:val="20"/>
                <w:szCs w:val="20"/>
                <w:color w:val="auto"/>
              </w:rPr>
            </w:pPr>
            <w:r>
              <w:rPr>
                <w:rFonts w:ascii="Arial" w:cs="Arial" w:eastAsia="Arial" w:hAnsi="Arial"/>
                <w:sz w:val="18"/>
                <w:szCs w:val="18"/>
                <w:color w:val="auto"/>
              </w:rPr>
              <w:t>Total warrant liability</w:t>
            </w:r>
          </w:p>
        </w:tc>
        <w:tc>
          <w:tcPr>
            <w:tcW w:w="3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$ 27,460</w:t>
            </w:r>
          </w:p>
        </w:tc>
      </w:tr>
      <w:tr>
        <w:trPr>
          <w:trHeight w:val="21"/>
        </w:trPr>
        <w:tc>
          <w:tcPr>
            <w:tcW w:w="6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-847725</wp:posOffset>
            </wp:positionV>
            <wp:extent cx="2654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65430" cy="8255"/>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-847725</wp:posOffset>
            </wp:positionV>
            <wp:extent cx="137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changes in the fair value of the warrant liabilities (in thousands):</w:t>
      </w:r>
    </w:p>
    <w:p>
      <w:pPr>
        <w:spacing w:after="0" w:line="190"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8"/>
          </w:tcPr>
          <w:p>
            <w:pPr>
              <w:jc w:val="right"/>
              <w:ind w:right="49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53"/>
        </w:trPr>
        <w:tc>
          <w:tcPr>
            <w:tcW w:w="534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5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Private</w:t>
            </w:r>
          </w:p>
        </w:tc>
        <w:tc>
          <w:tcPr>
            <w:tcW w:w="20" w:type="dxa"/>
            <w:vAlign w:val="bottom"/>
          </w:tcPr>
          <w:p>
            <w:pPr>
              <w:spacing w:after="0"/>
              <w:rPr>
                <w:sz w:val="16"/>
                <w:szCs w:val="16"/>
                <w:color w:val="auto"/>
              </w:rPr>
            </w:pPr>
          </w:p>
        </w:tc>
        <w:tc>
          <w:tcPr>
            <w:tcW w:w="78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3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3"/>
              </w:rPr>
              <w:t>Public Warrants</w:t>
            </w: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Placement</w:t>
            </w: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9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Warrants</w:t>
            </w:r>
          </w:p>
        </w:tc>
        <w:tc>
          <w:tcPr>
            <w:tcW w:w="20" w:type="dxa"/>
            <w:vAlign w:val="bottom"/>
          </w:tcPr>
          <w:p>
            <w:pPr>
              <w:spacing w:after="0"/>
              <w:rPr>
                <w:sz w:val="16"/>
                <w:szCs w:val="16"/>
                <w:color w:val="auto"/>
              </w:rPr>
            </w:pPr>
          </w:p>
        </w:tc>
        <w:tc>
          <w:tcPr>
            <w:tcW w:w="7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53"/>
        </w:trPr>
        <w:tc>
          <w:tcPr>
            <w:tcW w:w="534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beginning of period</w:t>
            </w:r>
          </w:p>
        </w:tc>
        <w:tc>
          <w:tcPr>
            <w:tcW w:w="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Arial" w:cs="Arial" w:eastAsia="Arial" w:hAnsi="Arial"/>
                <w:sz w:val="18"/>
                <w:szCs w:val="18"/>
                <w:color w:val="auto"/>
              </w:rPr>
              <w:t>Warrant liability acquired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100,750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rPr>
              <w:t>93,228</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193,978</w:t>
            </w:r>
          </w:p>
        </w:tc>
        <w:tc>
          <w:tcPr>
            <w:tcW w:w="0" w:type="dxa"/>
            <w:vAlign w:val="bottom"/>
          </w:tcPr>
          <w:p>
            <w:pPr>
              <w:spacing w:after="0"/>
              <w:rPr>
                <w:sz w:val="1"/>
                <w:szCs w:val="1"/>
                <w:color w:val="auto"/>
              </w:rPr>
            </w:pPr>
          </w:p>
        </w:tc>
      </w:tr>
      <w:tr>
        <w:trPr>
          <w:trHeight w:val="54"/>
        </w:trPr>
        <w:tc>
          <w:tcPr>
            <w:tcW w:w="5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inputs or other assumptions</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(84,000)</w:t>
            </w:r>
          </w:p>
        </w:tc>
        <w:tc>
          <w:tcPr>
            <w:tcW w:w="280" w:type="dxa"/>
            <w:vAlign w:val="bottom"/>
            <w:shd w:val="clear" w:color="auto" w:fill="CCEEFF"/>
          </w:tcPr>
          <w:p>
            <w:pPr>
              <w:spacing w:after="0"/>
              <w:rPr>
                <w:sz w:val="22"/>
                <w:szCs w:val="22"/>
                <w:color w:val="auto"/>
              </w:rPr>
            </w:pP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(82,518)</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(166,518)</w:t>
            </w:r>
          </w:p>
        </w:tc>
        <w:tc>
          <w:tcPr>
            <w:tcW w:w="0" w:type="dxa"/>
            <w:vAlign w:val="bottom"/>
          </w:tcPr>
          <w:p>
            <w:pPr>
              <w:spacing w:after="0"/>
              <w:rPr>
                <w:sz w:val="1"/>
                <w:szCs w:val="1"/>
                <w:color w:val="auto"/>
              </w:rPr>
            </w:pPr>
          </w:p>
        </w:tc>
      </w:tr>
      <w:tr>
        <w:trPr>
          <w:trHeight w:val="61"/>
        </w:trPr>
        <w:tc>
          <w:tcPr>
            <w:tcW w:w="534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c>
          <w:tcPr>
            <w:tcW w:w="620" w:type="dxa"/>
            <w:vAlign w:val="bottom"/>
            <w:tcBorders>
              <w:top w:val="single" w:sz="8" w:color="auto"/>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640" w:type="dxa"/>
            <w:vAlign w:val="bottom"/>
            <w:tcBorders>
              <w:top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5340" w:type="dxa"/>
            <w:vAlign w:val="bottom"/>
          </w:tcPr>
          <w:p>
            <w:pPr>
              <w:ind w:left="180"/>
              <w:spacing w:after="0"/>
              <w:rPr>
                <w:sz w:val="20"/>
                <w:szCs w:val="20"/>
                <w:color w:val="auto"/>
              </w:rPr>
            </w:pPr>
            <w:r>
              <w:rPr>
                <w:rFonts w:ascii="Arial" w:cs="Arial" w:eastAsia="Arial" w:hAnsi="Arial"/>
                <w:sz w:val="18"/>
                <w:szCs w:val="18"/>
                <w:color w:val="auto"/>
              </w:rPr>
              <w:t>Fair value, end of period</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$ 16,750</w:t>
            </w:r>
          </w:p>
        </w:tc>
        <w:tc>
          <w:tcPr>
            <w:tcW w:w="280" w:type="dxa"/>
            <w:vAlign w:val="bottom"/>
          </w:tcPr>
          <w:p>
            <w:pPr>
              <w:spacing w:after="0"/>
              <w:rPr>
                <w:sz w:val="23"/>
                <w:szCs w:val="23"/>
                <w:color w:val="auto"/>
              </w:rPr>
            </w:pPr>
          </w:p>
        </w:tc>
        <w:tc>
          <w:tcPr>
            <w:tcW w:w="980" w:type="dxa"/>
            <w:vAlign w:val="bottom"/>
            <w:gridSpan w:val="3"/>
          </w:tcPr>
          <w:p>
            <w:pPr>
              <w:jc w:val="right"/>
              <w:ind w:right="280"/>
              <w:spacing w:after="0"/>
              <w:rPr>
                <w:sz w:val="20"/>
                <w:szCs w:val="20"/>
                <w:color w:val="auto"/>
              </w:rPr>
            </w:pPr>
            <w:r>
              <w:rPr>
                <w:rFonts w:ascii="Arial" w:cs="Arial" w:eastAsia="Arial" w:hAnsi="Arial"/>
                <w:sz w:val="18"/>
                <w:szCs w:val="18"/>
                <w:color w:val="auto"/>
                <w:w w:val="96"/>
              </w:rPr>
              <w:t>$ 10,710</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$ 27,460</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-847725</wp:posOffset>
            </wp:positionV>
            <wp:extent cx="1714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4231640</wp:posOffset>
            </wp:positionH>
            <wp:positionV relativeFrom="paragraph">
              <wp:posOffset>-847725</wp:posOffset>
            </wp:positionV>
            <wp:extent cx="1714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3494405</wp:posOffset>
            </wp:positionH>
            <wp:positionV relativeFrom="paragraph">
              <wp:posOffset>-847725</wp:posOffset>
            </wp:positionV>
            <wp:extent cx="857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0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$16.8 million and $100.8 million as of December 31, 2021 and June 16, 2021, respectively.</w:t>
      </w:r>
    </w:p>
    <w:p>
      <w:pPr>
        <w:spacing w:after="0" w:line="31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1" w:name="page152"/>
    <w:bookmarkEnd w:id="15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following table provides quantitative information regarding Level 3 fair value measurements inputs at their measurement dates: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220" w:type="dxa"/>
            <w:vAlign w:val="bottom"/>
          </w:tcPr>
          <w:p>
            <w:pPr>
              <w:spacing w:after="0"/>
              <w:rPr>
                <w:sz w:val="16"/>
                <w:szCs w:val="16"/>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 2021</w:t>
            </w: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w w:val="90"/>
              </w:rPr>
              <w:t>June 16, 2021</w:t>
            </w:r>
          </w:p>
        </w:tc>
      </w:tr>
      <w:tr>
        <w:trPr>
          <w:trHeight w:val="53"/>
        </w:trPr>
        <w:tc>
          <w:tcPr>
            <w:tcW w:w="6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r>
      <w:tr>
        <w:trPr>
          <w:trHeight w:val="311"/>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3"/>
              </w:rPr>
              <w:t>11.50</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$ 11.50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Stock price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0"/>
              <w:spacing w:after="0"/>
              <w:rPr>
                <w:sz w:val="20"/>
                <w:szCs w:val="20"/>
                <w:color w:val="auto"/>
              </w:rPr>
            </w:pPr>
            <w:r>
              <w:rPr>
                <w:rFonts w:ascii="Arial" w:cs="Arial" w:eastAsia="Arial" w:hAnsi="Arial"/>
                <w:sz w:val="18"/>
                <w:szCs w:val="18"/>
                <w:color w:val="auto"/>
              </w:rPr>
              <w:t>5.98</w:t>
            </w:r>
          </w:p>
        </w:tc>
        <w:tc>
          <w:tcPr>
            <w:tcW w:w="160" w:type="dxa"/>
            <w:vAlign w:val="bottom"/>
          </w:tcPr>
          <w:p>
            <w:pPr>
              <w:spacing w:after="0"/>
              <w:rPr>
                <w:sz w:val="23"/>
                <w:szCs w:val="23"/>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$ 20.55</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304"/>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Volatility</w:t>
            </w:r>
          </w:p>
        </w:tc>
        <w:tc>
          <w:tcPr>
            <w:tcW w:w="4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52.4%</w:t>
            </w:r>
          </w:p>
        </w:tc>
        <w:tc>
          <w:tcPr>
            <w:tcW w:w="1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3"/>
              </w:rPr>
              <w:t>60.0%</w:t>
            </w:r>
          </w:p>
        </w:tc>
      </w:tr>
      <w:tr>
        <w:trPr>
          <w:trHeight w:val="270"/>
        </w:trPr>
        <w:tc>
          <w:tcPr>
            <w:tcW w:w="6220" w:type="dxa"/>
            <w:vAlign w:val="bottom"/>
          </w:tcPr>
          <w:p>
            <w:pPr>
              <w:spacing w:after="0"/>
              <w:rPr>
                <w:sz w:val="20"/>
                <w:szCs w:val="20"/>
                <w:color w:val="auto"/>
              </w:rPr>
            </w:pPr>
            <w:r>
              <w:rPr>
                <w:rFonts w:ascii="Arial" w:cs="Arial" w:eastAsia="Arial" w:hAnsi="Arial"/>
                <w:sz w:val="18"/>
                <w:szCs w:val="18"/>
                <w:color w:val="auto"/>
              </w:rPr>
              <w:t>Term (years)</w:t>
            </w:r>
          </w:p>
        </w:tc>
        <w:tc>
          <w:tcPr>
            <w:tcW w:w="460" w:type="dxa"/>
            <w:vAlign w:val="bottom"/>
          </w:tcPr>
          <w:p>
            <w:pPr>
              <w:spacing w:after="0"/>
              <w:rPr>
                <w:sz w:val="23"/>
                <w:szCs w:val="23"/>
                <w:color w:val="auto"/>
              </w:rPr>
            </w:pPr>
          </w:p>
        </w:tc>
        <w:tc>
          <w:tcPr>
            <w:tcW w:w="720" w:type="dxa"/>
            <w:vAlign w:val="bottom"/>
          </w:tcPr>
          <w:p>
            <w:pPr>
              <w:ind w:left="60"/>
              <w:spacing w:after="0"/>
              <w:rPr>
                <w:sz w:val="20"/>
                <w:szCs w:val="20"/>
                <w:color w:val="auto"/>
              </w:rPr>
            </w:pPr>
            <w:r>
              <w:rPr>
                <w:rFonts w:ascii="Arial" w:cs="Arial" w:eastAsia="Arial" w:hAnsi="Arial"/>
                <w:sz w:val="18"/>
                <w:szCs w:val="18"/>
                <w:color w:val="auto"/>
              </w:rPr>
              <w:t>4.46</w:t>
            </w:r>
          </w:p>
        </w:tc>
        <w:tc>
          <w:tcPr>
            <w:tcW w:w="160" w:type="dxa"/>
            <w:vAlign w:val="bottom"/>
          </w:tcPr>
          <w:p>
            <w:pPr>
              <w:spacing w:after="0"/>
              <w:rPr>
                <w:sz w:val="23"/>
                <w:szCs w:val="23"/>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5.00</w:t>
            </w:r>
          </w:p>
        </w:tc>
      </w:tr>
      <w:tr>
        <w:trPr>
          <w:trHeight w:val="54"/>
        </w:trPr>
        <w:tc>
          <w:tcPr>
            <w:tcW w:w="6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7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460" w:type="dxa"/>
            <w:vAlign w:val="bottom"/>
            <w:shd w:val="clear" w:color="auto" w:fill="CCEEFF"/>
          </w:tcPr>
          <w:p>
            <w:pPr>
              <w:spacing w:after="0"/>
              <w:rPr>
                <w:sz w:val="23"/>
                <w:szCs w:val="23"/>
                <w:color w:val="auto"/>
              </w:rPr>
            </w:pPr>
          </w:p>
        </w:tc>
        <w:tc>
          <w:tcPr>
            <w:tcW w:w="720" w:type="dxa"/>
            <w:vAlign w:val="bottom"/>
            <w:shd w:val="clear" w:color="auto" w:fill="CCEEFF"/>
          </w:tcPr>
          <w:p>
            <w:pPr>
              <w:ind w:left="60"/>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3"/>
              </w:rPr>
              <w:t>0.89%</w:t>
            </w:r>
          </w:p>
        </w:tc>
      </w:tr>
      <w:tr>
        <w:trPr>
          <w:trHeight w:val="54"/>
        </w:trPr>
        <w:tc>
          <w:tcPr>
            <w:tcW w:w="622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-1045210</wp:posOffset>
            </wp:positionV>
            <wp:extent cx="1028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-1045210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valuations of the Private Placement Warrants use assumptions and estimates the Company believes would be made by a market participant in making the same valuation. The Company assess these assumptions and estimates on an on-going basis as additional data impacting the assumptions and estimates are obtained. Changes in the fair value of the Private Placement Warrants related to updated assumptions and estimates are recognized within the consolidated statements of operations.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The fair value of the Private Placement Warrants may change significantly as additional data is obtained. In evaluating this information, considerable judgment is required to interpret the data used to develop the assumptions and estimates. The estimates of fair value may not be indicative of the amounts that could be realized in a current market exchange. Accordingly, the use of different market assumptions and/or different valuation techniques may have a material effect on the estimated fair value, and such changes could materially impact the Company’s results of operations in future periods.</w:t>
      </w:r>
    </w:p>
    <w:p>
      <w:pPr>
        <w:spacing w:after="0" w:line="8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Significant changes in the volatility would result in a significant lower or higher fair value measurement,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fair value of the Private Placement Warrants was $10.7 million and $93.2 million as of December 31, 2021 and June 16, 2021, respectively.</w:t>
      </w:r>
    </w:p>
    <w:p>
      <w:pPr>
        <w:spacing w:after="0" w:line="62"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The Warrants were accounted for as liabilities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and are presented within warrant liability on the accompanying consolidated balance sheets. The warrant liabilities are measured at fair value at inception and on a recurring basis, with changes in fair value presented within change in fair value of warrant liability in the consolidated statements of operations.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transfers in or out of Level 3 from other levels in the fair value hierarchy.</w:t>
      </w:r>
    </w:p>
    <w:p>
      <w:pPr>
        <w:spacing w:after="0" w:line="221" w:lineRule="exact"/>
        <w:rPr>
          <w:sz w:val="20"/>
          <w:szCs w:val="20"/>
          <w:color w:val="auto"/>
        </w:rPr>
      </w:pPr>
    </w:p>
    <w:p>
      <w:pPr>
        <w:ind w:left="640" w:hanging="348"/>
        <w:spacing w:after="0"/>
        <w:tabs>
          <w:tab w:leader="none" w:pos="64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As discussed in Note 1, on June 16, 2021, the Company consummated the Business Combination pursuant to the Merger Agreement.</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Closing, the following occurred:</w:t>
      </w:r>
    </w:p>
    <w:p>
      <w:pPr>
        <w:spacing w:after="0" w:line="117" w:lineRule="exact"/>
        <w:rPr>
          <w:sz w:val="20"/>
          <w:szCs w:val="20"/>
          <w:color w:val="auto"/>
        </w:rPr>
      </w:pPr>
    </w:p>
    <w:p>
      <w:pPr>
        <w:ind w:left="1000" w:right="319" w:hanging="348"/>
        <w:spacing w:after="0" w:line="277"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Silver Spike was domesticated and continues as a Delaware corporation, changing its name to “WM Technology, Inc.”</w:t>
      </w:r>
    </w:p>
    <w:p>
      <w:pPr>
        <w:spacing w:after="0" w:line="62" w:lineRule="exact"/>
        <w:rPr>
          <w:rFonts w:ascii="Arial" w:cs="Arial" w:eastAsia="Arial" w:hAnsi="Arial"/>
          <w:sz w:val="18"/>
          <w:szCs w:val="18"/>
          <w:color w:val="auto"/>
        </w:rPr>
      </w:pPr>
    </w:p>
    <w:p>
      <w:pPr>
        <w:jc w:val="both"/>
        <w:ind w:left="1000" w:right="319" w:hanging="348"/>
        <w:spacing w:after="0" w:line="311" w:lineRule="auto"/>
        <w:tabs>
          <w:tab w:leader="none" w:pos="10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40" w:lineRule="exact"/>
        <w:rPr>
          <w:rFonts w:ascii="Arial" w:cs="Arial" w:eastAsia="Arial" w:hAnsi="Arial"/>
          <w:sz w:val="16"/>
          <w:szCs w:val="16"/>
          <w:color w:val="auto"/>
        </w:rPr>
      </w:pPr>
    </w:p>
    <w:p>
      <w:pPr>
        <w:jc w:val="both"/>
        <w:ind w:left="1000" w:right="31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consummated the sale of 32,500,000 shares of Class A Common Stock for a purchase price of $10 per share (together, the “PIPE Financing”) pursuant to certain subscription agreements dated as of December 10, 2020, for an aggregate price of $325.0 million.</w:t>
      </w:r>
    </w:p>
    <w:p>
      <w:pPr>
        <w:spacing w:after="0" w:line="75" w:lineRule="exact"/>
        <w:rPr>
          <w:rFonts w:ascii="Arial" w:cs="Arial" w:eastAsia="Arial" w:hAnsi="Arial"/>
          <w:sz w:val="18"/>
          <w:szCs w:val="18"/>
          <w:color w:val="auto"/>
        </w:rPr>
      </w:pPr>
    </w:p>
    <w:p>
      <w:pPr>
        <w:jc w:val="both"/>
        <w:ind w:left="1000" w:right="319" w:hanging="348"/>
        <w:spacing w:after="0" w:line="263" w:lineRule="auto"/>
        <w:tabs>
          <w:tab w:leader="none" w:pos="10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contributed approximately $80.3 million of cash to WMH LLC, representing (a) the net amount held in the Company’s trust account following the redemption of 10,012 shares of Class A Common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2" w:name="page153"/>
    <w:bookmarkEnd w:id="152"/>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2020" w:right="1300"/>
        <w:spacing w:after="0" w:line="259" w:lineRule="auto"/>
        <w:rPr>
          <w:sz w:val="20"/>
          <w:szCs w:val="20"/>
          <w:color w:val="auto"/>
        </w:rPr>
      </w:pPr>
      <w:r>
        <w:rPr>
          <w:rFonts w:ascii="Arial" w:cs="Arial" w:eastAsia="Arial" w:hAnsi="Arial"/>
          <w:sz w:val="18"/>
          <w:szCs w:val="18"/>
          <w:color w:val="auto"/>
        </w:rPr>
        <w:t>Stock originally sold in the Silver Spike’s initial public offering, less (b) cash consideration of $455.2 million paid to Legacy WMH Class A equity holders, plus (c) $325.0 million in aggregate proceeds from the PIPE Financing, less (d) the aggregate amount of transaction expenses incurred by the parties to the Business Combination Agreement.</w:t>
      </w:r>
    </w:p>
    <w:p>
      <w:pPr>
        <w:spacing w:after="0" w:line="79" w:lineRule="exact"/>
        <w:rPr>
          <w:sz w:val="20"/>
          <w:szCs w:val="20"/>
          <w:color w:val="auto"/>
        </w:rPr>
      </w:pPr>
    </w:p>
    <w:p>
      <w:pPr>
        <w:ind w:left="2000" w:hanging="348"/>
        <w:spacing w:after="0"/>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transferred $455.2 million to the Legacy WMH equity holders as cash consideration.</w:t>
      </w:r>
    </w:p>
    <w:p>
      <w:pPr>
        <w:spacing w:after="0" w:line="117"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Legacy WMH equity holders retained an aggregate of 65,502,347 Class A Units and 25,896,042 Class P Units.</w:t>
      </w:r>
    </w:p>
    <w:p>
      <w:pPr>
        <w:spacing w:after="0" w:line="62" w:lineRule="exact"/>
        <w:rPr>
          <w:rFonts w:ascii="Arial" w:cs="Arial" w:eastAsia="Arial" w:hAnsi="Arial"/>
          <w:sz w:val="18"/>
          <w:szCs w:val="18"/>
          <w:color w:val="auto"/>
        </w:rPr>
      </w:pPr>
    </w:p>
    <w:p>
      <w:pPr>
        <w:ind w:left="2000" w:right="1320" w:hanging="348"/>
        <w:spacing w:after="0" w:line="277"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issued 65,502,347 shares of Class V Common Stock to Class A Unit holders, representing the same number of Class A Units retained by the Legacy WMH equity holders.</w:t>
      </w:r>
    </w:p>
    <w:p>
      <w:pPr>
        <w:spacing w:after="0" w:line="62" w:lineRule="exact"/>
        <w:rPr>
          <w:rFonts w:ascii="Arial" w:cs="Arial" w:eastAsia="Arial" w:hAnsi="Arial"/>
          <w:sz w:val="18"/>
          <w:szCs w:val="18"/>
          <w:color w:val="auto"/>
        </w:rPr>
      </w:pPr>
    </w:p>
    <w:p>
      <w:pPr>
        <w:jc w:val="both"/>
        <w:ind w:left="2000" w:right="1300" w:hanging="348"/>
        <w:spacing w:after="0" w:line="254" w:lineRule="auto"/>
        <w:tabs>
          <w:tab w:leader="none" w:pos="20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84" w:lineRule="exact"/>
        <w:rPr>
          <w:sz w:val="20"/>
          <w:szCs w:val="20"/>
          <w:color w:val="auto"/>
        </w:rPr>
      </w:pPr>
    </w:p>
    <w:p>
      <w:pPr>
        <w:jc w:val="both"/>
        <w:ind w:left="1300" w:right="1300"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4" w:lineRule="exact"/>
        <w:rPr>
          <w:sz w:val="20"/>
          <w:szCs w:val="20"/>
          <w:color w:val="auto"/>
        </w:rPr>
      </w:pPr>
    </w:p>
    <w:p>
      <w:pPr>
        <w:jc w:val="both"/>
        <w:ind w:left="1300" w:right="1320" w:firstLine="360"/>
        <w:spacing w:after="0" w:line="308" w:lineRule="auto"/>
        <w:rPr>
          <w:sz w:val="20"/>
          <w:szCs w:val="20"/>
          <w:color w:val="auto"/>
        </w:rPr>
      </w:pPr>
      <w:r>
        <w:rPr>
          <w:rFonts w:ascii="Arial" w:cs="Arial" w:eastAsia="Arial" w:hAnsi="Arial"/>
          <w:sz w:val="17"/>
          <w:szCs w:val="17"/>
          <w:color w:val="auto"/>
        </w:rPr>
        <w:t>The following table reconciles the elements of the Business Combination to the consolidated statements of cash flows and the consolidated statements of equity for the year ended December 31, 2021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30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2700" w:type="dxa"/>
            <w:vAlign w:val="bottom"/>
            <w:gridSpan w:val="5"/>
          </w:tcPr>
          <w:p>
            <w:pPr>
              <w:ind w:left="20"/>
              <w:spacing w:after="0"/>
              <w:rPr>
                <w:sz w:val="20"/>
                <w:szCs w:val="20"/>
                <w:color w:val="auto"/>
              </w:rPr>
            </w:pPr>
            <w:r>
              <w:rPr>
                <w:rFonts w:ascii="Arial" w:cs="Arial" w:eastAsia="Arial" w:hAnsi="Arial"/>
                <w:sz w:val="14"/>
                <w:szCs w:val="14"/>
                <w:b w:val="1"/>
                <w:bCs w:val="1"/>
                <w:color w:val="auto"/>
              </w:rPr>
              <w:t>Business Combination</w:t>
            </w:r>
          </w:p>
        </w:tc>
      </w:tr>
      <w:tr>
        <w:trPr>
          <w:trHeight w:val="53"/>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 Silver Spike trust and cash, net of redemptions</w:t>
            </w:r>
          </w:p>
        </w:tc>
        <w:tc>
          <w:tcPr>
            <w:tcW w:w="1400" w:type="dxa"/>
            <w:vAlign w:val="bottom"/>
            <w:tcBorders>
              <w:top w:val="single" w:sz="8" w:color="auto"/>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$ 254,203</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Cash - PIPE Financing</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325,000</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cash consideration paid to Legacy WMH equity holders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(455,182)</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transaction costs and advisory fees</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(44,052)</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proceeds from the Business Combination</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79,969</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initial fair value of warrant liability recognized in the Business Combination</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(193,978)</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transaction costs allocated to Warrants</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Add: non-cash assets assumed from Silver Spike</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1,053</w:t>
            </w:r>
          </w:p>
        </w:tc>
      </w:tr>
      <w:tr>
        <w:trPr>
          <w:trHeight w:val="54"/>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60" w:type="dxa"/>
            <w:vAlign w:val="bottom"/>
            <w:gridSpan w:val="2"/>
          </w:tcPr>
          <w:p>
            <w:pPr>
              <w:spacing w:after="0"/>
              <w:rPr>
                <w:sz w:val="4"/>
                <w:szCs w:val="4"/>
                <w:color w:val="auto"/>
              </w:rPr>
            </w:pPr>
          </w:p>
        </w:tc>
      </w:tr>
      <w:tr>
        <w:trPr>
          <w:trHeight w:val="304"/>
        </w:trPr>
        <w:tc>
          <w:tcPr>
            <w:tcW w:w="1300" w:type="dxa"/>
            <w:vAlign w:val="bottom"/>
          </w:tcPr>
          <w:p>
            <w:pPr>
              <w:spacing w:after="0"/>
              <w:rPr>
                <w:sz w:val="24"/>
                <w:szCs w:val="24"/>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deferred tax asset</w:t>
            </w:r>
          </w:p>
        </w:tc>
        <w:tc>
          <w:tcPr>
            <w:tcW w:w="140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151,255</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Less: tax receivable agreement liability</w:t>
            </w:r>
          </w:p>
        </w:tc>
        <w:tc>
          <w:tcPr>
            <w:tcW w:w="2700" w:type="dxa"/>
            <w:vAlign w:val="bottom"/>
            <w:gridSpan w:val="5"/>
          </w:tcPr>
          <w:p>
            <w:pPr>
              <w:jc w:val="right"/>
              <w:ind w:right="1300"/>
              <w:spacing w:after="0"/>
              <w:rPr>
                <w:sz w:val="20"/>
                <w:szCs w:val="20"/>
                <w:color w:val="auto"/>
              </w:rPr>
            </w:pPr>
            <w:r>
              <w:rPr>
                <w:rFonts w:ascii="Arial" w:cs="Arial" w:eastAsia="Arial" w:hAnsi="Arial"/>
                <w:sz w:val="18"/>
                <w:szCs w:val="18"/>
                <w:color w:val="auto"/>
              </w:rPr>
              <w:t>(128,567)</w:t>
            </w:r>
          </w:p>
        </w:tc>
      </w:tr>
      <w:tr>
        <w:trPr>
          <w:trHeight w:val="48"/>
        </w:trPr>
        <w:tc>
          <w:tcPr>
            <w:tcW w:w="1300" w:type="dxa"/>
            <w:vAlign w:val="bottom"/>
          </w:tcPr>
          <w:p>
            <w:pPr>
              <w:spacing w:after="0"/>
              <w:rPr>
                <w:sz w:val="4"/>
                <w:szCs w:val="4"/>
                <w:color w:val="auto"/>
              </w:rPr>
            </w:pPr>
          </w:p>
        </w:tc>
        <w:tc>
          <w:tcPr>
            <w:tcW w:w="70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8"/>
        </w:trPr>
        <w:tc>
          <w:tcPr>
            <w:tcW w:w="1300" w:type="dxa"/>
            <w:vAlign w:val="bottom"/>
          </w:tcPr>
          <w:p>
            <w:pPr>
              <w:spacing w:after="0"/>
              <w:rPr>
                <w:sz w:val="24"/>
                <w:szCs w:val="24"/>
                <w:color w:val="auto"/>
              </w:rPr>
            </w:pPr>
          </w:p>
        </w:tc>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adjustment to total equity from the Business Combination</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(84,721)</w:t>
            </w:r>
          </w:p>
        </w:tc>
        <w:tc>
          <w:tcPr>
            <w:tcW w:w="1300" w:type="dxa"/>
            <w:vAlign w:val="bottom"/>
          </w:tcPr>
          <w:p>
            <w:pPr>
              <w:spacing w:after="0"/>
              <w:rPr>
                <w:sz w:val="24"/>
                <w:szCs w:val="24"/>
                <w:color w:val="auto"/>
              </w:rPr>
            </w:pPr>
          </w:p>
        </w:tc>
      </w:tr>
      <w:tr>
        <w:trPr>
          <w:trHeight w:val="432"/>
        </w:trPr>
        <w:tc>
          <w:tcPr>
            <w:tcW w:w="1300" w:type="dxa"/>
            <w:vAlign w:val="bottom"/>
          </w:tcPr>
          <w:p>
            <w:pPr>
              <w:spacing w:after="0"/>
              <w:rPr>
                <w:sz w:val="24"/>
                <w:szCs w:val="24"/>
                <w:color w:val="auto"/>
              </w:rPr>
            </w:pPr>
          </w:p>
        </w:tc>
        <w:tc>
          <w:tcPr>
            <w:tcW w:w="7020" w:type="dxa"/>
            <w:vAlign w:val="bottom"/>
            <w:tcBorders>
              <w:top w:val="single" w:sz="8" w:color="CCEEFF"/>
            </w:tcBorders>
          </w:tcPr>
          <w:p>
            <w:pPr>
              <w:ind w:left="4040"/>
              <w:spacing w:after="0"/>
              <w:rPr>
                <w:sz w:val="20"/>
                <w:szCs w:val="20"/>
                <w:color w:val="auto"/>
              </w:rPr>
            </w:pPr>
            <w:r>
              <w:rPr>
                <w:rFonts w:ascii="Arial" w:cs="Arial" w:eastAsia="Arial" w:hAnsi="Arial"/>
                <w:sz w:val="18"/>
                <w:szCs w:val="18"/>
                <w:color w:val="auto"/>
              </w:rPr>
              <w:t>F-22</w:t>
            </w:r>
          </w:p>
        </w:tc>
        <w:tc>
          <w:tcPr>
            <w:tcW w:w="6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70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5114925</wp:posOffset>
            </wp:positionH>
            <wp:positionV relativeFrom="paragraph">
              <wp:posOffset>-2725420</wp:posOffset>
            </wp:positionV>
            <wp:extent cx="17145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53" w:name="page154"/>
    <w:bookmarkEnd w:id="15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number of shares of common stock issued immediately following the Closing:</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Number of Shares</w:t>
            </w:r>
          </w:p>
        </w:tc>
      </w:tr>
      <w:tr>
        <w:trPr>
          <w:trHeight w:val="53"/>
        </w:trPr>
        <w:tc>
          <w:tcPr>
            <w:tcW w:w="72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r>
      <w:tr>
        <w:trPr>
          <w:trHeight w:val="298"/>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 stock, outstanding prior to the Business Combination</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24,998,575</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Less: redemption of shares of Silver Spike’s Class A common stock</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10,012</w:t>
            </w:r>
          </w:p>
        </w:tc>
      </w:tr>
      <w:tr>
        <w:trPr>
          <w:trHeight w:val="48"/>
        </w:trPr>
        <w:tc>
          <w:tcPr>
            <w:tcW w:w="7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r>
      <w:tr>
        <w:trPr>
          <w:trHeight w:val="304"/>
        </w:trPr>
        <w:tc>
          <w:tcPr>
            <w:tcW w:w="7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of Silver Spike’s Class A common stock</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24,988,563</w:t>
            </w:r>
          </w:p>
        </w:tc>
      </w:tr>
      <w:tr>
        <w:trPr>
          <w:trHeight w:val="257"/>
        </w:trPr>
        <w:tc>
          <w:tcPr>
            <w:tcW w:w="7280" w:type="dxa"/>
            <w:vAlign w:val="bottom"/>
          </w:tcPr>
          <w:p>
            <w:pPr>
              <w:spacing w:after="0"/>
              <w:rPr>
                <w:sz w:val="20"/>
                <w:szCs w:val="20"/>
                <w:color w:val="auto"/>
              </w:rPr>
            </w:pPr>
            <w:r>
              <w:rPr>
                <w:rFonts w:ascii="Arial" w:cs="Arial" w:eastAsia="Arial" w:hAnsi="Arial"/>
                <w:sz w:val="18"/>
                <w:szCs w:val="18"/>
                <w:color w:val="auto"/>
              </w:rPr>
              <w:t>Shares of Class A Common Stock held by Silver Spike’s Sponsor</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6,250,000</w:t>
            </w:r>
          </w:p>
        </w:tc>
      </w:tr>
      <w:tr>
        <w:trPr>
          <w:trHeight w:val="41"/>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A Common Stock issued in the PIPE Financing</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32,500,000</w:t>
            </w:r>
          </w:p>
        </w:tc>
      </w:tr>
      <w:tr>
        <w:trPr>
          <w:trHeight w:val="284"/>
        </w:trPr>
        <w:tc>
          <w:tcPr>
            <w:tcW w:w="7280" w:type="dxa"/>
            <w:vAlign w:val="bottom"/>
          </w:tcPr>
          <w:p>
            <w:pPr>
              <w:ind w:left="180"/>
              <w:spacing w:after="0"/>
              <w:rPr>
                <w:sz w:val="20"/>
                <w:szCs w:val="20"/>
                <w:color w:val="auto"/>
              </w:rPr>
            </w:pPr>
            <w:r>
              <w:rPr>
                <w:rFonts w:ascii="Arial" w:cs="Arial" w:eastAsia="Arial" w:hAnsi="Arial"/>
                <w:sz w:val="18"/>
                <w:szCs w:val="18"/>
                <w:color w:val="auto"/>
              </w:rPr>
              <w:t>Shares of Class A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63,738,563</w:t>
            </w:r>
          </w:p>
        </w:tc>
      </w:tr>
      <w:tr>
        <w:trPr>
          <w:trHeight w:val="40"/>
        </w:trPr>
        <w:tc>
          <w:tcPr>
            <w:tcW w:w="7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304"/>
        </w:trPr>
        <w:tc>
          <w:tcPr>
            <w:tcW w:w="7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of Class V Common Stock issued to Legacy WMH equity holders</w:t>
            </w: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65,502,347</w:t>
            </w:r>
          </w:p>
        </w:tc>
      </w:tr>
      <w:tr>
        <w:trPr>
          <w:trHeight w:val="270"/>
        </w:trPr>
        <w:tc>
          <w:tcPr>
            <w:tcW w:w="7280" w:type="dxa"/>
            <w:vAlign w:val="bottom"/>
          </w:tcPr>
          <w:p>
            <w:pPr>
              <w:ind w:left="180"/>
              <w:spacing w:after="0"/>
              <w:rPr>
                <w:sz w:val="20"/>
                <w:szCs w:val="20"/>
                <w:color w:val="auto"/>
              </w:rPr>
            </w:pPr>
            <w:r>
              <w:rPr>
                <w:rFonts w:ascii="Arial" w:cs="Arial" w:eastAsia="Arial" w:hAnsi="Arial"/>
                <w:sz w:val="18"/>
                <w:szCs w:val="18"/>
                <w:color w:val="auto"/>
              </w:rPr>
              <w:t>Total shares of common stock issued in the Business Combination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129,240,910</w:t>
            </w:r>
          </w:p>
        </w:tc>
      </w:tr>
      <w:tr>
        <w:trPr>
          <w:trHeight w:val="21"/>
        </w:trPr>
        <w:tc>
          <w:tcPr>
            <w:tcW w:w="7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-1636395</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Net income for the period from June 16, 2021 (Closing Date) to December 31, 2021 was $137.1 million, which includes change in fair value of warrant liability of $166.5 million, stock-based compensation expense of $29.3 million and transaction costs related to the warrant liability of $5.5 million. The transaction costs related to the warrant liability is included in other expense, net on the accompanying consolidated statements of operations.</w:t>
      </w:r>
    </w:p>
    <w:p>
      <w:pPr>
        <w:spacing w:after="0" w:line="153" w:lineRule="exact"/>
        <w:rPr>
          <w:sz w:val="20"/>
          <w:szCs w:val="20"/>
          <w:color w:val="auto"/>
        </w:rPr>
      </w:pPr>
    </w:p>
    <w:p>
      <w:pPr>
        <w:ind w:left="640" w:hanging="348"/>
        <w:spacing w:after="0"/>
        <w:tabs>
          <w:tab w:leader="none" w:pos="6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4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Sprout</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and liabilities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8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3177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349240" cy="231775"/>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94"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$ 12,000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83"/>
        </w:trPr>
        <w:tc>
          <w:tcPr>
            <w:tcW w:w="7780" w:type="dxa"/>
            <w:vAlign w:val="bottom"/>
            <w:shd w:val="clear" w:color="auto" w:fill="CCEEFF"/>
          </w:tcPr>
          <w:p>
            <w:pPr>
              <w:spacing w:after="0" w:line="284"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4"/>
        </w:trPr>
        <w:tc>
          <w:tcPr>
            <w:tcW w:w="77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338"/>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7"/>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 and 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 acquired:</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r>
      <w:tr>
        <w:trPr>
          <w:trHeight w:val="257"/>
        </w:trPr>
        <w:tc>
          <w:tcPr>
            <w:tcW w:w="7780" w:type="dxa"/>
            <w:vAlign w:val="bottom"/>
          </w:tcPr>
          <w:p>
            <w:pPr>
              <w:ind w:left="180"/>
              <w:spacing w:after="0"/>
              <w:rPr>
                <w:sz w:val="20"/>
                <w:szCs w:val="20"/>
                <w:color w:val="auto"/>
              </w:rPr>
            </w:pPr>
            <w:r>
              <w:rPr>
                <w:rFonts w:ascii="Arial" w:cs="Arial" w:eastAsia="Arial" w:hAnsi="Arial"/>
                <w:sz w:val="18"/>
                <w:szCs w:val="18"/>
                <w:color w:val="auto"/>
              </w:rPr>
              <w:t>Software technology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$ 2,973</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77"/>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name</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56"/>
        </w:trPr>
        <w:tc>
          <w:tcPr>
            <w:tcW w:w="778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1,410</w:t>
            </w:r>
          </w:p>
        </w:tc>
      </w:tr>
      <w:tr>
        <w:trPr>
          <w:trHeight w:val="40"/>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26,686</w:t>
            </w:r>
          </w:p>
        </w:tc>
      </w:tr>
      <w:tr>
        <w:trPr>
          <w:trHeight w:val="61"/>
        </w:trPr>
        <w:tc>
          <w:tcPr>
            <w:tcW w:w="77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83"/>
        </w:trPr>
        <w:tc>
          <w:tcPr>
            <w:tcW w:w="7780" w:type="dxa"/>
            <w:vAlign w:val="bottom"/>
          </w:tcPr>
          <w:p>
            <w:pPr>
              <w:spacing w:after="0"/>
              <w:rPr>
                <w:sz w:val="20"/>
                <w:szCs w:val="20"/>
                <w:color w:val="auto"/>
              </w:rPr>
            </w:pPr>
            <w:r>
              <w:rPr>
                <w:rFonts w:ascii="Arial" w:cs="Arial" w:eastAsia="Arial" w:hAnsi="Arial"/>
                <w:sz w:val="18"/>
                <w:szCs w:val="18"/>
                <w:color w:val="auto"/>
              </w:rPr>
              <w:t>Total assets acquired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31,286</w:t>
            </w: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97"/>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56"/>
        </w:trPr>
        <w:tc>
          <w:tcPr>
            <w:tcW w:w="7780" w:type="dxa"/>
            <w:vAlign w:val="bottom"/>
          </w:tcPr>
          <w:p>
            <w:pPr>
              <w:spacing w:after="0"/>
              <w:rPr>
                <w:sz w:val="20"/>
                <w:szCs w:val="20"/>
                <w:color w:val="auto"/>
              </w:rPr>
            </w:pPr>
            <w:r>
              <w:rPr>
                <w:rFonts w:ascii="Arial" w:cs="Arial" w:eastAsia="Arial" w:hAnsi="Arial"/>
                <w:sz w:val="18"/>
                <w:szCs w:val="18"/>
                <w:color w:val="auto"/>
              </w:rPr>
              <w:t>Liabilities assumed:</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r>
      <w:tr>
        <w:trPr>
          <w:trHeight w:val="41"/>
        </w:trPr>
        <w:tc>
          <w:tcPr>
            <w:tcW w:w="77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r>
      <w:tr>
        <w:trPr>
          <w:trHeight w:val="24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61"/>
        </w:trPr>
        <w:tc>
          <w:tcPr>
            <w:tcW w:w="7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Total net assets acquired</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$ 31,186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right="319" w:hanging="348"/>
        <w:spacing w:after="0" w:line="253" w:lineRule="auto"/>
        <w:tabs>
          <w:tab w:leader="none" w:pos="6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Spout acquisition was calculated based on 1,244,258 shares of Class A common stock issued multiplied by the share price on the closing date of $15.42.</w:t>
      </w:r>
    </w:p>
    <w:p>
      <w:pPr>
        <w:sectPr>
          <w:pgSz w:w="11900" w:h="16838" w:orient="portrait"/>
          <w:cols w:equalWidth="0" w:num="1">
            <w:col w:w="9019"/>
          </w:cols>
          <w:pgMar w:left="1440" w:top="265" w:right="1440" w:bottom="1440"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4" w:name="page155"/>
    <w:bookmarkEnd w:id="15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4"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7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Sprout acquisition of $1.0 million, which is included in general and administrative expenses in the consolidated statements of operations.</w:t>
      </w:r>
    </w:p>
    <w:p>
      <w:pPr>
        <w:spacing w:after="0" w:line="76"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Sprout included the Company’s consolidated statements of operations for the period from September 3, 2021 (acquisition date) through December 31, 2021 were not material. Pro forma revenue and earnings amounts on a combined basis have not been presented as they are not material to the Company’s historical pre-acquisition financial statements.</w:t>
      </w:r>
    </w:p>
    <w:p>
      <w:pPr>
        <w:spacing w:after="0" w:line="3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Transport Logistics Holding</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79"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5" w:name="page156"/>
    <w:bookmarkEnd w:id="15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300" w:right="319" w:firstLine="360"/>
        <w:spacing w:after="0" w:line="277" w:lineRule="auto"/>
        <w:rPr>
          <w:sz w:val="20"/>
          <w:szCs w:val="20"/>
          <w:color w:val="auto"/>
        </w:rPr>
      </w:pPr>
      <w:r>
        <w:rPr>
          <w:rFonts w:ascii="Arial" w:cs="Arial" w:eastAsia="Arial" w:hAnsi="Arial"/>
          <w:sz w:val="18"/>
          <w:szCs w:val="18"/>
          <w:color w:val="auto"/>
        </w:rPr>
        <w:t>The following table summarizes the components of consideration and the preliminary estimated fair value of assets acquired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22860</wp:posOffset>
            </wp:positionV>
            <wp:extent cx="5349240" cy="2400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349240" cy="240030"/>
                    </a:xfrm>
                    <a:prstGeom prst="rect">
                      <a:avLst/>
                    </a:prstGeom>
                    <a:noFill/>
                  </pic:spPr>
                </pic:pic>
              </a:graphicData>
            </a:graphic>
          </wp:anchor>
        </w:drawing>
      </w:r>
    </w:p>
    <w:p>
      <w:pPr>
        <w:spacing w:after="0" w:line="10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Consideration Transferred:</w:t>
      </w:r>
    </w:p>
    <w:p>
      <w:pPr>
        <w:spacing w:after="0" w:line="112" w:lineRule="exact"/>
        <w:rPr>
          <w:sz w:val="20"/>
          <w:szCs w:val="20"/>
          <w:color w:val="auto"/>
        </w:rPr>
      </w:pPr>
    </w:p>
    <w:tbl>
      <w:tblPr>
        <w:tblLayout w:type="fixed"/>
        <w:tblInd w:w="300" w:type="dxa"/>
        <w:tblCellMar>
          <w:top w:w="0" w:type="dxa"/>
          <w:left w:w="0" w:type="dxa"/>
          <w:bottom w:w="0" w:type="dxa"/>
          <w:right w:w="0" w:type="dxa"/>
        </w:tblCellMar>
      </w:tblPr>
      <w:tr>
        <w:trPr>
          <w:trHeight w:val="333"/>
        </w:trPr>
        <w:tc>
          <w:tcPr>
            <w:tcW w:w="7780" w:type="dxa"/>
            <w:vAlign w:val="bottom"/>
          </w:tcPr>
          <w:p>
            <w:pPr>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9"/>
                <w:szCs w:val="29"/>
                <w:color w:val="auto"/>
                <w:vertAlign w:val="superscript"/>
              </w:rPr>
              <w:t>(1)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$ 5,000</w:t>
            </w:r>
          </w:p>
        </w:tc>
      </w:tr>
      <w:tr>
        <w:trPr>
          <w:trHeight w:val="358"/>
        </w:trPr>
        <w:tc>
          <w:tcPr>
            <w:tcW w:w="7780" w:type="dxa"/>
            <w:vAlign w:val="bottom"/>
            <w:tcBorders>
              <w:bottom w:val="single" w:sz="8" w:color="CCEEFF"/>
            </w:tcBorders>
            <w:shd w:val="clear" w:color="auto" w:fill="CCEEFF"/>
          </w:tcPr>
          <w:p>
            <w:pPr>
              <w:spacing w:after="0" w:line="310" w:lineRule="exact"/>
              <w:rPr>
                <w:sz w:val="20"/>
                <w:szCs w:val="20"/>
                <w:color w:val="auto"/>
              </w:rPr>
            </w:pPr>
            <w:r>
              <w:rPr>
                <w:rFonts w:ascii="Arial" w:cs="Arial" w:eastAsia="Arial" w:hAnsi="Arial"/>
                <w:sz w:val="18"/>
                <w:szCs w:val="18"/>
                <w:color w:val="auto"/>
              </w:rPr>
              <w:t>Share consideration</w:t>
            </w:r>
            <w:r>
              <w:rPr>
                <w:rFonts w:ascii="Arial" w:cs="Arial" w:eastAsia="Arial" w:hAnsi="Arial"/>
                <w:sz w:val="29"/>
                <w:szCs w:val="29"/>
                <w:color w:val="auto"/>
                <w:vertAlign w:val="superscript"/>
              </w:rPr>
              <w:t>(2)</w:t>
            </w:r>
          </w:p>
        </w:tc>
        <w:tc>
          <w:tcPr>
            <w:tcW w:w="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70"/>
        </w:trPr>
        <w:tc>
          <w:tcPr>
            <w:tcW w:w="7780" w:type="dxa"/>
            <w:vAlign w:val="bottom"/>
          </w:tcPr>
          <w:p>
            <w:pPr>
              <w:ind w:left="180"/>
              <w:spacing w:after="0"/>
              <w:rPr>
                <w:sz w:val="20"/>
                <w:szCs w:val="20"/>
                <w:color w:val="auto"/>
              </w:rPr>
            </w:pPr>
            <w:r>
              <w:rPr>
                <w:rFonts w:ascii="Arial" w:cs="Arial" w:eastAsia="Arial" w:hAnsi="Arial"/>
                <w:sz w:val="18"/>
                <w:szCs w:val="18"/>
                <w:color w:val="auto"/>
              </w:rPr>
              <w:t>Total consideration</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$ 15,126</w:t>
            </w:r>
          </w:p>
        </w:tc>
      </w:tr>
      <w:tr>
        <w:trPr>
          <w:trHeight w:val="20"/>
        </w:trPr>
        <w:tc>
          <w:tcPr>
            <w:tcW w:w="77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65"/>
        </w:trPr>
        <w:tc>
          <w:tcPr>
            <w:tcW w:w="7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r>
      <w:tr>
        <w:trPr>
          <w:trHeight w:val="270"/>
        </w:trPr>
        <w:tc>
          <w:tcPr>
            <w:tcW w:w="7780" w:type="dxa"/>
            <w:vAlign w:val="bottom"/>
          </w:tcPr>
          <w:p>
            <w:pPr>
              <w:spacing w:after="0"/>
              <w:rPr>
                <w:sz w:val="20"/>
                <w:szCs w:val="20"/>
                <w:color w:val="auto"/>
              </w:rPr>
            </w:pPr>
            <w:r>
              <w:rPr>
                <w:rFonts w:ascii="Arial" w:cs="Arial" w:eastAsia="Arial" w:hAnsi="Arial"/>
                <w:sz w:val="18"/>
                <w:szCs w:val="18"/>
                <w:b w:val="1"/>
                <w:bCs w:val="1"/>
                <w:color w:val="auto"/>
              </w:rPr>
              <w:t>Estimated Assets Acquired:</w:t>
            </w: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Software technology</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$ 249</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Trade name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59</w:t>
            </w:r>
          </w:p>
        </w:tc>
      </w:tr>
      <w:tr>
        <w:trPr>
          <w:trHeight w:val="54"/>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304"/>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14,648</w:t>
            </w:r>
          </w:p>
        </w:tc>
      </w:tr>
      <w:tr>
        <w:trPr>
          <w:trHeight w:val="48"/>
        </w:trPr>
        <w:tc>
          <w:tcPr>
            <w:tcW w:w="77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r>
      <w:tr>
        <w:trPr>
          <w:trHeight w:val="318"/>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 acquired</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$ 15,126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72" w:lineRule="exact"/>
        <w:rPr>
          <w:sz w:val="20"/>
          <w:szCs w:val="20"/>
          <w:color w:val="auto"/>
        </w:rPr>
      </w:pPr>
    </w:p>
    <w:p>
      <w:pPr>
        <w:ind w:left="640" w:hanging="348"/>
        <w:spacing w:after="0"/>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Includes holdback of $100 million recorded within other current liabilities on the Company’s consolidated balance sheets.</w:t>
      </w:r>
    </w:p>
    <w:p>
      <w:pPr>
        <w:spacing w:after="0" w:line="41" w:lineRule="exact"/>
        <w:rPr>
          <w:rFonts w:ascii="Arial" w:cs="Arial" w:eastAsia="Arial" w:hAnsi="Arial"/>
          <w:sz w:val="14"/>
          <w:szCs w:val="14"/>
          <w:color w:val="auto"/>
        </w:rPr>
      </w:pPr>
    </w:p>
    <w:p>
      <w:pPr>
        <w:ind w:left="640" w:right="319" w:hanging="348"/>
        <w:spacing w:after="0" w:line="253" w:lineRule="auto"/>
        <w:tabs>
          <w:tab w:leader="none" w:pos="640"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fair value of share consideration issued in connection with the TLH acquisition was calculated based on 694,540 shares of Class A common stock issued multiplied by the share price on the closing date of $14.58.</w:t>
      </w:r>
    </w:p>
    <w:p>
      <w:pPr>
        <w:spacing w:after="0" w:line="70"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79"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w:t>
      </w:r>
    </w:p>
    <w:p>
      <w:pPr>
        <w:spacing w:after="0" w:line="60"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6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During the year ended December 31, 2021, the Company incurred transaction expenses associated with the TLH acquisition of $0.7 million, which is included in general and administrative expenses in the consolidated statements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6" w:name="page157"/>
    <w:bookmarkEnd w:id="15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revenue and operating loss from TLH included the Company’s consolidated statements of operations for the period from September 29, 2021 (acquisition date) through December 31, 2021 were not material. Pro forma revenue and earnings amounts on a combined basis have not been presented as they are not material to the Company’s historical pre-acquisition financial statements.</w:t>
      </w:r>
    </w:p>
    <w:p>
      <w:pPr>
        <w:spacing w:after="0" w:line="183" w:lineRule="exact"/>
        <w:rPr>
          <w:sz w:val="20"/>
          <w:szCs w:val="20"/>
          <w:color w:val="auto"/>
        </w:rPr>
      </w:pPr>
    </w:p>
    <w:p>
      <w:pPr>
        <w:ind w:left="640" w:hanging="348"/>
        <w:spacing w:after="0"/>
        <w:tabs>
          <w:tab w:leader="none" w:pos="64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4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A summary of changes in goodwill for the year ended December 31, 2021 is as follows (in thousands):</w:t>
      </w:r>
    </w:p>
    <w:p>
      <w:pPr>
        <w:spacing w:after="0" w:line="188"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Goodwill</w:t>
            </w: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2020</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Acquisition of Sprout</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26,686</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Acquisition of TLH</w:t>
            </w:r>
          </w:p>
        </w:tc>
        <w:tc>
          <w:tcPr>
            <w:tcW w:w="12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right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14,648</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Balance at December 31, 2021</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$ 45,295</w:t>
            </w:r>
          </w:p>
        </w:tc>
        <w:tc>
          <w:tcPr>
            <w:tcW w:w="0" w:type="dxa"/>
            <w:vAlign w:val="bottom"/>
          </w:tcPr>
          <w:p>
            <w:pPr>
              <w:spacing w:after="0"/>
              <w:rPr>
                <w:sz w:val="1"/>
                <w:szCs w:val="1"/>
                <w:color w:val="auto"/>
              </w:rPr>
            </w:pPr>
          </w:p>
        </w:tc>
      </w:tr>
      <w:tr>
        <w:trPr>
          <w:trHeight w:val="20"/>
        </w:trPr>
        <w:tc>
          <w:tcPr>
            <w:tcW w:w="7100" w:type="dxa"/>
            <w:vAlign w:val="bottom"/>
            <w:gridSpan w:val="16"/>
            <w:vMerge w:val="restart"/>
          </w:tcPr>
          <w:p>
            <w:pPr>
              <w:ind w:left="360"/>
              <w:spacing w:after="0"/>
              <w:rPr>
                <w:sz w:val="20"/>
                <w:szCs w:val="20"/>
                <w:color w:val="auto"/>
              </w:rPr>
            </w:pPr>
            <w:r>
              <w:rPr>
                <w:rFonts w:ascii="Arial" w:cs="Arial" w:eastAsia="Arial" w:hAnsi="Arial"/>
                <w:sz w:val="18"/>
                <w:szCs w:val="18"/>
                <w:color w:val="auto"/>
                <w:w w:val="93"/>
              </w:rPr>
              <w:t>Intangible assets consisted of the following for the periods presented below (in thousands):</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7100" w:type="dxa"/>
            <w:vAlign w:val="bottom"/>
            <w:gridSpan w:val="16"/>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2021</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
        </w:trPr>
        <w:tc>
          <w:tcPr>
            <w:tcW w:w="31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gridSpan w:val="2"/>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4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77"/>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42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1500" w:type="dxa"/>
            <w:vAlign w:val="bottom"/>
            <w:gridSpan w:val="7"/>
            <w:vMerge w:val="restart"/>
          </w:tcPr>
          <w:p>
            <w:pPr>
              <w:jc w:val="center"/>
              <w:ind w:right="20"/>
              <w:spacing w:after="0"/>
              <w:rPr>
                <w:sz w:val="20"/>
                <w:szCs w:val="20"/>
                <w:color w:val="auto"/>
              </w:rPr>
            </w:pPr>
            <w:r>
              <w:rPr>
                <w:rFonts w:ascii="Arial" w:cs="Arial" w:eastAsia="Arial" w:hAnsi="Arial"/>
                <w:sz w:val="14"/>
                <w:szCs w:val="14"/>
                <w:b w:val="1"/>
                <w:bCs w:val="1"/>
                <w:color w:val="auto"/>
                <w:w w:val="89"/>
              </w:rPr>
              <w:t>Gross Intangible Assets</w:t>
            </w:r>
          </w:p>
        </w:tc>
        <w:tc>
          <w:tcPr>
            <w:tcW w:w="32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2"/>
              </w:rPr>
              <w:t>(Years)</w:t>
            </w:r>
          </w:p>
        </w:tc>
        <w:tc>
          <w:tcPr>
            <w:tcW w:w="1500" w:type="dxa"/>
            <w:vAlign w:val="bottom"/>
            <w:gridSpan w:val="7"/>
            <w:vMerge w:val="continue"/>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w w:val="79"/>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14.3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8"/>
                <w:szCs w:val="18"/>
                <w:color w:val="auto"/>
              </w:rPr>
              <w:t>$ 7,532</w:t>
            </w:r>
          </w:p>
        </w:tc>
        <w:tc>
          <w:tcPr>
            <w:tcW w:w="1020" w:type="dxa"/>
            <w:vAlign w:val="bottom"/>
            <w:tcBorders>
              <w:bottom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(4,081)</w:t>
            </w: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$ 3,451</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408"/>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00" w:type="dxa"/>
            <w:vAlign w:val="bottom"/>
            <w:gridSpan w:val="7"/>
          </w:tcPr>
          <w:p>
            <w:pPr>
              <w:jc w:val="right"/>
              <w:ind w:right="20"/>
              <w:spacing w:after="0"/>
              <w:rPr>
                <w:sz w:val="20"/>
                <w:szCs w:val="20"/>
                <w:color w:val="auto"/>
              </w:rPr>
            </w:pPr>
            <w:r>
              <w:rPr>
                <w:rFonts w:ascii="Arial" w:cs="Arial" w:eastAsia="Arial" w:hAnsi="Arial"/>
                <w:sz w:val="18"/>
                <w:szCs w:val="18"/>
                <w:color w:val="auto"/>
              </w:rPr>
              <w:t>6,691</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(3,222)</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3,469</w:t>
            </w:r>
          </w:p>
        </w:tc>
        <w:tc>
          <w:tcPr>
            <w:tcW w:w="0" w:type="dxa"/>
            <w:vAlign w:val="bottom"/>
          </w:tcPr>
          <w:p>
            <w:pPr>
              <w:spacing w:after="0"/>
              <w:rPr>
                <w:sz w:val="1"/>
                <w:szCs w:val="1"/>
                <w:color w:val="auto"/>
              </w:rPr>
            </w:pPr>
          </w:p>
        </w:tc>
      </w:tr>
      <w:tr>
        <w:trPr>
          <w:trHeight w:val="54"/>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280" w:type="dxa"/>
            <w:vAlign w:val="bottom"/>
            <w:tcBorders>
              <w:bottom w:val="single" w:sz="8" w:color="CCEEFF"/>
            </w:tcBorders>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4"/>
            <w:shd w:val="clear" w:color="auto" w:fill="CCEEFF"/>
          </w:tcPr>
          <w:p>
            <w:pPr>
              <w:spacing w:after="0"/>
              <w:rPr>
                <w:sz w:val="24"/>
                <w:szCs w:val="24"/>
                <w:color w:val="auto"/>
              </w:rPr>
            </w:pPr>
          </w:p>
        </w:tc>
        <w:tc>
          <w:tcPr>
            <w:tcW w:w="5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right w:val="single" w:sz="8" w:color="CCEEFF"/>
            </w:tcBorders>
            <w:shd w:val="clear" w:color="auto" w:fill="CCEEFF"/>
          </w:tcPr>
          <w:p>
            <w:pPr>
              <w:spacing w:after="0"/>
              <w:rPr>
                <w:sz w:val="24"/>
                <w:szCs w:val="24"/>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right w:val="single" w:sz="8" w:color="CCEEFF"/>
            </w:tcBorders>
            <w:gridSpan w:val="2"/>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70"/>
        </w:trPr>
        <w:tc>
          <w:tcPr>
            <w:tcW w:w="316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3"/>
          </w:tcPr>
          <w:p>
            <w:pPr>
              <w:spacing w:after="0"/>
              <w:rPr>
                <w:sz w:val="23"/>
                <w:szCs w:val="23"/>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88"/>
              </w:rPr>
              <w:t>$ 15,803</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 (7,504)</w:t>
            </w: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$ 8,299</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3"/>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0"/>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40" w:type="dxa"/>
            <w:vAlign w:val="bottom"/>
            <w:gridSpan w:val="9"/>
          </w:tcPr>
          <w:p>
            <w:pPr>
              <w:spacing w:after="0"/>
              <w:rPr>
                <w:sz w:val="20"/>
                <w:szCs w:val="20"/>
                <w:color w:val="auto"/>
              </w:rPr>
            </w:pPr>
            <w:r>
              <w:rPr>
                <w:rFonts w:ascii="Arial" w:cs="Arial" w:eastAsia="Arial" w:hAnsi="Arial"/>
                <w:sz w:val="14"/>
                <w:szCs w:val="14"/>
                <w:b w:val="1"/>
                <w:bCs w:val="1"/>
                <w:color w:val="auto"/>
              </w:rPr>
              <w:t>December 31, 2020</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3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tcBorders>
              <w:bottom w:val="single" w:sz="8" w:color="auto"/>
            </w:tcBorders>
            <w:gridSpan w:val="3"/>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220" w:type="dxa"/>
            <w:vAlign w:val="bottom"/>
          </w:tcPr>
          <w:p>
            <w:pPr>
              <w:spacing w:after="0"/>
              <w:rPr>
                <w:sz w:val="16"/>
                <w:szCs w:val="16"/>
                <w:color w:val="auto"/>
              </w:rPr>
            </w:pPr>
          </w:p>
        </w:tc>
        <w:tc>
          <w:tcPr>
            <w:tcW w:w="1280" w:type="dxa"/>
            <w:vAlign w:val="bottom"/>
            <w:gridSpan w:val="6"/>
            <w:vMerge w:val="restart"/>
          </w:tcPr>
          <w:p>
            <w:pPr>
              <w:jc w:val="center"/>
              <w:ind w:right="240"/>
              <w:spacing w:after="0"/>
              <w:rPr>
                <w:sz w:val="20"/>
                <w:szCs w:val="20"/>
                <w:color w:val="auto"/>
              </w:rPr>
            </w:pPr>
            <w:r>
              <w:rPr>
                <w:rFonts w:ascii="Arial" w:cs="Arial" w:eastAsia="Arial" w:hAnsi="Arial"/>
                <w:sz w:val="14"/>
                <w:szCs w:val="14"/>
                <w:b w:val="1"/>
                <w:bCs w:val="1"/>
                <w:color w:val="auto"/>
                <w:w w:val="94"/>
              </w:rPr>
              <w:t>Gross Intangible</w:t>
            </w:r>
          </w:p>
        </w:tc>
        <w:tc>
          <w:tcPr>
            <w:tcW w:w="10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Amortization Period</w:t>
            </w:r>
          </w:p>
        </w:tc>
        <w:tc>
          <w:tcPr>
            <w:tcW w:w="220" w:type="dxa"/>
            <w:vAlign w:val="bottom"/>
          </w:tcPr>
          <w:p>
            <w:pPr>
              <w:spacing w:after="0"/>
              <w:rPr>
                <w:sz w:val="12"/>
                <w:szCs w:val="12"/>
                <w:color w:val="auto"/>
              </w:rPr>
            </w:pPr>
          </w:p>
        </w:tc>
        <w:tc>
          <w:tcPr>
            <w:tcW w:w="1280" w:type="dxa"/>
            <w:vAlign w:val="bottom"/>
            <w:gridSpan w:val="6"/>
            <w:vMerge w:val="continue"/>
          </w:tcPr>
          <w:p>
            <w:pPr>
              <w:spacing w:after="0"/>
              <w:rPr>
                <w:sz w:val="12"/>
                <w:szCs w:val="12"/>
                <w:color w:val="auto"/>
              </w:rPr>
            </w:pPr>
          </w:p>
        </w:tc>
        <w:tc>
          <w:tcPr>
            <w:tcW w:w="1020" w:type="dxa"/>
            <w:vAlign w:val="bottom"/>
            <w:gridSpan w:val="4"/>
            <w:vMerge w:val="continue"/>
          </w:tcPr>
          <w:p>
            <w:pPr>
              <w:spacing w:after="0"/>
              <w:rPr>
                <w:sz w:val="12"/>
                <w:szCs w:val="12"/>
                <w:color w:val="auto"/>
              </w:rPr>
            </w:pPr>
          </w:p>
        </w:tc>
        <w:tc>
          <w:tcPr>
            <w:tcW w:w="13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1"/>
              </w:rPr>
              <w:t>Net Intangible Assets</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2"/>
              </w:rPr>
              <w:t>(Years)</w:t>
            </w:r>
          </w:p>
        </w:tc>
        <w:tc>
          <w:tcPr>
            <w:tcW w:w="220" w:type="dxa"/>
            <w:vAlign w:val="bottom"/>
          </w:tcPr>
          <w:p>
            <w:pPr>
              <w:spacing w:after="0"/>
              <w:rPr>
                <w:sz w:val="16"/>
                <w:szCs w:val="16"/>
                <w:color w:val="auto"/>
              </w:rPr>
            </w:pPr>
          </w:p>
        </w:tc>
        <w:tc>
          <w:tcPr>
            <w:tcW w:w="128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2"/>
              </w:rPr>
              <w:t>Assets</w:t>
            </w:r>
          </w:p>
        </w:tc>
        <w:tc>
          <w:tcPr>
            <w:tcW w:w="1020" w:type="dxa"/>
            <w:vAlign w:val="bottom"/>
            <w:gridSpan w:val="4"/>
          </w:tcPr>
          <w:p>
            <w:pPr>
              <w:spacing w:after="0"/>
              <w:rPr>
                <w:sz w:val="20"/>
                <w:szCs w:val="20"/>
                <w:color w:val="auto"/>
              </w:rPr>
            </w:pPr>
            <w:r>
              <w:rPr>
                <w:rFonts w:ascii="Arial" w:cs="Arial" w:eastAsia="Arial" w:hAnsi="Arial"/>
                <w:sz w:val="14"/>
                <w:szCs w:val="14"/>
                <w:b w:val="1"/>
                <w:bCs w:val="1"/>
                <w:color w:val="auto"/>
              </w:rPr>
              <w:t>Amortization</w:t>
            </w:r>
          </w:p>
        </w:tc>
        <w:tc>
          <w:tcPr>
            <w:tcW w:w="13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3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and domain names</w:t>
            </w:r>
          </w:p>
        </w:tc>
        <w:tc>
          <w:tcPr>
            <w:tcW w:w="1280" w:type="dxa"/>
            <w:vAlign w:val="bottom"/>
            <w:tcBorders>
              <w:bottom w:val="single" w:sz="8" w:color="CCEEFF"/>
            </w:tcBorders>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480" w:type="dxa"/>
            <w:vAlign w:val="bottom"/>
            <w:tcBorders>
              <w:bottom w:val="single" w:sz="8" w:color="CCEEFF"/>
            </w:tcBorders>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$ 7,255</w:t>
            </w:r>
          </w:p>
        </w:tc>
        <w:tc>
          <w:tcPr>
            <w:tcW w:w="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(3,556)</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$ 3,699</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0"/>
                <w:szCs w:val="20"/>
                <w:color w:val="auto"/>
              </w:rPr>
            </w:pPr>
            <w:r>
              <w:rPr>
                <w:rFonts w:ascii="Arial" w:cs="Arial" w:eastAsia="Arial" w:hAnsi="Arial"/>
                <w:sz w:val="18"/>
                <w:szCs w:val="18"/>
                <w:color w:val="auto"/>
              </w:rPr>
              <w:t>Software technology</w:t>
            </w:r>
          </w:p>
        </w:tc>
        <w:tc>
          <w:tcPr>
            <w:tcW w:w="1280" w:type="dxa"/>
            <w:vAlign w:val="bottom"/>
            <w:gridSpan w:val="2"/>
          </w:tcPr>
          <w:p>
            <w:pPr>
              <w:jc w:val="right"/>
              <w:ind w:right="308"/>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gridSpan w:val="6"/>
          </w:tcPr>
          <w:p>
            <w:pPr>
              <w:jc w:val="right"/>
              <w:ind w:right="220"/>
              <w:spacing w:after="0"/>
              <w:rPr>
                <w:sz w:val="20"/>
                <w:szCs w:val="20"/>
                <w:color w:val="auto"/>
              </w:rPr>
            </w:pPr>
            <w:r>
              <w:rPr>
                <w:rFonts w:ascii="Arial" w:cs="Arial" w:eastAsia="Arial" w:hAnsi="Arial"/>
                <w:sz w:val="18"/>
                <w:szCs w:val="18"/>
                <w:color w:val="auto"/>
              </w:rPr>
              <w:t>3,469</w:t>
            </w:r>
          </w:p>
        </w:tc>
        <w:tc>
          <w:tcPr>
            <w:tcW w:w="20" w:type="dxa"/>
            <w:vAlign w:val="bottom"/>
          </w:tcPr>
          <w:p>
            <w:pPr>
              <w:spacing w:after="0"/>
              <w:rPr>
                <w:sz w:val="22"/>
                <w:szCs w:val="22"/>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8"/>
                <w:szCs w:val="18"/>
                <w:color w:val="auto"/>
              </w:rPr>
              <w:t>(2,663)</w:t>
            </w:r>
          </w:p>
        </w:tc>
        <w:tc>
          <w:tcPr>
            <w:tcW w:w="100" w:type="dxa"/>
            <w:vAlign w:val="bottom"/>
          </w:tcPr>
          <w:p>
            <w:pPr>
              <w:spacing w:after="0"/>
              <w:rPr>
                <w:sz w:val="22"/>
                <w:szCs w:val="22"/>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61"/>
        </w:trPr>
        <w:tc>
          <w:tcPr>
            <w:tcW w:w="3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00" w:type="dxa"/>
            <w:vAlign w:val="bottom"/>
            <w:tcBorders>
              <w:top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280" w:type="dxa"/>
            <w:vAlign w:val="bottom"/>
            <w:gridSpan w:val="2"/>
            <w:shd w:val="clear" w:color="auto" w:fill="CCEEFF"/>
          </w:tcPr>
          <w:p>
            <w:pPr>
              <w:jc w:val="right"/>
              <w:ind w:right="308"/>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680" w:type="dxa"/>
            <w:vAlign w:val="bottom"/>
            <w:tcBorders>
              <w:right w:val="single" w:sz="8" w:color="CCEEFF"/>
            </w:tcBorders>
            <w:gridSpan w:val="2"/>
            <w:shd w:val="clear" w:color="auto" w:fill="CCEEFF"/>
          </w:tcPr>
          <w:p>
            <w:pPr>
              <w:spacing w:after="0"/>
              <w:rPr>
                <w:sz w:val="24"/>
                <w:szCs w:val="24"/>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$ 10,724</w:t>
            </w:r>
          </w:p>
        </w:tc>
        <w:tc>
          <w:tcPr>
            <w:tcW w:w="2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320" w:type="dxa"/>
            <w:vAlign w:val="bottom"/>
            <w:tcBorders>
              <w:right w:val="single" w:sz="8" w:color="CCEEFF"/>
            </w:tcBorders>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 (6,219)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$ 4,505</w:t>
            </w:r>
          </w:p>
        </w:tc>
        <w:tc>
          <w:tcPr>
            <w:tcW w:w="0" w:type="dxa"/>
            <w:vAlign w:val="bottom"/>
          </w:tcPr>
          <w:p>
            <w:pPr>
              <w:spacing w:after="0"/>
              <w:rPr>
                <w:sz w:val="1"/>
                <w:szCs w:val="1"/>
                <w:color w:val="auto"/>
              </w:rPr>
            </w:pPr>
          </w:p>
        </w:tc>
      </w:tr>
      <w:tr>
        <w:trPr>
          <w:trHeight w:val="27"/>
        </w:trPr>
        <w:tc>
          <w:tcPr>
            <w:tcW w:w="3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right w:val="single" w:sz="8" w:color="auto"/>
            </w:tcBorders>
            <w:shd w:val="clear" w:color="auto" w:fill="CCEEFF"/>
          </w:tcPr>
          <w:p>
            <w:pPr>
              <w:spacing w:after="0"/>
              <w:rPr>
                <w:sz w:val="2"/>
                <w:szCs w:val="2"/>
                <w:color w:val="auto"/>
              </w:rPr>
            </w:pPr>
          </w:p>
        </w:tc>
        <w:tc>
          <w:tcPr>
            <w:tcW w:w="160" w:type="dxa"/>
            <w:vAlign w:val="bottom"/>
            <w:tcBorders>
              <w:top w:val="single" w:sz="8" w:color="auto"/>
            </w:tcBorders>
            <w:shd w:val="clear" w:color="auto" w:fill="000000"/>
          </w:tcPr>
          <w:p>
            <w:pPr>
              <w:spacing w:after="0"/>
              <w:rPr>
                <w:sz w:val="2"/>
                <w:szCs w:val="2"/>
                <w:color w:val="auto"/>
              </w:rPr>
            </w:pPr>
          </w:p>
        </w:tc>
        <w:tc>
          <w:tcPr>
            <w:tcW w:w="60" w:type="dxa"/>
            <w:vAlign w:val="bottom"/>
            <w:tcBorders>
              <w:top w:val="single" w:sz="8" w:color="auto"/>
            </w:tcBorders>
            <w:shd w:val="clear" w:color="auto" w:fill="000000"/>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right w:val="single" w:sz="8" w:color="auto"/>
            </w:tcBorders>
            <w:shd w:val="clear" w:color="auto" w:fill="CCEEFF"/>
          </w:tcPr>
          <w:p>
            <w:pPr>
              <w:spacing w:after="0"/>
              <w:rPr>
                <w:sz w:val="2"/>
                <w:szCs w:val="2"/>
                <w:color w:val="auto"/>
              </w:rPr>
            </w:pPr>
          </w:p>
        </w:tc>
        <w:tc>
          <w:tcPr>
            <w:tcW w:w="500" w:type="dxa"/>
            <w:vAlign w:val="bottom"/>
            <w:tcBorders>
              <w:top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-3839845</wp:posOffset>
            </wp:positionV>
            <wp:extent cx="15430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-2142490</wp:posOffset>
            </wp:positionV>
            <wp:extent cx="6858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-2142490</wp:posOffset>
            </wp:positionV>
            <wp:extent cx="7747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3014345</wp:posOffset>
            </wp:positionH>
            <wp:positionV relativeFrom="paragraph">
              <wp:posOffset>-2142490</wp:posOffset>
            </wp:positionV>
            <wp:extent cx="8572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2157095</wp:posOffset>
            </wp:positionH>
            <wp:positionV relativeFrom="paragraph">
              <wp:posOffset>-2142490</wp:posOffset>
            </wp:positionV>
            <wp:extent cx="431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-650875</wp:posOffset>
            </wp:positionV>
            <wp:extent cx="13716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-650875</wp:posOffset>
            </wp:positionV>
            <wp:extent cx="14541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3082925</wp:posOffset>
            </wp:positionH>
            <wp:positionV relativeFrom="paragraph">
              <wp:posOffset>-650875</wp:posOffset>
            </wp:positionV>
            <wp:extent cx="15430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-650875</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Amortization expense for intangible assets was $1.3 million, $0.9 million and $3.4 million for the years ended December 31, 2021, 2020 and 2019, respectively.</w:t>
      </w:r>
    </w:p>
    <w:p>
      <w:pPr>
        <w:spacing w:after="0" w:line="62"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estimated future amortization expense of intangible assets as of December 31, 2021 is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580" w:type="dxa"/>
            <w:vAlign w:val="bottom"/>
          </w:tcPr>
          <w:p>
            <w:pPr>
              <w:spacing w:after="0"/>
              <w:rPr>
                <w:sz w:val="16"/>
                <w:szCs w:val="16"/>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Amortization</w:t>
            </w:r>
          </w:p>
        </w:tc>
      </w:tr>
      <w:tr>
        <w:trPr>
          <w:trHeight w:val="52"/>
        </w:trPr>
        <w:tc>
          <w:tcPr>
            <w:tcW w:w="758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r>
      <w:tr>
        <w:trPr>
          <w:trHeight w:val="311"/>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Years ended December 31,</w:t>
            </w:r>
          </w:p>
        </w:tc>
        <w:tc>
          <w:tcPr>
            <w:tcW w:w="3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2022</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$ 2,094</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1,696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2024</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1,517</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304"/>
        </w:trPr>
        <w:tc>
          <w:tcPr>
            <w:tcW w:w="7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8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1,186</w:t>
            </w:r>
          </w:p>
        </w:tc>
      </w:tr>
      <w:tr>
        <w:trPr>
          <w:trHeight w:val="270"/>
        </w:trPr>
        <w:tc>
          <w:tcPr>
            <w:tcW w:w="7580" w:type="dxa"/>
            <w:vAlign w:val="bottom"/>
          </w:tcPr>
          <w:p>
            <w:pPr>
              <w:spacing w:after="0"/>
              <w:rPr>
                <w:sz w:val="20"/>
                <w:szCs w:val="20"/>
                <w:color w:val="auto"/>
              </w:rPr>
            </w:pPr>
            <w:r>
              <w:rPr>
                <w:rFonts w:ascii="Arial" w:cs="Arial" w:eastAsia="Arial" w:hAnsi="Arial"/>
                <w:sz w:val="18"/>
                <w:szCs w:val="18"/>
                <w:color w:val="auto"/>
              </w:rPr>
              <w:t>2026</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939</w:t>
            </w:r>
          </w:p>
        </w:tc>
      </w:tr>
      <w:tr>
        <w:trPr>
          <w:trHeight w:val="54"/>
        </w:trPr>
        <w:tc>
          <w:tcPr>
            <w:tcW w:w="7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867</w:t>
            </w:r>
          </w:p>
        </w:tc>
      </w:tr>
      <w:tr>
        <w:trPr>
          <w:trHeight w:val="61"/>
        </w:trPr>
        <w:tc>
          <w:tcPr>
            <w:tcW w:w="758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auto"/>
            </w:tcBorders>
            <w:shd w:val="clear" w:color="auto" w:fill="CCEEFF"/>
          </w:tcPr>
          <w:p>
            <w:pPr>
              <w:spacing w:after="0"/>
              <w:rPr>
                <w:sz w:val="5"/>
                <w:szCs w:val="5"/>
                <w:color w:val="auto"/>
              </w:rPr>
            </w:pPr>
          </w:p>
        </w:tc>
      </w:tr>
      <w:tr>
        <w:trPr>
          <w:trHeight w:val="270"/>
        </w:trPr>
        <w:tc>
          <w:tcPr>
            <w:tcW w:w="7580" w:type="dxa"/>
            <w:vAlign w:val="bottom"/>
          </w:tcPr>
          <w:p>
            <w:pPr>
              <w:spacing w:after="0"/>
              <w:rPr>
                <w:sz w:val="23"/>
                <w:szCs w:val="23"/>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$ 8,299</w:t>
            </w:r>
          </w:p>
        </w:tc>
      </w:tr>
      <w:tr>
        <w:trPr>
          <w:trHeight w:val="20"/>
        </w:trPr>
        <w:tc>
          <w:tcPr>
            <w:tcW w:w="7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-1671320</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140970</wp:posOffset>
            </wp:positionV>
            <wp:extent cx="699516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57" w:name="page158"/>
    <w:bookmarkEnd w:id="15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ind w:left="640" w:hanging="348"/>
        <w:spacing w:after="0"/>
        <w:tabs>
          <w:tab w:leader="none" w:pos="64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10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Accounts payable and accrued liabilities as of December 31, 2021 and 2020 consisted of the following (in thousands):</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860" w:type="dxa"/>
            <w:vAlign w:val="bottom"/>
          </w:tcPr>
          <w:p>
            <w:pPr>
              <w:spacing w:after="0"/>
              <w:rPr>
                <w:sz w:val="16"/>
                <w:szCs w:val="16"/>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 2021</w:t>
            </w:r>
          </w:p>
        </w:tc>
        <w:tc>
          <w:tcPr>
            <w:tcW w:w="118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December 31, 2020</w:t>
            </w:r>
          </w:p>
        </w:tc>
      </w:tr>
      <w:tr>
        <w:trPr>
          <w:trHeight w:val="53"/>
        </w:trPr>
        <w:tc>
          <w:tcPr>
            <w:tcW w:w="586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r>
      <w:tr>
        <w:trPr>
          <w:trHeight w:val="311"/>
        </w:trPr>
        <w:tc>
          <w:tcPr>
            <w:tcW w:w="5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$ 4,298</w:t>
            </w:r>
          </w:p>
        </w:tc>
        <w:tc>
          <w:tcPr>
            <w:tcW w:w="22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$ 2,244</w:t>
            </w:r>
          </w:p>
        </w:tc>
      </w:tr>
      <w:tr>
        <w:trPr>
          <w:trHeight w:val="270"/>
        </w:trPr>
        <w:tc>
          <w:tcPr>
            <w:tcW w:w="5860" w:type="dxa"/>
            <w:vAlign w:val="bottom"/>
          </w:tcPr>
          <w:p>
            <w:pPr>
              <w:spacing w:after="0"/>
              <w:rPr>
                <w:sz w:val="20"/>
                <w:szCs w:val="20"/>
                <w:color w:val="auto"/>
              </w:rPr>
            </w:pPr>
            <w:r>
              <w:rPr>
                <w:rFonts w:ascii="Arial" w:cs="Arial" w:eastAsia="Arial" w:hAnsi="Arial"/>
                <w:sz w:val="18"/>
                <w:szCs w:val="18"/>
                <w:color w:val="auto"/>
              </w:rPr>
              <w:t>Accrued employee expenses</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10,088</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6,586</w:t>
            </w:r>
          </w:p>
        </w:tc>
      </w:tr>
      <w:tr>
        <w:trPr>
          <w:trHeight w:val="54"/>
        </w:trPr>
        <w:tc>
          <w:tcPr>
            <w:tcW w:w="586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r>
      <w:tr>
        <w:trPr>
          <w:trHeight w:val="257"/>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Other accrued liabilities</w:t>
            </w: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2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3,821</w:t>
            </w:r>
          </w:p>
        </w:tc>
      </w:tr>
      <w:tr>
        <w:trPr>
          <w:trHeight w:val="61"/>
        </w:trPr>
        <w:tc>
          <w:tcPr>
            <w:tcW w:w="58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r>
      <w:tr>
        <w:trPr>
          <w:trHeight w:val="270"/>
        </w:trPr>
        <w:tc>
          <w:tcPr>
            <w:tcW w:w="5860" w:type="dxa"/>
            <w:vAlign w:val="bottom"/>
          </w:tcPr>
          <w:p>
            <w:pPr>
              <w:spacing w:after="0"/>
              <w:rPr>
                <w:sz w:val="23"/>
                <w:szCs w:val="23"/>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$ 23,155</w:t>
            </w:r>
          </w:p>
        </w:tc>
        <w:tc>
          <w:tcPr>
            <w:tcW w:w="220" w:type="dxa"/>
            <w:vAlign w:val="bottom"/>
          </w:tcPr>
          <w:p>
            <w:pPr>
              <w:spacing w:after="0"/>
              <w:rPr>
                <w:sz w:val="23"/>
                <w:szCs w:val="23"/>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$ 12,651</w:t>
            </w:r>
          </w:p>
        </w:tc>
      </w:tr>
      <w:tr>
        <w:trPr>
          <w:trHeight w:val="20"/>
        </w:trPr>
        <w:tc>
          <w:tcPr>
            <w:tcW w:w="5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-848360</wp:posOffset>
            </wp:positionV>
            <wp:extent cx="137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3837305</wp:posOffset>
            </wp:positionH>
            <wp:positionV relativeFrom="paragraph">
              <wp:posOffset>-848360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10.  Warrant Liability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At December 31, 2021, there were 12,499,993 Public Warrants outstanding and 7,000,000 Private Placement Warrants outstanding.</w:t>
      </w:r>
    </w:p>
    <w:p>
      <w:pPr>
        <w:spacing w:after="0" w:line="62"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84"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56"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60"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Company may exercise its redemption right even if it is unable to register or qualify the underlying securities for sale under all applicable state securities laws.</w:t>
      </w:r>
    </w:p>
    <w:p>
      <w:pPr>
        <w:spacing w:after="0" w:line="62" w:lineRule="exact"/>
        <w:rPr>
          <w:sz w:val="20"/>
          <w:szCs w:val="20"/>
          <w:color w:val="auto"/>
        </w:rPr>
      </w:pPr>
    </w:p>
    <w:p>
      <w:pPr>
        <w:jc w:val="both"/>
        <w:ind w:left="300" w:right="299" w:firstLine="360"/>
        <w:spacing w:after="0" w:line="272"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69"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8" w:name="page159"/>
    <w:bookmarkEnd w:id="15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57" w:lineRule="auto"/>
        <w:rPr>
          <w:sz w:val="20"/>
          <w:szCs w:val="20"/>
          <w:color w:val="auto"/>
        </w:rPr>
      </w:pPr>
      <w:r>
        <w:rPr>
          <w:rFonts w:ascii="Arial" w:cs="Arial" w:eastAsia="Arial" w:hAnsi="Arial"/>
          <w:sz w:val="18"/>
          <w:szCs w:val="18"/>
          <w:color w:val="auto"/>
        </w:rPr>
        <w:t>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80"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 xml:space="preserve">The Company concluded the Public Warrants and Private Placement Warrants, or the Warrants, meet the definition of a derivative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 described in Note 2) and are recorded as liabilities. Upon the Closing, the fair value of the Warrants was recorded on the balance sheet. The fair value of the Warrants was remeasured as of December 31, 2021, resulting in a non-cash change in fair Warrant liabilities of $166.5 million in the consolidated statements of operations for the year ended December 31, 2021.</w:t>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11.  Equity</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25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39"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Class V Common Stock</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9" w:name="page160"/>
    <w:bookmarkEnd w:id="15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spacing w:after="0" w:line="257" w:lineRule="auto"/>
        <w:rPr>
          <w:sz w:val="20"/>
          <w:szCs w:val="20"/>
          <w:color w:val="auto"/>
        </w:rPr>
      </w:pPr>
      <w:r>
        <w:rPr>
          <w:rFonts w:ascii="Arial" w:cs="Arial" w:eastAsia="Arial" w:hAnsi="Arial"/>
          <w:sz w:val="18"/>
          <w:szCs w:val="18"/>
          <w:color w:val="auto"/>
        </w:rPr>
        <w:t>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holders of the Class V Common Stock will not participate in any dividends declared by the Company’s board of directors.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Rights upon Liquidation, Dissolution and Winding-Up</w:t>
      </w:r>
    </w:p>
    <w:p>
      <w:pPr>
        <w:spacing w:after="0" w:line="117"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In the event of any voluntary or involuntary liquidation, dissolution or winding up of our affairs, the holders of Class V Common Stock are not entitled to receive any of the Company’s assets.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jc w:val="both"/>
        <w:ind w:left="300" w:right="319" w:firstLine="360"/>
        <w:spacing w:after="0" w:line="342" w:lineRule="auto"/>
        <w:rPr>
          <w:sz w:val="20"/>
          <w:szCs w:val="20"/>
          <w:color w:val="auto"/>
        </w:rPr>
      </w:pPr>
      <w:r>
        <w:rPr>
          <w:rFonts w:ascii="Arial" w:cs="Arial" w:eastAsia="Arial" w:hAnsi="Arial"/>
          <w:sz w:val="16"/>
          <w:szCs w:val="16"/>
          <w:color w:val="auto"/>
        </w:rPr>
        <w:t>The holders of shares of Class V Common Stock do not have preemptive, subscription, redemption or conversion rights. There will be no redemption or sinking fund provisions applicable to the Class V Common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Issuance and Retirement of Class V Common Stock</w:t>
      </w:r>
    </w:p>
    <w:p>
      <w:pPr>
        <w:spacing w:after="0" w:line="117" w:lineRule="exact"/>
        <w:rPr>
          <w:sz w:val="20"/>
          <w:szCs w:val="20"/>
          <w:color w:val="auto"/>
        </w:rPr>
      </w:pPr>
    </w:p>
    <w:p>
      <w:pPr>
        <w:jc w:val="both"/>
        <w:ind w:left="300" w:right="319" w:firstLine="360"/>
        <w:spacing w:after="0" w:line="301" w:lineRule="auto"/>
        <w:rPr>
          <w:sz w:val="20"/>
          <w:szCs w:val="20"/>
          <w:color w:val="auto"/>
        </w:rPr>
      </w:pPr>
      <w:r>
        <w:rPr>
          <w:rFonts w:ascii="Arial" w:cs="Arial" w:eastAsia="Arial" w:hAnsi="Arial"/>
          <w:sz w:val="16"/>
          <w:szCs w:val="16"/>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left="300" w:right="299" w:firstLine="360"/>
        <w:spacing w:after="0" w:line="259" w:lineRule="auto"/>
        <w:rPr>
          <w:sz w:val="20"/>
          <w:szCs w:val="20"/>
          <w:color w:val="auto"/>
        </w:rPr>
      </w:pPr>
      <w:r>
        <w:rPr>
          <w:rFonts w:ascii="Arial" w:cs="Arial" w:eastAsia="Arial" w:hAnsi="Arial"/>
          <w:sz w:val="18"/>
          <w:szCs w:val="18"/>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December 31, 2021, there were no shares of preferred stock issued or outstanding.</w:t>
      </w:r>
    </w:p>
    <w:p>
      <w:pPr>
        <w:spacing w:after="0" w:line="25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11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The noncontrolling interest represents the Units held by holders other than the Company. As of December 31, 2021, the noncontrolling interests owned 55.5% of the Units outstanding. The noncontrolling interests’ ownership percentage can fluctuate over time, including as the WMH LLC equity holders elect to exchange Units for Class A Common Stock. The 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consolidated statements of operations for the year ended December 31, 2021.</w:t>
      </w:r>
    </w:p>
    <w:p>
      <w:pPr>
        <w:spacing w:after="0" w:line="1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12.  Stock-based Compensation</w:t>
      </w:r>
    </w:p>
    <w:p>
      <w:pPr>
        <w:spacing w:after="0" w:line="13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Holding Company, LLC Equity Incentive Plan</w:t>
      </w:r>
    </w:p>
    <w:p>
      <w:pPr>
        <w:spacing w:after="0" w:line="117"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The Company has accounted for the issuance of Class A-3 and Class B Units issued under WM Holding Company, LLC’s Equity Incentive Plan in accordance with ASC 718 - Stock Based Compensation. The Company considers the limitation on the exercisability of the Class A-3 and Class B Units to be a performance condition and records compensation cost when it becomes probable that the performance condition will be met.</w:t>
      </w:r>
    </w:p>
    <w:p>
      <w:pPr>
        <w:spacing w:after="0" w:line="6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0" w:name="page161"/>
    <w:bookmarkEnd w:id="16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spacing w:after="0" w:line="279" w:lineRule="auto"/>
        <w:rPr>
          <w:sz w:val="20"/>
          <w:szCs w:val="20"/>
          <w:color w:val="auto"/>
        </w:rPr>
      </w:pPr>
      <w:r>
        <w:rPr>
          <w:rFonts w:ascii="Arial" w:cs="Arial" w:eastAsia="Arial" w:hAnsi="Arial"/>
          <w:sz w:val="17"/>
          <w:szCs w:val="17"/>
          <w:color w:val="auto"/>
        </w:rPr>
        <w:t>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3"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Class P Unit activity for the periods presented is as follows: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360" w:type="dxa"/>
            <w:vAlign w:val="bottom"/>
          </w:tcPr>
          <w:p>
            <w:pPr>
              <w:spacing w:after="0"/>
              <w:rPr>
                <w:sz w:val="16"/>
                <w:szCs w:val="16"/>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Number of Units</w:t>
            </w:r>
          </w:p>
        </w:tc>
      </w:tr>
      <w:tr>
        <w:trPr>
          <w:trHeight w:val="53"/>
        </w:trPr>
        <w:tc>
          <w:tcPr>
            <w:tcW w:w="736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311"/>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December 31, 2018</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245,371</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25,990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(7,284)</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3"/>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2019</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264,077</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Granted</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14,250</w:t>
            </w: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Repurchase</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(1,900)</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A-3 and Class B Units, December 31, 2020</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274,816</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04"/>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Repurchases</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(8,279)</w:t>
            </w:r>
          </w:p>
        </w:tc>
      </w:tr>
      <w:tr>
        <w:trPr>
          <w:trHeight w:val="257"/>
        </w:trPr>
        <w:tc>
          <w:tcPr>
            <w:tcW w:w="7360" w:type="dxa"/>
            <w:vAlign w:val="bottom"/>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(4,288)</w:t>
            </w:r>
          </w:p>
        </w:tc>
      </w:tr>
      <w:tr>
        <w:trPr>
          <w:trHeight w:val="61"/>
        </w:trPr>
        <w:tc>
          <w:tcPr>
            <w:tcW w:w="7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20" w:type="dxa"/>
            <w:vAlign w:val="bottom"/>
            <w:tcBorders>
              <w:top w:val="single" w:sz="8" w:color="auto"/>
            </w:tcBorders>
          </w:tcPr>
          <w:p>
            <w:pPr>
              <w:spacing w:after="0"/>
              <w:rPr>
                <w:sz w:val="5"/>
                <w:szCs w:val="5"/>
                <w:color w:val="auto"/>
              </w:rPr>
            </w:pPr>
          </w:p>
        </w:tc>
      </w:tr>
      <w:tr>
        <w:trPr>
          <w:trHeight w:val="318"/>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Class A-3 and Class B Units, June 15, 2021 (Pre-Business Combination)</w:t>
            </w: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262,249</w:t>
            </w:r>
          </w:p>
        </w:tc>
      </w:tr>
      <w:tr>
        <w:trPr>
          <w:trHeight w:val="256"/>
        </w:trPr>
        <w:tc>
          <w:tcPr>
            <w:tcW w:w="7360" w:type="dxa"/>
            <w:vAlign w:val="bottom"/>
          </w:tcPr>
          <w:p>
            <w:pPr>
              <w:spacing w:after="0"/>
              <w:rPr>
                <w:sz w:val="20"/>
                <w:szCs w:val="20"/>
                <w:color w:val="auto"/>
              </w:rPr>
            </w:pPr>
            <w:r>
              <w:rPr>
                <w:rFonts w:ascii="Arial" w:cs="Arial" w:eastAsia="Arial" w:hAnsi="Arial"/>
                <w:sz w:val="18"/>
                <w:szCs w:val="18"/>
                <w:color w:val="auto"/>
              </w:rPr>
              <w:t>Class A-3 Units outstanding exchanged for Class A Units in connection with the Business</w:t>
            </w: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7360" w:type="dxa"/>
            <w:vAlign w:val="bottom"/>
          </w:tcPr>
          <w:p>
            <w:pPr>
              <w:ind w:left="180"/>
              <w:spacing w:after="0"/>
              <w:rPr>
                <w:sz w:val="20"/>
                <w:szCs w:val="20"/>
                <w:color w:val="auto"/>
              </w:rPr>
            </w:pPr>
            <w:r>
              <w:rPr>
                <w:rFonts w:ascii="Arial" w:cs="Arial" w:eastAsia="Arial" w:hAnsi="Arial"/>
                <w:sz w:val="18"/>
                <w:szCs w:val="18"/>
                <w:color w:val="auto"/>
              </w:rPr>
              <w:t>Combination</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(53,333)</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7"/>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Recapitalization in connection with the Business Combination</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25,687,126</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84"/>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June 16,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25,896,042</w:t>
            </w:r>
          </w:p>
        </w:tc>
      </w:tr>
      <w:tr>
        <w:trPr>
          <w:trHeight w:val="54"/>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256"/>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Cancellations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(235,513)</w:t>
            </w:r>
          </w:p>
        </w:tc>
      </w:tr>
      <w:tr>
        <w:trPr>
          <w:trHeight w:val="61"/>
        </w:trPr>
        <w:tc>
          <w:tcPr>
            <w:tcW w:w="736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auto"/>
            </w:tcBorders>
            <w:shd w:val="clear" w:color="auto" w:fill="CCEEFF"/>
          </w:tcPr>
          <w:p>
            <w:pPr>
              <w:spacing w:after="0"/>
              <w:rPr>
                <w:sz w:val="5"/>
                <w:szCs w:val="5"/>
                <w:color w:val="auto"/>
              </w:rPr>
            </w:pPr>
          </w:p>
        </w:tc>
        <w:tc>
          <w:tcPr>
            <w:tcW w:w="820" w:type="dxa"/>
            <w:vAlign w:val="bottom"/>
            <w:tcBorders>
              <w:top w:val="single" w:sz="8" w:color="auto"/>
            </w:tcBorders>
            <w:shd w:val="clear" w:color="auto" w:fill="CCEEFF"/>
          </w:tcPr>
          <w:p>
            <w:pPr>
              <w:spacing w:after="0"/>
              <w:rPr>
                <w:sz w:val="5"/>
                <w:szCs w:val="5"/>
                <w:color w:val="auto"/>
              </w:rPr>
            </w:pPr>
          </w:p>
        </w:tc>
      </w:tr>
      <w:tr>
        <w:trPr>
          <w:trHeight w:val="270"/>
        </w:trPr>
        <w:tc>
          <w:tcPr>
            <w:tcW w:w="7360" w:type="dxa"/>
            <w:vAlign w:val="bottom"/>
          </w:tcPr>
          <w:p>
            <w:pPr>
              <w:spacing w:after="0"/>
              <w:rPr>
                <w:sz w:val="20"/>
                <w:szCs w:val="20"/>
                <w:color w:val="auto"/>
              </w:rPr>
            </w:pPr>
            <w:r>
              <w:rPr>
                <w:rFonts w:ascii="Arial" w:cs="Arial" w:eastAsia="Arial" w:hAnsi="Arial"/>
                <w:sz w:val="18"/>
                <w:szCs w:val="18"/>
                <w:color w:val="auto"/>
              </w:rPr>
              <w:t>Outstanding Class P Units, December 31, 2021</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25,660,529</w:t>
            </w:r>
          </w:p>
        </w:tc>
      </w:tr>
      <w:tr>
        <w:trPr>
          <w:trHeight w:val="20"/>
        </w:trPr>
        <w:tc>
          <w:tcPr>
            <w:tcW w:w="7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7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820" w:type="dxa"/>
            <w:vAlign w:val="bottom"/>
          </w:tcPr>
          <w:p>
            <w:pPr>
              <w:spacing w:after="0"/>
              <w:rPr>
                <w:sz w:val="4"/>
                <w:szCs w:val="4"/>
                <w:color w:val="auto"/>
              </w:rPr>
            </w:pPr>
          </w:p>
        </w:tc>
      </w:tr>
      <w:tr>
        <w:trPr>
          <w:trHeight w:val="345"/>
        </w:trPr>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December 31, 2021</w:t>
            </w:r>
          </w:p>
        </w:tc>
        <w:tc>
          <w:tcPr>
            <w:tcW w:w="240" w:type="dxa"/>
            <w:vAlign w:val="bottom"/>
            <w:tcBorders>
              <w:bottom w:val="single" w:sz="8" w:color="CCEEFF"/>
            </w:tcBorders>
            <w:gridSpan w:val="2"/>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23,685,659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-3788410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4" w:lineRule="exact"/>
        <w:rPr>
          <w:sz w:val="20"/>
          <w:szCs w:val="20"/>
          <w:color w:val="auto"/>
        </w:rPr>
      </w:pPr>
    </w:p>
    <w:p>
      <w:pPr>
        <w:jc w:val="both"/>
        <w:ind w:left="300" w:right="319" w:firstLine="360"/>
        <w:spacing w:after="0" w:line="270" w:lineRule="auto"/>
        <w:rPr>
          <w:sz w:val="20"/>
          <w:szCs w:val="20"/>
          <w:color w:val="auto"/>
        </w:rPr>
      </w:pPr>
      <w:r>
        <w:rPr>
          <w:rFonts w:ascii="Arial" w:cs="Arial" w:eastAsia="Arial" w:hAnsi="Arial"/>
          <w:sz w:val="17"/>
          <w:szCs w:val="17"/>
          <w:color w:val="auto"/>
        </w:rPr>
        <w:t>As of December 31, 2021, unrecognized stock-based compensation expense for non-vested Class P Units was $4.2 million, which is expected to be recognized over a weighted-average period of 2.1 years. For the year ended December 31, 2021, the Company recorded stock-based compensation expense for the Class P Units of $20.9 million.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year ended December 31, 2021 includes a one-time incremental expense of $4.1 million related to an award modification as a result of an advisory agreement entered into with a former executive.</w:t>
      </w:r>
    </w:p>
    <w:p>
      <w:pPr>
        <w:spacing w:after="0" w:line="18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WM Technology, Inc. Equity Incentive Plan</w:t>
      </w:r>
    </w:p>
    <w:p>
      <w:pPr>
        <w:spacing w:after="0" w:line="117"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December 31, 2021, 19,209,986 shares of Class A Common Stock are authorized for issuance pursuant to awards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1" w:name="page162"/>
    <w:bookmarkEnd w:id="161"/>
    <w:p>
      <w:pPr>
        <w:ind w:left="1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1300" w:right="1300"/>
        <w:spacing w:after="0" w:line="254" w:lineRule="auto"/>
        <w:rPr>
          <w:sz w:val="20"/>
          <w:szCs w:val="20"/>
          <w:color w:val="auto"/>
        </w:rPr>
      </w:pPr>
      <w:r>
        <w:rPr>
          <w:rFonts w:ascii="Arial" w:cs="Arial" w:eastAsia="Arial" w:hAnsi="Arial"/>
          <w:sz w:val="18"/>
          <w:szCs w:val="18"/>
          <w:color w:val="auto"/>
        </w:rPr>
        <w:t>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December 31, 2021, 10,373,779 shares of Class A Common Stock are available for future issuance.</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summary of the restricted stock unit (“RSU”) activity for the year ended December 31, 2021 is as follows:</w:t>
      </w:r>
    </w:p>
    <w:p>
      <w:pPr>
        <w:spacing w:after="0" w:line="177"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12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3"/>
              </w:rPr>
              <w:t>Number of RSUs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78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780" w:type="dxa"/>
            <w:vAlign w:val="bottom"/>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6,581,369</w:t>
            </w:r>
          </w:p>
        </w:tc>
        <w:tc>
          <w:tcPr>
            <w:tcW w:w="1400" w:type="dxa"/>
            <w:vAlign w:val="bottom"/>
          </w:tcPr>
          <w:p>
            <w:pPr>
              <w:jc w:val="right"/>
              <w:spacing w:after="0"/>
              <w:rPr>
                <w:sz w:val="20"/>
                <w:szCs w:val="20"/>
                <w:color w:val="auto"/>
              </w:rPr>
            </w:pPr>
            <w:r>
              <w:rPr>
                <w:rFonts w:ascii="Arial" w:cs="Arial" w:eastAsia="Arial" w:hAnsi="Arial"/>
                <w:sz w:val="18"/>
                <w:szCs w:val="18"/>
                <w:color w:val="auto"/>
              </w:rPr>
              <w:t>$ 10.96</w:t>
            </w:r>
          </w:p>
        </w:tc>
        <w:tc>
          <w:tcPr>
            <w:tcW w:w="0" w:type="dxa"/>
            <w:vAlign w:val="bottom"/>
          </w:tcPr>
          <w:p>
            <w:pPr>
              <w:spacing w:after="0"/>
              <w:rPr>
                <w:sz w:val="1"/>
                <w:szCs w:val="1"/>
                <w:color w:val="auto"/>
              </w:rPr>
            </w:pPr>
          </w:p>
        </w:tc>
      </w:tr>
      <w:tr>
        <w:trPr>
          <w:trHeight w:val="54"/>
        </w:trPr>
        <w:tc>
          <w:tcPr>
            <w:tcW w:w="5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(568,826)</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$ 10.59</w:t>
            </w:r>
          </w:p>
        </w:tc>
        <w:tc>
          <w:tcPr>
            <w:tcW w:w="0" w:type="dxa"/>
            <w:vAlign w:val="bottom"/>
          </w:tcPr>
          <w:p>
            <w:pPr>
              <w:spacing w:after="0"/>
              <w:rPr>
                <w:sz w:val="1"/>
                <w:szCs w:val="1"/>
                <w:color w:val="auto"/>
              </w:rPr>
            </w:pPr>
          </w:p>
        </w:tc>
      </w:tr>
      <w:tr>
        <w:trPr>
          <w:trHeight w:val="256"/>
        </w:trPr>
        <w:tc>
          <w:tcPr>
            <w:tcW w:w="578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160"/>
              <w:spacing w:after="0"/>
              <w:rPr>
                <w:sz w:val="20"/>
                <w:szCs w:val="20"/>
                <w:color w:val="auto"/>
              </w:rPr>
            </w:pPr>
            <w:r>
              <w:rPr>
                <w:rFonts w:ascii="Arial" w:cs="Arial" w:eastAsia="Arial" w:hAnsi="Arial"/>
                <w:sz w:val="18"/>
                <w:szCs w:val="18"/>
                <w:color w:val="auto"/>
              </w:rPr>
              <w:t>(182,662)</w:t>
            </w:r>
          </w:p>
        </w:tc>
        <w:tc>
          <w:tcPr>
            <w:tcW w:w="1400" w:type="dxa"/>
            <w:vAlign w:val="bottom"/>
          </w:tcPr>
          <w:p>
            <w:pPr>
              <w:jc w:val="right"/>
              <w:spacing w:after="0"/>
              <w:rPr>
                <w:sz w:val="20"/>
                <w:szCs w:val="20"/>
                <w:color w:val="auto"/>
              </w:rPr>
            </w:pPr>
            <w:r>
              <w:rPr>
                <w:rFonts w:ascii="Arial" w:cs="Arial" w:eastAsia="Arial" w:hAnsi="Arial"/>
                <w:sz w:val="18"/>
                <w:szCs w:val="18"/>
                <w:color w:val="auto"/>
              </w:rPr>
              <w:t>$ 13.70</w:t>
            </w:r>
          </w:p>
        </w:tc>
        <w:tc>
          <w:tcPr>
            <w:tcW w:w="0" w:type="dxa"/>
            <w:vAlign w:val="bottom"/>
          </w:tcPr>
          <w:p>
            <w:pPr>
              <w:spacing w:after="0"/>
              <w:rPr>
                <w:sz w:val="1"/>
                <w:szCs w:val="1"/>
                <w:color w:val="auto"/>
              </w:rPr>
            </w:pPr>
          </w:p>
        </w:tc>
      </w:tr>
      <w:tr>
        <w:trPr>
          <w:trHeight w:val="61"/>
        </w:trPr>
        <w:tc>
          <w:tcPr>
            <w:tcW w:w="5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5,829,881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$ 10.91</w:t>
            </w:r>
          </w:p>
        </w:tc>
        <w:tc>
          <w:tcPr>
            <w:tcW w:w="0" w:type="dxa"/>
            <w:vAlign w:val="bottom"/>
          </w:tcPr>
          <w:p>
            <w:pPr>
              <w:spacing w:after="0"/>
              <w:rPr>
                <w:sz w:val="1"/>
                <w:szCs w:val="1"/>
                <w:color w:val="auto"/>
              </w:rPr>
            </w:pPr>
          </w:p>
        </w:tc>
      </w:tr>
      <w:tr>
        <w:trPr>
          <w:trHeight w:val="27"/>
        </w:trPr>
        <w:tc>
          <w:tcPr>
            <w:tcW w:w="57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4446270</wp:posOffset>
            </wp:positionH>
            <wp:positionV relativeFrom="paragraph">
              <wp:posOffset>-1062355</wp:posOffset>
            </wp:positionV>
            <wp:extent cx="514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RSUs was $60.5 million, which is expected to be recognized over a weighted-average period of 3.3 years. For the year ended December 31, 2021, the Company recorded stock-based compensation expense for the RSUs of $8.0 million.</w:t>
      </w:r>
    </w:p>
    <w:p>
      <w:pPr>
        <w:spacing w:after="0" w:line="41" w:lineRule="exact"/>
        <w:rPr>
          <w:sz w:val="20"/>
          <w:szCs w:val="20"/>
          <w:color w:val="auto"/>
        </w:rPr>
      </w:pPr>
    </w:p>
    <w:p>
      <w:pPr>
        <w:jc w:val="both"/>
        <w:ind w:left="1300" w:right="1300" w:firstLine="360"/>
        <w:spacing w:after="0" w:line="275" w:lineRule="auto"/>
        <w:rPr>
          <w:sz w:val="20"/>
          <w:szCs w:val="20"/>
          <w:color w:val="auto"/>
        </w:rPr>
      </w:pPr>
      <w:r>
        <w:rPr>
          <w:rFonts w:ascii="Arial" w:cs="Arial" w:eastAsia="Arial" w:hAnsi="Arial"/>
          <w:sz w:val="17"/>
          <w:szCs w:val="17"/>
          <w:color w:val="auto"/>
        </w:rPr>
        <w:t>The Company grants performance-based restricted stock units (“PSUs”) with performance and service-based vesting conditions. The level of achievement of such goals may cause the actual number of units that ultimately vest to range from 0% to 200% of the original units granted. The Company recognizes expense ratably over the vesting period for the PSUs when it is probable that the performance criteria specified will be achieved. The fair value is equal to the market price of the Company’s common stock on the date of grant.</w:t>
      </w:r>
    </w:p>
    <w:p>
      <w:pPr>
        <w:spacing w:after="0" w:line="109"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A summary of the PSU activity for the year ended December 31, 2021 is as follows:</w:t>
      </w:r>
    </w:p>
    <w:p>
      <w:pPr>
        <w:spacing w:after="0" w:line="16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22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2"/>
              </w:rPr>
              <w:t>Number of PSUs</w:t>
            </w:r>
          </w:p>
        </w:tc>
        <w:tc>
          <w:tcPr>
            <w:tcW w:w="1400" w:type="dxa"/>
            <w:vAlign w:val="bottom"/>
          </w:tcPr>
          <w:p>
            <w:pPr>
              <w:jc w:val="right"/>
              <w:ind w:right="75"/>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6"/>
        </w:trPr>
        <w:tc>
          <w:tcPr>
            <w:tcW w:w="58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53"/>
        </w:trPr>
        <w:tc>
          <w:tcPr>
            <w:tcW w:w="580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54"/>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w:t>
            </w:r>
          </w:p>
        </w:tc>
        <w:tc>
          <w:tcPr>
            <w:tcW w:w="3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70"/>
        </w:trPr>
        <w:tc>
          <w:tcPr>
            <w:tcW w:w="5800" w:type="dxa"/>
            <w:vAlign w:val="bottom"/>
          </w:tcPr>
          <w:p>
            <w:pPr>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23"/>
                <w:szCs w:val="2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48"/>
        </w:trPr>
        <w:tc>
          <w:tcPr>
            <w:tcW w:w="58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31, 2021</w:t>
            </w: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2,437,500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$ 6.40</w:t>
            </w:r>
          </w:p>
        </w:tc>
        <w:tc>
          <w:tcPr>
            <w:tcW w:w="0" w:type="dxa"/>
            <w:vAlign w:val="bottom"/>
          </w:tcPr>
          <w:p>
            <w:pPr>
              <w:spacing w:after="0"/>
              <w:rPr>
                <w:sz w:val="1"/>
                <w:szCs w:val="1"/>
                <w:color w:val="auto"/>
              </w:rPr>
            </w:pPr>
          </w:p>
        </w:tc>
      </w:tr>
      <w:tr>
        <w:trPr>
          <w:trHeight w:val="27"/>
        </w:trPr>
        <w:tc>
          <w:tcPr>
            <w:tcW w:w="580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auto"/>
            </w:tcBorders>
            <w:shd w:val="clear" w:color="auto" w:fill="000000"/>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5175250</wp:posOffset>
            </wp:positionH>
            <wp:positionV relativeFrom="paragraph">
              <wp:posOffset>-1062355</wp:posOffset>
            </wp:positionV>
            <wp:extent cx="1028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-1062355</wp:posOffset>
            </wp:positionV>
            <wp:extent cx="5143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74" w:lineRule="exact"/>
        <w:rPr>
          <w:sz w:val="20"/>
          <w:szCs w:val="20"/>
          <w:color w:val="auto"/>
        </w:rPr>
      </w:pPr>
    </w:p>
    <w:p>
      <w:pPr>
        <w:jc w:val="both"/>
        <w:ind w:left="1300" w:right="1300" w:firstLine="360"/>
        <w:spacing w:after="0" w:line="311" w:lineRule="auto"/>
        <w:rPr>
          <w:sz w:val="20"/>
          <w:szCs w:val="20"/>
          <w:color w:val="auto"/>
        </w:rPr>
      </w:pPr>
      <w:r>
        <w:rPr>
          <w:rFonts w:ascii="Arial" w:cs="Arial" w:eastAsia="Arial" w:hAnsi="Arial"/>
          <w:sz w:val="16"/>
          <w:szCs w:val="16"/>
          <w:color w:val="auto"/>
        </w:rPr>
        <w:t>As of December 31, 2021, unrecognized stock-based compensation expense for non-vested PSUs was $15.2 million, which is expected to be recognized over a weighted-average period of 2.0 years. For the year ended December 31, 2021, the Company recorded stock-based compensation expense for the PSUs of $0.4 million.</w:t>
      </w:r>
    </w:p>
    <w:p>
      <w:pPr>
        <w:spacing w:after="0" w:line="41" w:lineRule="exact"/>
        <w:rPr>
          <w:sz w:val="20"/>
          <w:szCs w:val="20"/>
          <w:color w:val="auto"/>
        </w:rPr>
      </w:pPr>
    </w:p>
    <w:p>
      <w:pPr>
        <w:jc w:val="both"/>
        <w:ind w:left="1300" w:right="1300" w:firstLine="360"/>
        <w:spacing w:after="0" w:line="308" w:lineRule="auto"/>
        <w:rPr>
          <w:sz w:val="20"/>
          <w:szCs w:val="20"/>
          <w:color w:val="auto"/>
        </w:rPr>
      </w:pPr>
      <w:r>
        <w:rPr>
          <w:rFonts w:ascii="Arial" w:cs="Arial" w:eastAsia="Arial" w:hAnsi="Arial"/>
          <w:sz w:val="17"/>
          <w:szCs w:val="17"/>
          <w:color w:val="auto"/>
        </w:rPr>
        <w:t>The Company recorded stock-based compensation cost related to the Class P Units, RSUs and PSUs in the following expense categories on the accompanying consolidated statements of operations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920" w:type="dxa"/>
            <w:vAlign w:val="bottom"/>
            <w:gridSpan w:val="4"/>
          </w:tcPr>
          <w:p>
            <w:pPr>
              <w:jc w:val="center"/>
              <w:ind w:right="1320"/>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130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41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53"/>
        </w:trPr>
        <w:tc>
          <w:tcPr>
            <w:tcW w:w="1300" w:type="dxa"/>
            <w:vAlign w:val="bottom"/>
          </w:tcPr>
          <w:p>
            <w:pPr>
              <w:spacing w:after="0"/>
              <w:rPr>
                <w:sz w:val="4"/>
                <w:szCs w:val="4"/>
                <w:color w:val="auto"/>
              </w:rPr>
            </w:pPr>
          </w:p>
        </w:tc>
        <w:tc>
          <w:tcPr>
            <w:tcW w:w="3640" w:type="dxa"/>
            <w:vAlign w:val="bottom"/>
            <w:tcBorders>
              <w:bottom w:val="single" w:sz="8" w:color="CCEEFF"/>
            </w:tcBorders>
          </w:tcPr>
          <w:p>
            <w:pPr>
              <w:spacing w:after="0"/>
              <w:rPr>
                <w:sz w:val="4"/>
                <w:szCs w:val="4"/>
                <w:color w:val="auto"/>
              </w:rPr>
            </w:pPr>
          </w:p>
        </w:tc>
        <w:tc>
          <w:tcPr>
            <w:tcW w:w="3160" w:type="dxa"/>
            <w:vAlign w:val="bottom"/>
            <w:tcBorders>
              <w:bottom w:val="single" w:sz="8" w:color="CCEEFF"/>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300" w:type="dxa"/>
            <w:vAlign w:val="bottom"/>
          </w:tcPr>
          <w:p>
            <w:pPr>
              <w:spacing w:after="0"/>
              <w:rPr>
                <w:sz w:val="4"/>
                <w:szCs w:val="4"/>
                <w:color w:val="auto"/>
              </w:rPr>
            </w:pPr>
          </w:p>
        </w:tc>
      </w:tr>
      <w:tr>
        <w:trPr>
          <w:trHeight w:val="311"/>
        </w:trPr>
        <w:tc>
          <w:tcPr>
            <w:tcW w:w="1300" w:type="dxa"/>
            <w:vAlign w:val="bottom"/>
          </w:tcPr>
          <w:p>
            <w:pPr>
              <w:spacing w:after="0"/>
              <w:rPr>
                <w:sz w:val="24"/>
                <w:szCs w:val="24"/>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78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$ 6,021</w:t>
            </w:r>
          </w:p>
        </w:tc>
        <w:tc>
          <w:tcPr>
            <w:tcW w:w="1300" w:type="dxa"/>
            <w:vAlign w:val="bottom"/>
          </w:tcPr>
          <w:p>
            <w:pPr>
              <w:spacing w:after="0"/>
              <w:rPr>
                <w:sz w:val="24"/>
                <w:szCs w:val="24"/>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Product development</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5,103</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18,200</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84"/>
        </w:trPr>
        <w:tc>
          <w:tcPr>
            <w:tcW w:w="1300" w:type="dxa"/>
            <w:vAlign w:val="bottom"/>
          </w:tcPr>
          <w:p>
            <w:pPr>
              <w:spacing w:after="0"/>
              <w:rPr>
                <w:sz w:val="24"/>
                <w:szCs w:val="24"/>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expense</w:t>
            </w:r>
          </w:p>
        </w:tc>
        <w:tc>
          <w:tcPr>
            <w:tcW w:w="6080" w:type="dxa"/>
            <w:vAlign w:val="bottom"/>
            <w:gridSpan w:val="5"/>
          </w:tcPr>
          <w:p>
            <w:pPr>
              <w:jc w:val="right"/>
              <w:ind w:right="1300"/>
              <w:spacing w:after="0"/>
              <w:rPr>
                <w:sz w:val="20"/>
                <w:szCs w:val="20"/>
                <w:color w:val="auto"/>
              </w:rPr>
            </w:pPr>
            <w:r>
              <w:rPr>
                <w:rFonts w:ascii="Arial" w:cs="Arial" w:eastAsia="Arial" w:hAnsi="Arial"/>
                <w:sz w:val="18"/>
                <w:szCs w:val="18"/>
                <w:color w:val="auto"/>
              </w:rPr>
              <w:t>29,324</w:t>
            </w:r>
          </w:p>
        </w:tc>
      </w:tr>
      <w:tr>
        <w:trPr>
          <w:trHeight w:val="54"/>
        </w:trPr>
        <w:tc>
          <w:tcPr>
            <w:tcW w:w="1300" w:type="dxa"/>
            <w:vAlign w:val="bottom"/>
          </w:tcPr>
          <w:p>
            <w:pPr>
              <w:spacing w:after="0"/>
              <w:rPr>
                <w:sz w:val="4"/>
                <w:szCs w:val="4"/>
                <w:color w:val="auto"/>
              </w:rPr>
            </w:pPr>
          </w:p>
        </w:tc>
        <w:tc>
          <w:tcPr>
            <w:tcW w:w="3640" w:type="dxa"/>
            <w:vAlign w:val="bottom"/>
          </w:tcPr>
          <w:p>
            <w:pPr>
              <w:spacing w:after="0"/>
              <w:rPr>
                <w:sz w:val="4"/>
                <w:szCs w:val="4"/>
                <w:color w:val="auto"/>
              </w:rPr>
            </w:pPr>
          </w:p>
        </w:tc>
        <w:tc>
          <w:tcPr>
            <w:tcW w:w="3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gridSpan w:val="2"/>
          </w:tcPr>
          <w:p>
            <w:pPr>
              <w:spacing w:after="0"/>
              <w:rPr>
                <w:sz w:val="4"/>
                <w:szCs w:val="4"/>
                <w:color w:val="auto"/>
              </w:rPr>
            </w:pPr>
          </w:p>
        </w:tc>
      </w:tr>
      <w:tr>
        <w:trPr>
          <w:trHeight w:val="256"/>
        </w:trPr>
        <w:tc>
          <w:tcPr>
            <w:tcW w:w="1300" w:type="dxa"/>
            <w:vAlign w:val="bottom"/>
          </w:tcPr>
          <w:p>
            <w:pPr>
              <w:spacing w:after="0"/>
              <w:rPr>
                <w:sz w:val="22"/>
                <w:szCs w:val="22"/>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Amount capitalized to software development</w:t>
            </w:r>
          </w:p>
        </w:tc>
        <w:tc>
          <w:tcPr>
            <w:tcW w:w="4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300" w:type="dxa"/>
            <w:vAlign w:val="bottom"/>
          </w:tcPr>
          <w:p>
            <w:pPr>
              <w:spacing w:after="0"/>
              <w:rPr>
                <w:sz w:val="22"/>
                <w:szCs w:val="22"/>
                <w:color w:val="auto"/>
              </w:rPr>
            </w:pPr>
          </w:p>
        </w:tc>
      </w:tr>
      <w:tr>
        <w:trPr>
          <w:trHeight w:val="61"/>
        </w:trPr>
        <w:tc>
          <w:tcPr>
            <w:tcW w:w="1300" w:type="dxa"/>
            <w:vAlign w:val="bottom"/>
          </w:tcPr>
          <w:p>
            <w:pPr>
              <w:spacing w:after="0"/>
              <w:rPr>
                <w:sz w:val="5"/>
                <w:szCs w:val="5"/>
                <w:color w:val="auto"/>
              </w:rPr>
            </w:pPr>
          </w:p>
        </w:tc>
        <w:tc>
          <w:tcPr>
            <w:tcW w:w="3640" w:type="dxa"/>
            <w:vAlign w:val="bottom"/>
            <w:tcBorders>
              <w:top w:val="single" w:sz="8" w:color="CCEEFF"/>
            </w:tcBorders>
            <w:shd w:val="clear" w:color="auto" w:fill="CCEEFF"/>
          </w:tcPr>
          <w:p>
            <w:pPr>
              <w:spacing w:after="0"/>
              <w:rPr>
                <w:sz w:val="5"/>
                <w:szCs w:val="5"/>
                <w:color w:val="auto"/>
              </w:rPr>
            </w:pPr>
          </w:p>
        </w:tc>
        <w:tc>
          <w:tcPr>
            <w:tcW w:w="316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auto"/>
            </w:tcBorders>
            <w:shd w:val="clear" w:color="auto" w:fill="CCEEFF"/>
          </w:tcPr>
          <w:p>
            <w:pPr>
              <w:spacing w:after="0"/>
              <w:rPr>
                <w:sz w:val="5"/>
                <w:szCs w:val="5"/>
                <w:color w:val="auto"/>
              </w:rPr>
            </w:pPr>
          </w:p>
        </w:tc>
        <w:tc>
          <w:tcPr>
            <w:tcW w:w="1300" w:type="dxa"/>
            <w:vAlign w:val="bottom"/>
          </w:tcPr>
          <w:p>
            <w:pPr>
              <w:spacing w:after="0"/>
              <w:rPr>
                <w:sz w:val="5"/>
                <w:szCs w:val="5"/>
                <w:color w:val="auto"/>
              </w:rPr>
            </w:pPr>
          </w:p>
        </w:tc>
      </w:tr>
      <w:tr>
        <w:trPr>
          <w:trHeight w:val="270"/>
        </w:trPr>
        <w:tc>
          <w:tcPr>
            <w:tcW w:w="1300" w:type="dxa"/>
            <w:vAlign w:val="bottom"/>
          </w:tcPr>
          <w:p>
            <w:pPr>
              <w:spacing w:after="0"/>
              <w:rPr>
                <w:sz w:val="23"/>
                <w:szCs w:val="23"/>
                <w:color w:val="auto"/>
              </w:rPr>
            </w:pPr>
          </w:p>
        </w:tc>
        <w:tc>
          <w:tcPr>
            <w:tcW w:w="3640" w:type="dxa"/>
            <w:vAlign w:val="bottom"/>
          </w:tcPr>
          <w:p>
            <w:pPr>
              <w:ind w:left="180"/>
              <w:spacing w:after="0"/>
              <w:rPr>
                <w:sz w:val="20"/>
                <w:szCs w:val="20"/>
                <w:color w:val="auto"/>
              </w:rPr>
            </w:pPr>
            <w:r>
              <w:rPr>
                <w:rFonts w:ascii="Arial" w:cs="Arial" w:eastAsia="Arial" w:hAnsi="Arial"/>
                <w:sz w:val="18"/>
                <w:szCs w:val="18"/>
                <w:color w:val="auto"/>
              </w:rPr>
              <w:t>Total stock-based compensation cost</w:t>
            </w:r>
          </w:p>
        </w:tc>
        <w:tc>
          <w:tcPr>
            <w:tcW w:w="4140" w:type="dxa"/>
            <w:vAlign w:val="bottom"/>
            <w:gridSpan w:val="2"/>
          </w:tcPr>
          <w:p>
            <w:pPr>
              <w:spacing w:after="0"/>
              <w:rPr>
                <w:sz w:val="23"/>
                <w:szCs w:val="2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8"/>
              </w:rPr>
              <w:t>$ 30,423</w:t>
            </w:r>
          </w:p>
        </w:tc>
        <w:tc>
          <w:tcPr>
            <w:tcW w:w="1300" w:type="dxa"/>
            <w:vAlign w:val="bottom"/>
          </w:tcPr>
          <w:p>
            <w:pPr>
              <w:spacing w:after="0"/>
              <w:rPr>
                <w:sz w:val="23"/>
                <w:szCs w:val="23"/>
                <w:color w:val="auto"/>
              </w:rPr>
            </w:pPr>
          </w:p>
        </w:tc>
      </w:tr>
      <w:tr>
        <w:trPr>
          <w:trHeight w:val="20"/>
        </w:trPr>
        <w:tc>
          <w:tcPr>
            <w:tcW w:w="13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14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39"/>
        </w:trPr>
        <w:tc>
          <w:tcPr>
            <w:tcW w:w="13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080" w:type="dxa"/>
            <w:vAlign w:val="bottom"/>
            <w:gridSpan w:val="5"/>
          </w:tcPr>
          <w:p>
            <w:pPr>
              <w:ind w:left="400"/>
              <w:spacing w:after="0"/>
              <w:rPr>
                <w:sz w:val="20"/>
                <w:szCs w:val="20"/>
                <w:color w:val="auto"/>
              </w:rPr>
            </w:pPr>
            <w:r>
              <w:rPr>
                <w:rFonts w:ascii="Arial" w:cs="Arial" w:eastAsia="Arial" w:hAnsi="Arial"/>
                <w:sz w:val="18"/>
                <w:szCs w:val="18"/>
                <w:color w:val="auto"/>
              </w:rPr>
              <w:t>F-31</w:t>
            </w:r>
          </w:p>
        </w:tc>
      </w:tr>
      <w:tr>
        <w:trPr>
          <w:trHeight w:val="183"/>
        </w:trPr>
        <w:tc>
          <w:tcPr>
            <w:tcW w:w="1300" w:type="dxa"/>
            <w:vAlign w:val="bottom"/>
            <w:tcBorders>
              <w:bottom w:val="single" w:sz="8" w:color="auto"/>
            </w:tcBorders>
          </w:tcPr>
          <w:p>
            <w:pPr>
              <w:spacing w:after="0"/>
              <w:rPr>
                <w:sz w:val="15"/>
                <w:szCs w:val="15"/>
                <w:color w:val="auto"/>
              </w:rPr>
            </w:pPr>
          </w:p>
        </w:tc>
        <w:tc>
          <w:tcPr>
            <w:tcW w:w="3640" w:type="dxa"/>
            <w:vAlign w:val="bottom"/>
            <w:tcBorders>
              <w:bottom w:val="single" w:sz="8" w:color="auto"/>
            </w:tcBorders>
          </w:tcPr>
          <w:p>
            <w:pPr>
              <w:spacing w:after="0"/>
              <w:rPr>
                <w:sz w:val="15"/>
                <w:szCs w:val="15"/>
                <w:color w:val="auto"/>
              </w:rPr>
            </w:pPr>
          </w:p>
        </w:tc>
        <w:tc>
          <w:tcPr>
            <w:tcW w:w="3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4900930</wp:posOffset>
            </wp:positionH>
            <wp:positionV relativeFrom="paragraph">
              <wp:posOffset>-1687830</wp:posOffset>
            </wp:positionV>
            <wp:extent cx="24003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40030" cy="8255"/>
                    </a:xfrm>
                    <a:prstGeom prst="rect">
                      <a:avLst/>
                    </a:prstGeom>
                    <a:noFill/>
                  </pic:spPr>
                </pic:pic>
              </a:graphicData>
            </a:graphic>
          </wp:anchor>
        </w:drawing>
      </w:r>
    </w:p>
    <w:p>
      <w:pPr>
        <w:sectPr>
          <w:pgSz w:w="11900" w:h="16838" w:orient="portrait"/>
          <w:cols w:equalWidth="0" w:num="1">
            <w:col w:w="11020"/>
          </w:cols>
          <w:pgMar w:left="440" w:top="265" w:right="439" w:bottom="1440" w:gutter="0" w:footer="0" w:header="0"/>
        </w:sectPr>
      </w:pPr>
    </w:p>
    <w:bookmarkStart w:id="162" w:name="page163"/>
    <w:bookmarkEnd w:id="162"/>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ind w:left="300" w:right="2159" w:firstLine="1854"/>
        <w:spacing w:after="0" w:line="260" w:lineRule="auto"/>
        <w:rPr>
          <w:sz w:val="20"/>
          <w:szCs w:val="20"/>
          <w:color w:val="auto"/>
        </w:rPr>
      </w:pPr>
      <w:r>
        <w:rPr>
          <w:rFonts w:ascii="Arial" w:cs="Arial" w:eastAsia="Arial" w:hAnsi="Arial"/>
          <w:sz w:val="18"/>
          <w:szCs w:val="18"/>
          <w:b w:val="1"/>
          <w:bCs w:val="1"/>
          <w:color w:val="auto"/>
        </w:rPr>
        <w:t>NOTES TO CONSOLIDATED FINANCIAL STATEMENTS 13. Earnings Per Share</w:t>
      </w:r>
    </w:p>
    <w:p>
      <w:pPr>
        <w:spacing w:after="0" w:line="77"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WM Technology, Inc. by the weighted-average number of shares of Class A Common Stock outstanding during the period. Diluted income (loss) per share of Class A Common Stock adjusts basic net income (loss) per share of Class A Common Stock for the potentially dilutive impact of securities. For warrants that are liability-classified, during periods when the impact is dilutive, the Company assumes share settlement of the instruments as of the beginning of the reporting period and adjusts the numerator to remove the change in fair value of the warrant liability, net of the portion attributable to non-controlling interests, and adjusts the denominator to include the dilutive shares calculated using the treasury stock method.</w:t>
      </w:r>
    </w:p>
    <w:p>
      <w:pPr>
        <w:spacing w:after="0" w:line="70" w:lineRule="exact"/>
        <w:rPr>
          <w:sz w:val="20"/>
          <w:szCs w:val="20"/>
          <w:color w:val="auto"/>
        </w:rPr>
      </w:pPr>
    </w:p>
    <w:p>
      <w:pPr>
        <w:jc w:val="both"/>
        <w:ind w:left="300" w:right="299" w:firstLine="360"/>
        <w:spacing w:after="0" w:line="293" w:lineRule="auto"/>
        <w:rPr>
          <w:sz w:val="20"/>
          <w:szCs w:val="20"/>
          <w:color w:val="auto"/>
        </w:rPr>
      </w:pPr>
      <w:r>
        <w:rPr>
          <w:rFonts w:ascii="Arial" w:cs="Arial" w:eastAsia="Arial" w:hAnsi="Arial"/>
          <w:sz w:val="16"/>
          <w:szCs w:val="16"/>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consolidated financial statements. Therefore, net earnings per share information has not been presented for periods prior to the Business Combination on June 16, 2021. The basic and diluted income (loss) per share for the year ended December 31, 2021 represent the period from June 16, 2021 (Closing Date) to December 31, 2021.</w:t>
      </w:r>
    </w:p>
    <w:p>
      <w:pPr>
        <w:spacing w:after="0" w:line="56" w:lineRule="exact"/>
        <w:rPr>
          <w:sz w:val="20"/>
          <w:szCs w:val="20"/>
          <w:color w:val="auto"/>
        </w:rPr>
      </w:pPr>
    </w:p>
    <w:p>
      <w:pPr>
        <w:jc w:val="both"/>
        <w:ind w:left="300" w:right="299" w:firstLine="360"/>
        <w:spacing w:after="0" w:line="286" w:lineRule="auto"/>
        <w:rPr>
          <w:sz w:val="20"/>
          <w:szCs w:val="20"/>
          <w:color w:val="auto"/>
        </w:rPr>
      </w:pPr>
      <w:r>
        <w:rPr>
          <w:rFonts w:ascii="Arial" w:cs="Arial" w:eastAsia="Arial" w:hAnsi="Arial"/>
          <w:sz w:val="17"/>
          <w:szCs w:val="17"/>
          <w:color w:val="auto"/>
        </w:rPr>
        <w:t>The computation of income (loss) per share attributable to WM Technology, Inc. and weighted-average shares of the Company’s Class A Common Stock outstanding are as follows for the period from June 16, 2021 (Closing Date) to December 31, 2021 (amounts in thousands, except for share and per share amounts):</w:t>
      </w:r>
    </w:p>
    <w:p>
      <w:pPr>
        <w:spacing w:after="0" w:line="11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4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Year Ended December</w:t>
            </w:r>
          </w:p>
        </w:tc>
      </w:tr>
      <w:tr>
        <w:trPr>
          <w:trHeight w:val="186"/>
        </w:trPr>
        <w:tc>
          <w:tcPr>
            <w:tcW w:w="6960" w:type="dxa"/>
            <w:vAlign w:val="bottom"/>
          </w:tcPr>
          <w:p>
            <w:pPr>
              <w:spacing w:after="0"/>
              <w:rPr>
                <w:sz w:val="16"/>
                <w:szCs w:val="16"/>
                <w:color w:val="auto"/>
              </w:rPr>
            </w:pPr>
          </w:p>
        </w:tc>
        <w:tc>
          <w:tcPr>
            <w:tcW w:w="10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31, 2021</w:t>
            </w:r>
          </w:p>
        </w:tc>
        <w:tc>
          <w:tcPr>
            <w:tcW w:w="440" w:type="dxa"/>
            <w:vAlign w:val="bottom"/>
          </w:tcPr>
          <w:p>
            <w:pPr>
              <w:spacing w:after="0"/>
              <w:rPr>
                <w:sz w:val="16"/>
                <w:szCs w:val="16"/>
                <w:color w:val="auto"/>
              </w:rPr>
            </w:pPr>
          </w:p>
        </w:tc>
      </w:tr>
      <w:tr>
        <w:trPr>
          <w:trHeight w:val="53"/>
        </w:trPr>
        <w:tc>
          <w:tcPr>
            <w:tcW w:w="696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r>
      <w:tr>
        <w:trPr>
          <w:trHeight w:val="311"/>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Net income</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$ 152,218</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income attributable to WMH LLC prior to the Business Combination</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15,078</w:t>
            </w:r>
          </w:p>
        </w:tc>
      </w:tr>
      <w:tr>
        <w:trPr>
          <w:trHeight w:val="256"/>
        </w:trPr>
        <w:tc>
          <w:tcPr>
            <w:tcW w:w="6960" w:type="dxa"/>
            <w:vAlign w:val="bottom"/>
          </w:tcPr>
          <w:p>
            <w:pPr>
              <w:spacing w:after="0"/>
              <w:rPr>
                <w:sz w:val="20"/>
                <w:szCs w:val="20"/>
                <w:color w:val="auto"/>
              </w:rPr>
            </w:pPr>
            <w:r>
              <w:rPr>
                <w:rFonts w:ascii="Arial" w:cs="Arial" w:eastAsia="Arial" w:hAnsi="Arial"/>
                <w:sz w:val="18"/>
                <w:szCs w:val="18"/>
                <w:color w:val="auto"/>
                <w:w w:val="99"/>
              </w:rPr>
              <w:t>Less: net income attributable to noncontrolling interests after the Business Combination</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76,757</w:t>
            </w:r>
          </w:p>
        </w:tc>
      </w:tr>
      <w:tr>
        <w:trPr>
          <w:trHeight w:val="61"/>
        </w:trPr>
        <w:tc>
          <w:tcPr>
            <w:tcW w:w="69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r>
      <w:tr>
        <w:trPr>
          <w:trHeight w:val="318"/>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WM Technology, Inc. - basic</w:t>
            </w:r>
          </w:p>
        </w:tc>
        <w:tc>
          <w:tcPr>
            <w:tcW w:w="14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60,383</w:t>
            </w: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5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Less: fair value change of Public and Private Placement Warrants, net of amounts</w:t>
            </w:r>
          </w:p>
        </w:tc>
        <w:tc>
          <w:tcPr>
            <w:tcW w:w="5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r>
      <w:tr>
        <w:trPr>
          <w:trHeight w:val="217"/>
        </w:trPr>
        <w:tc>
          <w:tcPr>
            <w:tcW w:w="6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attributable to noncontrolling interests</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72,483</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Net loss attributable to WM Technology, Inc.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(12,100)</w:t>
            </w:r>
          </w:p>
        </w:tc>
      </w:tr>
      <w:tr>
        <w:trPr>
          <w:trHeight w:val="21"/>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4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color w:val="auto"/>
              </w:rPr>
              <w:t>Weighted average Class A Common Stock outstanding - basic</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65,013,517</w:t>
            </w: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04"/>
        </w:trPr>
        <w:tc>
          <w:tcPr>
            <w:tcW w:w="6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effect of dilutive securities:</w:t>
            </w:r>
          </w:p>
        </w:tc>
        <w:tc>
          <w:tcPr>
            <w:tcW w:w="5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r>
      <w:tr>
        <w:trPr>
          <w:trHeight w:val="365"/>
        </w:trPr>
        <w:tc>
          <w:tcPr>
            <w:tcW w:w="6960" w:type="dxa"/>
            <w:vAlign w:val="bottom"/>
          </w:tcPr>
          <w:p>
            <w:pPr>
              <w:spacing w:after="0"/>
              <w:rPr>
                <w:sz w:val="20"/>
                <w:szCs w:val="20"/>
                <w:color w:val="auto"/>
              </w:rPr>
            </w:pPr>
            <w:r>
              <w:rPr>
                <w:rFonts w:ascii="Arial" w:cs="Arial" w:eastAsia="Arial" w:hAnsi="Arial"/>
                <w:sz w:val="18"/>
                <w:szCs w:val="18"/>
                <w:color w:val="auto"/>
              </w:rPr>
              <w:t>Public Warrants</w:t>
            </w:r>
            <w:r>
              <w:rPr>
                <w:rFonts w:ascii="Arial" w:cs="Arial" w:eastAsia="Arial" w:hAnsi="Arial"/>
                <w:sz w:val="29"/>
                <w:szCs w:val="29"/>
                <w:color w:val="auto"/>
                <w:vertAlign w:val="superscript"/>
              </w:rPr>
              <w:t>1</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1,153,782</w:t>
            </w:r>
          </w:p>
        </w:tc>
      </w:tr>
      <w:tr>
        <w:trPr>
          <w:trHeight w:val="297"/>
        </w:trPr>
        <w:tc>
          <w:tcPr>
            <w:tcW w:w="6960" w:type="dxa"/>
            <w:vAlign w:val="bottom"/>
            <w:shd w:val="clear" w:color="auto" w:fill="CCEEFF"/>
          </w:tcPr>
          <w:p>
            <w:pPr>
              <w:spacing w:after="0" w:line="296" w:lineRule="exact"/>
              <w:rPr>
                <w:sz w:val="20"/>
                <w:szCs w:val="20"/>
                <w:color w:val="auto"/>
              </w:rPr>
            </w:pPr>
            <w:r>
              <w:rPr>
                <w:rFonts w:ascii="Arial" w:cs="Arial" w:eastAsia="Arial" w:hAnsi="Arial"/>
                <w:sz w:val="18"/>
                <w:szCs w:val="18"/>
                <w:color w:val="auto"/>
              </w:rPr>
              <w:t>Private Placement Warrants</w:t>
            </w:r>
            <w:r>
              <w:rPr>
                <w:rFonts w:ascii="Arial" w:cs="Arial" w:eastAsia="Arial" w:hAnsi="Arial"/>
                <w:sz w:val="29"/>
                <w:szCs w:val="29"/>
                <w:color w:val="auto"/>
                <w:vertAlign w:val="superscript"/>
              </w:rPr>
              <w:t>1</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646,118</w:t>
            </w:r>
          </w:p>
        </w:tc>
      </w:tr>
      <w:tr>
        <w:trPr>
          <w:trHeight w:val="61"/>
        </w:trPr>
        <w:tc>
          <w:tcPr>
            <w:tcW w:w="696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60" w:type="dxa"/>
            <w:vAlign w:val="bottom"/>
            <w:tcBorders>
              <w:top w:val="single" w:sz="8" w:color="auto"/>
            </w:tcBorders>
            <w:shd w:val="clear" w:color="auto" w:fill="CCEEFF"/>
          </w:tcPr>
          <w:p>
            <w:pPr>
              <w:spacing w:after="0"/>
              <w:rPr>
                <w:sz w:val="5"/>
                <w:szCs w:val="5"/>
                <w:color w:val="auto"/>
              </w:rPr>
            </w:pPr>
          </w:p>
        </w:tc>
        <w:tc>
          <w:tcPr>
            <w:tcW w:w="140" w:type="dxa"/>
            <w:vAlign w:val="bottom"/>
            <w:tcBorders>
              <w:top w:val="single" w:sz="8" w:color="auto"/>
            </w:tcBorders>
            <w:shd w:val="clear" w:color="auto" w:fill="CCEEFF"/>
          </w:tcPr>
          <w:p>
            <w:pPr>
              <w:spacing w:after="0"/>
              <w:rPr>
                <w:sz w:val="5"/>
                <w:szCs w:val="5"/>
                <w:color w:val="auto"/>
              </w:rPr>
            </w:pPr>
          </w:p>
        </w:tc>
        <w:tc>
          <w:tcPr>
            <w:tcW w:w="440" w:type="dxa"/>
            <w:vAlign w:val="bottom"/>
            <w:tcBorders>
              <w:top w:val="single" w:sz="8" w:color="auto"/>
            </w:tcBorders>
            <w:shd w:val="clear" w:color="auto" w:fill="CCEEFF"/>
          </w:tcPr>
          <w:p>
            <w:pPr>
              <w:spacing w:after="0"/>
              <w:rPr>
                <w:sz w:val="5"/>
                <w:szCs w:val="5"/>
                <w:color w:val="auto"/>
              </w:rPr>
            </w:pPr>
          </w:p>
        </w:tc>
      </w:tr>
      <w:tr>
        <w:trPr>
          <w:trHeight w:val="270"/>
        </w:trPr>
        <w:tc>
          <w:tcPr>
            <w:tcW w:w="6960" w:type="dxa"/>
            <w:vAlign w:val="bottom"/>
          </w:tcPr>
          <w:p>
            <w:pPr>
              <w:ind w:left="180"/>
              <w:spacing w:after="0"/>
              <w:rPr>
                <w:sz w:val="20"/>
                <w:szCs w:val="20"/>
                <w:color w:val="auto"/>
              </w:rPr>
            </w:pPr>
            <w:r>
              <w:rPr>
                <w:rFonts w:ascii="Arial" w:cs="Arial" w:eastAsia="Arial" w:hAnsi="Arial"/>
                <w:sz w:val="18"/>
                <w:szCs w:val="18"/>
                <w:color w:val="auto"/>
              </w:rPr>
              <w:t>Weighted average Class A Common Stock outstanding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66,813,417</w:t>
            </w:r>
          </w:p>
        </w:tc>
      </w:tr>
      <w:tr>
        <w:trPr>
          <w:trHeight w:val="20"/>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r>
        <w:trPr>
          <w:trHeight w:val="48"/>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365"/>
        </w:trPr>
        <w:tc>
          <w:tcPr>
            <w:tcW w:w="69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r>
      <w:tr>
        <w:trPr>
          <w:trHeight w:val="270"/>
        </w:trPr>
        <w:tc>
          <w:tcPr>
            <w:tcW w:w="6960" w:type="dxa"/>
            <w:vAlign w:val="bottom"/>
          </w:tcPr>
          <w:p>
            <w:pPr>
              <w:spacing w:after="0"/>
              <w:rPr>
                <w:sz w:val="20"/>
                <w:szCs w:val="20"/>
                <w:color w:val="auto"/>
              </w:rPr>
            </w:pPr>
            <w:r>
              <w:rPr>
                <w:rFonts w:ascii="Arial" w:cs="Arial" w:eastAsia="Arial" w:hAnsi="Arial"/>
                <w:sz w:val="18"/>
                <w:szCs w:val="18"/>
                <w:b w:val="1"/>
                <w:bCs w:val="1"/>
                <w:color w:val="auto"/>
              </w:rPr>
              <w:t>Net income (loss) per share of Class A Common Stock:</w:t>
            </w: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40" w:type="dxa"/>
            <w:vAlign w:val="bottom"/>
          </w:tcPr>
          <w:p>
            <w:pPr>
              <w:spacing w:after="0"/>
              <w:rPr>
                <w:sz w:val="23"/>
                <w:szCs w:val="23"/>
                <w:color w:val="auto"/>
              </w:rPr>
            </w:pPr>
          </w:p>
        </w:tc>
      </w:tr>
      <w:tr>
        <w:trPr>
          <w:trHeight w:val="54"/>
        </w:trPr>
        <w:tc>
          <w:tcPr>
            <w:tcW w:w="6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tcPr>
          <w:p>
            <w:pPr>
              <w:spacing w:after="0"/>
              <w:rPr>
                <w:sz w:val="4"/>
                <w:szCs w:val="4"/>
                <w:color w:val="auto"/>
              </w:rPr>
            </w:pPr>
          </w:p>
        </w:tc>
      </w:tr>
      <w:tr>
        <w:trPr>
          <w:trHeight w:val="297"/>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of Class A Common Stock - basic</w:t>
            </w:r>
          </w:p>
        </w:tc>
        <w:tc>
          <w:tcPr>
            <w:tcW w:w="14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$ 0.93</w:t>
            </w:r>
          </w:p>
        </w:tc>
      </w:tr>
      <w:tr>
        <w:trPr>
          <w:trHeight w:val="48"/>
        </w:trPr>
        <w:tc>
          <w:tcPr>
            <w:tcW w:w="696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auto"/>
            </w:tcBorders>
            <w:shd w:val="clear" w:color="auto" w:fill="CCEEFF"/>
          </w:tcPr>
          <w:p>
            <w:pPr>
              <w:spacing w:after="0"/>
              <w:rPr>
                <w:sz w:val="4"/>
                <w:szCs w:val="4"/>
                <w:color w:val="auto"/>
              </w:rPr>
            </w:pPr>
          </w:p>
        </w:tc>
      </w:tr>
      <w:tr>
        <w:trPr>
          <w:trHeight w:val="297"/>
        </w:trPr>
        <w:tc>
          <w:tcPr>
            <w:tcW w:w="6960" w:type="dxa"/>
            <w:vAlign w:val="bottom"/>
          </w:tcPr>
          <w:p>
            <w:pPr>
              <w:spacing w:after="0"/>
              <w:rPr>
                <w:sz w:val="20"/>
                <w:szCs w:val="20"/>
                <w:color w:val="auto"/>
              </w:rPr>
            </w:pPr>
            <w:r>
              <w:rPr>
                <w:rFonts w:ascii="Arial" w:cs="Arial" w:eastAsia="Arial" w:hAnsi="Arial"/>
                <w:sz w:val="18"/>
                <w:szCs w:val="18"/>
                <w:color w:val="auto"/>
              </w:rPr>
              <w:t>Net loss per share of Class A Common Stock - diluted</w:t>
            </w:r>
          </w:p>
        </w:tc>
        <w:tc>
          <w:tcPr>
            <w:tcW w:w="1460" w:type="dxa"/>
            <w:vAlign w:val="bottom"/>
            <w:gridSpan w:val="5"/>
          </w:tcPr>
          <w:p>
            <w:pPr>
              <w:jc w:val="right"/>
              <w:spacing w:after="0"/>
              <w:rPr>
                <w:sz w:val="20"/>
                <w:szCs w:val="20"/>
                <w:color w:val="auto"/>
              </w:rPr>
            </w:pPr>
            <w:r>
              <w:rPr>
                <w:rFonts w:ascii="Arial" w:cs="Arial" w:eastAsia="Arial" w:hAnsi="Arial"/>
                <w:sz w:val="18"/>
                <w:szCs w:val="18"/>
                <w:color w:val="auto"/>
              </w:rPr>
              <w:t>$ (0.18)</w:t>
            </w:r>
          </w:p>
        </w:tc>
      </w:tr>
      <w:tr>
        <w:trPr>
          <w:trHeight w:val="21"/>
        </w:trPr>
        <w:tc>
          <w:tcPr>
            <w:tcW w:w="6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4454525</wp:posOffset>
            </wp:positionH>
            <wp:positionV relativeFrom="paragraph">
              <wp:posOffset>-4105275</wp:posOffset>
            </wp:positionV>
            <wp:extent cx="15430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163195</wp:posOffset>
            </wp:positionV>
            <wp:extent cx="8229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85" w:lineRule="exact"/>
        <w:rPr>
          <w:sz w:val="20"/>
          <w:szCs w:val="20"/>
          <w:color w:val="auto"/>
        </w:rPr>
      </w:pPr>
    </w:p>
    <w:p>
      <w:pPr>
        <w:ind w:left="640" w:hanging="348"/>
        <w:spacing w:after="0"/>
        <w:tabs>
          <w:tab w:leader="none" w:pos="640" w:val="left"/>
        </w:tabs>
        <w:numPr>
          <w:ilvl w:val="0"/>
          <w:numId w:val="97"/>
        </w:numPr>
        <w:rPr>
          <w:rFonts w:ascii="Arial" w:cs="Arial" w:eastAsia="Arial" w:hAnsi="Arial"/>
          <w:sz w:val="14"/>
          <w:szCs w:val="14"/>
          <w:color w:val="auto"/>
        </w:rPr>
      </w:pPr>
      <w:r>
        <w:rPr>
          <w:rFonts w:ascii="Arial" w:cs="Arial" w:eastAsia="Arial" w:hAnsi="Arial"/>
          <w:sz w:val="14"/>
          <w:szCs w:val="14"/>
          <w:color w:val="auto"/>
        </w:rPr>
        <w:t>Calculated using the treasury stock method.</w:t>
      </w:r>
    </w:p>
    <w:p>
      <w:pPr>
        <w:spacing w:after="0" w:line="100"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3" w:name="page164"/>
    <w:bookmarkEnd w:id="163"/>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The Company excluded the following securities from its computation of diluted shares outstanding, as their effect would have been anti-dilutive:</w:t>
      </w:r>
    </w:p>
    <w:p>
      <w:pPr>
        <w:spacing w:after="0" w:line="1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620" w:type="dxa"/>
            <w:vAlign w:val="bottom"/>
          </w:tcPr>
          <w:p>
            <w:pPr>
              <w:spacing w:after="0"/>
              <w:rPr>
                <w:sz w:val="20"/>
                <w:szCs w:val="20"/>
                <w:color w:val="auto"/>
              </w:rPr>
            </w:pPr>
            <w:r>
              <w:rPr>
                <w:rFonts w:ascii="Arial" w:cs="Arial" w:eastAsia="Arial" w:hAnsi="Arial"/>
                <w:sz w:val="14"/>
                <w:szCs w:val="14"/>
                <w:b w:val="1"/>
                <w:bCs w:val="1"/>
                <w:color w:val="auto"/>
                <w:w w:val="93"/>
              </w:rPr>
              <w:t>Year Ended December 31,</w:t>
            </w:r>
          </w:p>
        </w:tc>
      </w:tr>
      <w:tr>
        <w:trPr>
          <w:trHeight w:val="186"/>
        </w:trPr>
        <w:tc>
          <w:tcPr>
            <w:tcW w:w="6800" w:type="dxa"/>
            <w:vAlign w:val="bottom"/>
          </w:tcPr>
          <w:p>
            <w:pPr>
              <w:spacing w:after="0"/>
              <w:rPr>
                <w:sz w:val="16"/>
                <w:szCs w:val="16"/>
                <w:color w:val="auto"/>
              </w:rPr>
            </w:pPr>
          </w:p>
        </w:tc>
        <w:tc>
          <w:tcPr>
            <w:tcW w:w="1620" w:type="dxa"/>
            <w:vAlign w:val="bottom"/>
          </w:tcPr>
          <w:p>
            <w:pPr>
              <w:ind w:left="660"/>
              <w:spacing w:after="0"/>
              <w:rPr>
                <w:sz w:val="20"/>
                <w:szCs w:val="20"/>
                <w:color w:val="auto"/>
              </w:rPr>
            </w:pPr>
            <w:r>
              <w:rPr>
                <w:rFonts w:ascii="Arial" w:cs="Arial" w:eastAsia="Arial" w:hAnsi="Arial"/>
                <w:sz w:val="14"/>
                <w:szCs w:val="14"/>
                <w:b w:val="1"/>
                <w:bCs w:val="1"/>
                <w:color w:val="auto"/>
              </w:rPr>
              <w:t>2021</w:t>
            </w:r>
          </w:p>
        </w:tc>
      </w:tr>
      <w:tr>
        <w:trPr>
          <w:trHeight w:val="53"/>
        </w:trPr>
        <w:tc>
          <w:tcPr>
            <w:tcW w:w="6800" w:type="dxa"/>
            <w:vAlign w:val="bottom"/>
            <w:tcBorders>
              <w:bottom w:val="single" w:sz="8" w:color="CCEEFF"/>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r>
      <w:tr>
        <w:trPr>
          <w:trHeight w:val="311"/>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65,502,347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Class P Units</w:t>
            </w:r>
          </w:p>
        </w:tc>
        <w:tc>
          <w:tcPr>
            <w:tcW w:w="1620" w:type="dxa"/>
            <w:vAlign w:val="bottom"/>
          </w:tcPr>
          <w:p>
            <w:pPr>
              <w:ind w:left="500"/>
              <w:spacing w:after="0"/>
              <w:rPr>
                <w:sz w:val="20"/>
                <w:szCs w:val="20"/>
                <w:color w:val="auto"/>
              </w:rPr>
            </w:pPr>
            <w:r>
              <w:rPr>
                <w:rFonts w:ascii="Arial" w:cs="Arial" w:eastAsia="Arial" w:hAnsi="Arial"/>
                <w:sz w:val="18"/>
                <w:szCs w:val="18"/>
                <w:color w:val="auto"/>
              </w:rPr>
              <w:t>25,660,529</w:t>
            </w:r>
          </w:p>
        </w:tc>
      </w:tr>
      <w:tr>
        <w:trPr>
          <w:trHeight w:val="54"/>
        </w:trPr>
        <w:tc>
          <w:tcPr>
            <w:tcW w:w="6800" w:type="dxa"/>
            <w:vAlign w:val="bottom"/>
          </w:tcPr>
          <w:p>
            <w:pPr>
              <w:spacing w:after="0"/>
              <w:rPr>
                <w:sz w:val="4"/>
                <w:szCs w:val="4"/>
                <w:color w:val="auto"/>
              </w:rPr>
            </w:pPr>
          </w:p>
        </w:tc>
        <w:tc>
          <w:tcPr>
            <w:tcW w:w="1620" w:type="dxa"/>
            <w:vAlign w:val="bottom"/>
          </w:tcPr>
          <w:p>
            <w:pPr>
              <w:spacing w:after="0"/>
              <w:rPr>
                <w:sz w:val="4"/>
                <w:szCs w:val="4"/>
                <w:color w:val="auto"/>
              </w:rPr>
            </w:pPr>
          </w:p>
        </w:tc>
      </w:tr>
      <w:tr>
        <w:trPr>
          <w:trHeight w:val="304"/>
        </w:trPr>
        <w:tc>
          <w:tcPr>
            <w:tcW w:w="6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RSUs</w:t>
            </w:r>
          </w:p>
        </w:tc>
        <w:tc>
          <w:tcPr>
            <w:tcW w:w="1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6,398,707</w:t>
            </w:r>
          </w:p>
        </w:tc>
      </w:tr>
      <w:tr>
        <w:trPr>
          <w:trHeight w:val="270"/>
        </w:trPr>
        <w:tc>
          <w:tcPr>
            <w:tcW w:w="6800" w:type="dxa"/>
            <w:vAlign w:val="bottom"/>
          </w:tcPr>
          <w:p>
            <w:pPr>
              <w:spacing w:after="0"/>
              <w:rPr>
                <w:sz w:val="20"/>
                <w:szCs w:val="20"/>
                <w:color w:val="auto"/>
              </w:rPr>
            </w:pPr>
            <w:r>
              <w:rPr>
                <w:rFonts w:ascii="Arial" w:cs="Arial" w:eastAsia="Arial" w:hAnsi="Arial"/>
                <w:sz w:val="18"/>
                <w:szCs w:val="18"/>
                <w:color w:val="auto"/>
              </w:rPr>
              <w:t>PSUs</w:t>
            </w:r>
          </w:p>
        </w:tc>
        <w:tc>
          <w:tcPr>
            <w:tcW w:w="1620" w:type="dxa"/>
            <w:vAlign w:val="bottom"/>
          </w:tcPr>
          <w:p>
            <w:pPr>
              <w:ind w:left="480"/>
              <w:spacing w:after="0"/>
              <w:rPr>
                <w:sz w:val="20"/>
                <w:szCs w:val="20"/>
                <w:color w:val="auto"/>
              </w:rPr>
            </w:pPr>
            <w:r>
              <w:rPr>
                <w:rFonts w:ascii="Arial" w:cs="Arial" w:eastAsia="Arial" w:hAnsi="Arial"/>
                <w:sz w:val="18"/>
                <w:szCs w:val="18"/>
                <w:color w:val="auto"/>
              </w:rPr>
              <w:t>2,437,500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-805180</wp:posOffset>
            </wp:positionV>
            <wp:extent cx="342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14.  Income Taxes</w:t>
      </w:r>
    </w:p>
    <w:p>
      <w:pPr>
        <w:spacing w:after="0" w:line="121" w:lineRule="exact"/>
        <w:rPr>
          <w:sz w:val="20"/>
          <w:szCs w:val="20"/>
          <w:color w:val="auto"/>
        </w:rPr>
      </w:pPr>
    </w:p>
    <w:p>
      <w:pPr>
        <w:jc w:val="both"/>
        <w:ind w:left="300" w:right="299" w:firstLine="360"/>
        <w:spacing w:after="0" w:line="275" w:lineRule="auto"/>
        <w:rPr>
          <w:sz w:val="20"/>
          <w:szCs w:val="20"/>
          <w:color w:val="auto"/>
        </w:rPr>
      </w:pPr>
      <w:r>
        <w:rPr>
          <w:rFonts w:ascii="Arial" w:cs="Arial" w:eastAsia="Arial" w:hAnsi="Arial"/>
          <w:sz w:val="17"/>
          <w:szCs w:val="17"/>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prior to June 16, 2021, as this period was prior to the Business Combination.</w:t>
      </w:r>
    </w:p>
    <w:p>
      <w:pPr>
        <w:spacing w:after="0" w:line="68" w:lineRule="exact"/>
        <w:rPr>
          <w:sz w:val="20"/>
          <w:szCs w:val="20"/>
          <w:color w:val="auto"/>
        </w:rPr>
      </w:pPr>
    </w:p>
    <w:p>
      <w:pPr>
        <w:jc w:val="both"/>
        <w:ind w:left="300" w:right="299" w:firstLine="360"/>
        <w:spacing w:after="0" w:line="255" w:lineRule="auto"/>
        <w:rPr>
          <w:sz w:val="20"/>
          <w:szCs w:val="20"/>
          <w:color w:val="auto"/>
        </w:rPr>
      </w:pPr>
      <w:r>
        <w:rPr>
          <w:rFonts w:ascii="Arial" w:cs="Arial" w:eastAsia="Arial" w:hAnsi="Arial"/>
          <w:sz w:val="18"/>
          <w:szCs w:val="18"/>
          <w:color w:val="auto"/>
        </w:rPr>
        <w:t>Following the Business Combination, any taxable income or loss generated by WMH LLC is passed through to and included in the taxable income or loss of its members, including WM Technology, Inc., on a pro rata basis, with the remainder reflected in the line item Income Taxed to Owners of Noncontrolling Interests. WM Technology, Inc. is subject to U.S. federal income taxes, in addition to state and local income taxes with respect to its allocable share of any taxable income of WMH following the Business Combination. The Company is also subject to taxes in foreign jurisdictions.</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income (loss) before taxes are as follows (in thousands):</w:t>
      </w:r>
    </w:p>
    <w:p>
      <w:pPr>
        <w:spacing w:after="0" w:line="176"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80" w:type="dxa"/>
            <w:vAlign w:val="bottom"/>
            <w:gridSpan w:val="12"/>
          </w:tcPr>
          <w:p>
            <w:pPr>
              <w:jc w:val="right"/>
              <w:ind w:right="340"/>
              <w:spacing w:after="0"/>
              <w:rPr>
                <w:sz w:val="20"/>
                <w:szCs w:val="20"/>
                <w:color w:val="auto"/>
              </w:rPr>
            </w:pPr>
            <w:r>
              <w:rPr>
                <w:rFonts w:ascii="Arial" w:cs="Arial" w:eastAsia="Arial" w:hAnsi="Arial"/>
                <w:sz w:val="14"/>
                <w:szCs w:val="14"/>
                <w:b w:val="1"/>
                <w:bCs w:val="1"/>
                <w:color w:val="auto"/>
                <w:w w:val="90"/>
              </w:rPr>
              <w:t>Years Ended December 31,</w:t>
            </w:r>
          </w:p>
        </w:tc>
      </w:tr>
      <w:tr>
        <w:trPr>
          <w:trHeight w:val="53"/>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2"/>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$151,987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w w:val="86"/>
              </w:rPr>
              <w:t>$38,878</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$(4,152)</w:t>
            </w:r>
          </w:p>
        </w:tc>
      </w:tr>
      <w:tr>
        <w:trPr>
          <w:trHeight w:val="256"/>
        </w:trPr>
        <w:tc>
          <w:tcPr>
            <w:tcW w:w="4280" w:type="dxa"/>
            <w:vAlign w:val="bottom"/>
          </w:tcPr>
          <w:p>
            <w:pPr>
              <w:spacing w:after="0"/>
              <w:rPr>
                <w:sz w:val="20"/>
                <w:szCs w:val="20"/>
                <w:color w:val="auto"/>
              </w:rPr>
            </w:pPr>
            <w:r>
              <w:rPr>
                <w:rFonts w:ascii="Arial" w:cs="Arial" w:eastAsia="Arial" w:hAnsi="Arial"/>
                <w:sz w:val="18"/>
                <w:szCs w:val="18"/>
                <w:color w:val="auto"/>
              </w:rPr>
              <w:t>Foreign</w:t>
            </w:r>
          </w:p>
        </w:tc>
        <w:tc>
          <w:tcPr>
            <w:tcW w:w="2520" w:type="dxa"/>
            <w:vAlign w:val="bottom"/>
            <w:gridSpan w:val="3"/>
          </w:tcPr>
          <w:p>
            <w:pPr>
              <w:ind w:left="2140"/>
              <w:spacing w:after="0"/>
              <w:rPr>
                <w:sz w:val="20"/>
                <w:szCs w:val="20"/>
                <w:color w:val="auto"/>
              </w:rPr>
            </w:pPr>
            <w:r>
              <w:rPr>
                <w:rFonts w:ascii="Arial" w:cs="Arial" w:eastAsia="Arial" w:hAnsi="Arial"/>
                <w:sz w:val="18"/>
                <w:szCs w:val="18"/>
                <w:color w:val="auto"/>
                <w:w w:val="85"/>
              </w:rPr>
              <w:t>(370)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22"/>
                <w:szCs w:val="22"/>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5,098</w:t>
            </w:r>
          </w:p>
        </w:tc>
        <w:tc>
          <w:tcPr>
            <w:tcW w:w="80" w:type="dxa"/>
            <w:vAlign w:val="bottom"/>
          </w:tcPr>
          <w:p>
            <w:pPr>
              <w:spacing w:after="0"/>
              <w:rPr>
                <w:sz w:val="22"/>
                <w:szCs w:val="22"/>
                <w:color w:val="auto"/>
              </w:rPr>
            </w:pP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151,617</w:t>
            </w: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38,830</w:t>
            </w: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80" w:type="dxa"/>
            <w:vAlign w:val="bottom"/>
            <w:tcBorders>
              <w:bottom w:val="single" w:sz="8" w:color="CCEEFF"/>
            </w:tcBorders>
            <w:shd w:val="clear" w:color="auto" w:fill="CCEEFF"/>
          </w:tcPr>
          <w:p>
            <w:pPr>
              <w:spacing w:after="0"/>
              <w:rPr>
                <w:sz w:val="24"/>
                <w:szCs w:val="24"/>
                <w:color w:val="auto"/>
              </w:rPr>
            </w:pPr>
          </w:p>
        </w:tc>
      </w:tr>
      <w:tr>
        <w:trPr>
          <w:trHeight w:val="338"/>
        </w:trPr>
        <w:tc>
          <w:tcPr>
            <w:tcW w:w="7800" w:type="dxa"/>
            <w:vAlign w:val="bottom"/>
            <w:gridSpan w:val="12"/>
          </w:tcPr>
          <w:p>
            <w:pPr>
              <w:ind w:left="360"/>
              <w:spacing w:after="0"/>
              <w:rPr>
                <w:sz w:val="20"/>
                <w:szCs w:val="20"/>
                <w:color w:val="auto"/>
              </w:rPr>
            </w:pPr>
            <w:r>
              <w:rPr>
                <w:rFonts w:ascii="Arial" w:cs="Arial" w:eastAsia="Arial" w:hAnsi="Arial"/>
                <w:sz w:val="18"/>
                <w:szCs w:val="18"/>
                <w:color w:val="auto"/>
                <w:w w:val="99"/>
              </w:rPr>
              <w:t>The components of the provision for (benefit from) income taxes are as follows (in thousands):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9"/>
        </w:trPr>
        <w:tc>
          <w:tcPr>
            <w:tcW w:w="42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2"/>
          </w:tcPr>
          <w:p>
            <w:pPr>
              <w:jc w:val="center"/>
              <w:ind w:right="180"/>
              <w:spacing w:after="0"/>
              <w:rPr>
                <w:sz w:val="20"/>
                <w:szCs w:val="20"/>
                <w:color w:val="auto"/>
              </w:rPr>
            </w:pPr>
            <w:r>
              <w:rPr>
                <w:rFonts w:ascii="Arial" w:cs="Arial" w:eastAsia="Arial" w:hAnsi="Arial"/>
                <w:sz w:val="14"/>
                <w:szCs w:val="14"/>
                <w:b w:val="1"/>
                <w:bCs w:val="1"/>
                <w:color w:val="auto"/>
                <w:w w:val="91"/>
              </w:rPr>
              <w:t>Years Ended December 31,</w:t>
            </w:r>
          </w:p>
        </w:tc>
      </w:tr>
      <w:tr>
        <w:trPr>
          <w:trHeight w:val="53"/>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gridSpan w:val="2"/>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225"/>
        </w:trPr>
        <w:tc>
          <w:tcPr>
            <w:tcW w:w="4280" w:type="dxa"/>
            <w:vAlign w:val="bottom"/>
          </w:tcPr>
          <w:p>
            <w:pPr>
              <w:spacing w:after="0"/>
              <w:rPr>
                <w:sz w:val="19"/>
                <w:szCs w:val="19"/>
                <w:color w:val="auto"/>
              </w:rPr>
            </w:pPr>
          </w:p>
        </w:tc>
        <w:tc>
          <w:tcPr>
            <w:tcW w:w="2520" w:type="dxa"/>
            <w:vAlign w:val="bottom"/>
            <w:gridSpan w:val="3"/>
          </w:tcPr>
          <w:p>
            <w:pPr>
              <w:ind w:left="2140"/>
              <w:spacing w:after="0"/>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9"/>
                <w:szCs w:val="19"/>
                <w:color w:val="auto"/>
              </w:rPr>
            </w:pPr>
          </w:p>
        </w:tc>
      </w:tr>
      <w:tr>
        <w:trPr>
          <w:trHeight w:val="53"/>
        </w:trPr>
        <w:tc>
          <w:tcPr>
            <w:tcW w:w="4280" w:type="dxa"/>
            <w:vAlign w:val="bottom"/>
            <w:tcBorders>
              <w:bottom w:val="single" w:sz="8" w:color="CCEEFF"/>
            </w:tcBorders>
          </w:tcPr>
          <w:p>
            <w:pPr>
              <w:spacing w:after="0"/>
              <w:rPr>
                <w:sz w:val="4"/>
                <w:szCs w:val="4"/>
                <w:color w:val="auto"/>
              </w:rPr>
            </w:pPr>
          </w:p>
        </w:tc>
        <w:tc>
          <w:tcPr>
            <w:tcW w:w="180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r>
      <w:tr>
        <w:trPr>
          <w:trHeight w:val="311"/>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Federal</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23"/>
                <w:szCs w:val="23"/>
                <w:color w:val="auto"/>
              </w:rPr>
            </w:pPr>
          </w:p>
        </w:tc>
        <w:tc>
          <w:tcPr>
            <w:tcW w:w="660" w:type="dxa"/>
            <w:vAlign w:val="bottom"/>
            <w:gridSpan w:val="5"/>
          </w:tcPr>
          <w:p>
            <w:pPr>
              <w:jc w:val="right"/>
              <w:ind w:right="280"/>
              <w:spacing w:after="0"/>
              <w:rPr>
                <w:sz w:val="20"/>
                <w:szCs w:val="20"/>
                <w:color w:val="auto"/>
              </w:rPr>
            </w:pPr>
            <w:r>
              <w:rPr>
                <w:rFonts w:ascii="Arial" w:cs="Arial" w:eastAsia="Arial" w:hAnsi="Arial"/>
                <w:sz w:val="18"/>
                <w:szCs w:val="18"/>
                <w:color w:val="auto"/>
              </w:rPr>
              <w:t>$ —</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State</w:t>
            </w:r>
          </w:p>
        </w:tc>
        <w:tc>
          <w:tcPr>
            <w:tcW w:w="18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4280" w:type="dxa"/>
            <w:vAlign w:val="bottom"/>
          </w:tcPr>
          <w:p>
            <w:pPr>
              <w:ind w:left="180"/>
              <w:spacing w:after="0"/>
              <w:rPr>
                <w:sz w:val="20"/>
                <w:szCs w:val="20"/>
                <w:color w:val="auto"/>
              </w:rPr>
            </w:pPr>
            <w:r>
              <w:rPr>
                <w:rFonts w:ascii="Arial" w:cs="Arial" w:eastAsia="Arial" w:hAnsi="Arial"/>
                <w:sz w:val="18"/>
                <w:szCs w:val="18"/>
                <w:color w:val="auto"/>
              </w:rPr>
              <w:t>Foreign</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1,321</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318"/>
        </w:trPr>
        <w:tc>
          <w:tcPr>
            <w:tcW w:w="4280" w:type="dxa"/>
            <w:vAlign w:val="bottom"/>
            <w:tcBorders>
              <w:bottom w:val="single" w:sz="8" w:color="CCEEFF"/>
            </w:tcBorders>
            <w:shd w:val="clear" w:color="auto" w:fill="CCEEFF"/>
          </w:tcPr>
          <w:p>
            <w:pPr>
              <w:spacing w:after="0"/>
              <w:rPr>
                <w:sz w:val="24"/>
                <w:szCs w:val="24"/>
                <w:color w:val="auto"/>
              </w:rPr>
            </w:pP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241</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4280" w:type="dxa"/>
            <w:vAlign w:val="bottom"/>
          </w:tcPr>
          <w:p>
            <w:pPr>
              <w:spacing w:after="0"/>
              <w:rPr>
                <w:sz w:val="20"/>
                <w:szCs w:val="20"/>
                <w:color w:val="auto"/>
              </w:rPr>
            </w:pPr>
            <w:r>
              <w:rPr>
                <w:rFonts w:ascii="Arial" w:cs="Arial" w:eastAsia="Arial" w:hAnsi="Arial"/>
                <w:sz w:val="18"/>
                <w:szCs w:val="18"/>
                <w:color w:val="auto"/>
              </w:rPr>
              <w:t>Deferred</w:t>
            </w:r>
          </w:p>
        </w:tc>
        <w:tc>
          <w:tcPr>
            <w:tcW w:w="18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54"/>
        </w:trPr>
        <w:tc>
          <w:tcPr>
            <w:tcW w:w="4280" w:type="dxa"/>
            <w:vAlign w:val="bottom"/>
          </w:tcPr>
          <w:p>
            <w:pPr>
              <w:spacing w:after="0"/>
              <w:rPr>
                <w:sz w:val="4"/>
                <w:szCs w:val="4"/>
                <w:color w:val="auto"/>
              </w:rPr>
            </w:pPr>
          </w:p>
        </w:tc>
        <w:tc>
          <w:tcPr>
            <w:tcW w:w="2160" w:type="dxa"/>
            <w:vAlign w:val="bottom"/>
            <w:gridSpan w:val="2"/>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304"/>
        </w:trPr>
        <w:tc>
          <w:tcPr>
            <w:tcW w:w="4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Federal</w:t>
            </w:r>
          </w:p>
        </w:tc>
        <w:tc>
          <w:tcPr>
            <w:tcW w:w="2700" w:type="dxa"/>
            <w:vAlign w:val="bottom"/>
            <w:tcBorders>
              <w:bottom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(508)</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4280" w:type="dxa"/>
            <w:vAlign w:val="bottom"/>
          </w:tcPr>
          <w:p>
            <w:pPr>
              <w:ind w:left="180"/>
              <w:spacing w:after="0"/>
              <w:rPr>
                <w:sz w:val="20"/>
                <w:szCs w:val="20"/>
                <w:color w:val="auto"/>
              </w:rPr>
            </w:pPr>
            <w:r>
              <w:rPr>
                <w:rFonts w:ascii="Arial" w:cs="Arial" w:eastAsia="Arial" w:hAnsi="Arial"/>
                <w:sz w:val="18"/>
                <w:szCs w:val="18"/>
                <w:color w:val="auto"/>
              </w:rPr>
              <w:t>State</w:t>
            </w: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(334)</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4280" w:type="dxa"/>
            <w:vAlign w:val="bottom"/>
          </w:tcPr>
          <w:p>
            <w:pPr>
              <w:spacing w:after="0"/>
              <w:rPr>
                <w:sz w:val="4"/>
                <w:szCs w:val="4"/>
                <w:color w:val="auto"/>
              </w:rPr>
            </w:pPr>
          </w:p>
        </w:tc>
        <w:tc>
          <w:tcPr>
            <w:tcW w:w="1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1800" w:type="dxa"/>
            <w:vAlign w:val="bottom"/>
            <w:shd w:val="clear" w:color="auto" w:fill="CCEEFF"/>
          </w:tcPr>
          <w:p>
            <w:pPr>
              <w:spacing w:after="0"/>
              <w:rPr>
                <w:sz w:val="22"/>
                <w:szCs w:val="22"/>
                <w:color w:val="auto"/>
              </w:rPr>
            </w:pPr>
          </w:p>
        </w:tc>
        <w:tc>
          <w:tcPr>
            <w:tcW w:w="36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tcBorders>
              <w:right w:val="single" w:sz="8" w:color="CCEEFF"/>
            </w:tcBorders>
            <w:shd w:val="clear" w:color="auto" w:fill="CCEEFF"/>
          </w:tcPr>
          <w:p>
            <w:pPr>
              <w:spacing w:after="0"/>
              <w:rPr>
                <w:sz w:val="22"/>
                <w:szCs w:val="22"/>
                <w:color w:val="auto"/>
              </w:rPr>
            </w:pP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22"/>
                <w:szCs w:val="22"/>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Borders>
              <w:top w:val="single" w:sz="8" w:color="CCEEFF"/>
            </w:tcBorders>
            <w:shd w:val="clear" w:color="auto" w:fill="CCEEFF"/>
          </w:tcPr>
          <w:p>
            <w:pPr>
              <w:spacing w:after="0"/>
              <w:rPr>
                <w:sz w:val="5"/>
                <w:szCs w:val="5"/>
                <w:color w:val="auto"/>
              </w:rPr>
            </w:pPr>
          </w:p>
        </w:tc>
        <w:tc>
          <w:tcPr>
            <w:tcW w:w="180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CCEEFF"/>
              <w:right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c>
          <w:tcPr>
            <w:tcW w:w="40" w:type="dxa"/>
            <w:vAlign w:val="bottom"/>
            <w:tcBorders>
              <w:top w:val="single" w:sz="8" w:color="auto"/>
              <w:right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right w:val="single" w:sz="8" w:color="CCEEFF"/>
            </w:tcBorders>
            <w:shd w:val="clear" w:color="auto" w:fill="CCEEFF"/>
          </w:tcPr>
          <w:p>
            <w:pPr>
              <w:spacing w:after="0"/>
              <w:rPr>
                <w:sz w:val="5"/>
                <w:szCs w:val="5"/>
                <w:color w:val="auto"/>
              </w:rPr>
            </w:pPr>
          </w:p>
        </w:tc>
        <w:tc>
          <w:tcPr>
            <w:tcW w:w="420" w:type="dxa"/>
            <w:vAlign w:val="bottom"/>
            <w:tcBorders>
              <w:top w:val="single" w:sz="8" w:color="auto"/>
            </w:tcBorders>
            <w:shd w:val="clear" w:color="auto" w:fill="CCEEFF"/>
          </w:tcPr>
          <w:p>
            <w:pPr>
              <w:spacing w:after="0"/>
              <w:rPr>
                <w:sz w:val="5"/>
                <w:szCs w:val="5"/>
                <w:color w:val="auto"/>
              </w:rPr>
            </w:pPr>
          </w:p>
        </w:tc>
        <w:tc>
          <w:tcPr>
            <w:tcW w:w="80" w:type="dxa"/>
            <w:vAlign w:val="bottom"/>
            <w:tcBorders>
              <w:top w:val="single" w:sz="8" w:color="auto"/>
            </w:tcBorders>
            <w:shd w:val="clear" w:color="auto" w:fill="CCEEFF"/>
          </w:tcPr>
          <w:p>
            <w:pPr>
              <w:spacing w:after="0"/>
              <w:rPr>
                <w:sz w:val="5"/>
                <w:szCs w:val="5"/>
                <w:color w:val="auto"/>
              </w:rPr>
            </w:pPr>
          </w:p>
        </w:tc>
      </w:tr>
      <w:tr>
        <w:trPr>
          <w:trHeight w:val="270"/>
        </w:trPr>
        <w:tc>
          <w:tcPr>
            <w:tcW w:w="4280" w:type="dxa"/>
            <w:vAlign w:val="bottom"/>
          </w:tcPr>
          <w:p>
            <w:pPr>
              <w:spacing w:after="0"/>
              <w:rPr>
                <w:sz w:val="23"/>
                <w:szCs w:val="23"/>
                <w:color w:val="auto"/>
              </w:rPr>
            </w:pPr>
          </w:p>
        </w:tc>
        <w:tc>
          <w:tcPr>
            <w:tcW w:w="2700" w:type="dxa"/>
            <w:vAlign w:val="bottom"/>
            <w:gridSpan w:val="5"/>
          </w:tcPr>
          <w:p>
            <w:pPr>
              <w:jc w:val="right"/>
              <w:ind w:right="120"/>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gridSpan w:val="4"/>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61"/>
        </w:trPr>
        <w:tc>
          <w:tcPr>
            <w:tcW w:w="4280" w:type="dxa"/>
            <w:vAlign w:val="bottom"/>
          </w:tcPr>
          <w:p>
            <w:pPr>
              <w:spacing w:after="0"/>
              <w:rPr>
                <w:sz w:val="5"/>
                <w:szCs w:val="5"/>
                <w:color w:val="auto"/>
              </w:rPr>
            </w:pPr>
          </w:p>
        </w:tc>
        <w:tc>
          <w:tcPr>
            <w:tcW w:w="1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r>
      <w:tr>
        <w:trPr>
          <w:trHeight w:val="29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(benefit) expense</w:t>
            </w:r>
          </w:p>
        </w:tc>
        <w:tc>
          <w:tcPr>
            <w:tcW w:w="2160" w:type="dxa"/>
            <w:vAlign w:val="bottom"/>
            <w:tcBorders>
              <w:right w:val="single" w:sz="8" w:color="CCEEFF"/>
            </w:tcBorders>
            <w:gridSpan w:val="2"/>
            <w:shd w:val="clear" w:color="auto" w:fill="CCEEFF"/>
          </w:tcPr>
          <w:p>
            <w:pPr>
              <w:spacing w:after="0"/>
              <w:rPr>
                <w:sz w:val="24"/>
                <w:szCs w:val="24"/>
                <w:color w:val="auto"/>
              </w:rPr>
            </w:pPr>
          </w:p>
        </w:tc>
        <w:tc>
          <w:tcPr>
            <w:tcW w:w="5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0"/>
              </w:rPr>
              <w:t>$ (601)</w:t>
            </w:r>
          </w:p>
        </w:tc>
        <w:tc>
          <w:tcPr>
            <w:tcW w:w="160" w:type="dxa"/>
            <w:vAlign w:val="bottom"/>
            <w:shd w:val="clear" w:color="auto" w:fill="CCEEFF"/>
          </w:tcPr>
          <w:p>
            <w:pPr>
              <w:spacing w:after="0"/>
              <w:rPr>
                <w:sz w:val="24"/>
                <w:szCs w:val="24"/>
                <w:color w:val="auto"/>
              </w:rPr>
            </w:pPr>
          </w:p>
        </w:tc>
        <w:tc>
          <w:tcPr>
            <w:tcW w:w="660" w:type="dxa"/>
            <w:vAlign w:val="bottom"/>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$ 1,321</w:t>
            </w:r>
          </w:p>
        </w:tc>
      </w:tr>
      <w:tr>
        <w:trPr>
          <w:trHeight w:val="27"/>
        </w:trPr>
        <w:tc>
          <w:tcPr>
            <w:tcW w:w="4280" w:type="dxa"/>
            <w:vAlign w:val="bottom"/>
            <w:tcBorders>
              <w:top w:val="single" w:sz="8" w:color="CCEEFF"/>
            </w:tcBorders>
            <w:shd w:val="clear" w:color="auto" w:fill="CCEEFF"/>
          </w:tcPr>
          <w:p>
            <w:pPr>
              <w:spacing w:after="0"/>
              <w:rPr>
                <w:sz w:val="2"/>
                <w:szCs w:val="2"/>
                <w:color w:val="auto"/>
              </w:rPr>
            </w:pPr>
          </w:p>
        </w:tc>
        <w:tc>
          <w:tcPr>
            <w:tcW w:w="180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right w:val="single" w:sz="8" w:color="auto"/>
            </w:tcBorders>
            <w:shd w:val="clear" w:color="auto" w:fill="CCEEFF"/>
          </w:tcPr>
          <w:p>
            <w:pPr>
              <w:spacing w:after="0"/>
              <w:rPr>
                <w:sz w:val="2"/>
                <w:szCs w:val="2"/>
                <w:color w:val="auto"/>
              </w:rPr>
            </w:pPr>
          </w:p>
        </w:tc>
        <w:tc>
          <w:tcPr>
            <w:tcW w:w="360" w:type="dxa"/>
            <w:vAlign w:val="bottom"/>
            <w:tcBorders>
              <w:top w:val="single" w:sz="8" w:color="auto"/>
            </w:tcBorders>
            <w:shd w:val="clear" w:color="auto" w:fill="000000"/>
          </w:tcPr>
          <w:p>
            <w:pPr>
              <w:spacing w:after="0"/>
              <w:rPr>
                <w:sz w:val="2"/>
                <w:szCs w:val="2"/>
                <w:color w:val="auto"/>
              </w:rPr>
            </w:pPr>
          </w:p>
        </w:tc>
        <w:tc>
          <w:tcPr>
            <w:tcW w:w="40" w:type="dxa"/>
            <w:vAlign w:val="bottom"/>
            <w:tcBorders>
              <w:top w:val="single" w:sz="8" w:color="auto"/>
              <w:right w:val="single" w:sz="8" w:color="auto"/>
            </w:tcBorders>
            <w:shd w:val="clear" w:color="auto" w:fill="000000"/>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000000"/>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auto"/>
            </w:tcBorders>
            <w:shd w:val="clear" w:color="auto" w:fill="CCEEFF"/>
          </w:tcPr>
          <w:p>
            <w:pPr>
              <w:spacing w:after="0"/>
              <w:rPr>
                <w:sz w:val="2"/>
                <w:szCs w:val="2"/>
                <w:color w:val="auto"/>
              </w:rPr>
            </w:pPr>
          </w:p>
        </w:tc>
        <w:tc>
          <w:tcPr>
            <w:tcW w:w="420" w:type="dxa"/>
            <w:vAlign w:val="bottom"/>
            <w:tcBorders>
              <w:top w:val="single" w:sz="8" w:color="auto"/>
            </w:tcBorders>
            <w:shd w:val="clear" w:color="auto" w:fill="000000"/>
          </w:tcPr>
          <w:p>
            <w:pPr>
              <w:spacing w:after="0"/>
              <w:rPr>
                <w:sz w:val="2"/>
                <w:szCs w:val="2"/>
                <w:color w:val="auto"/>
              </w:rPr>
            </w:pPr>
          </w:p>
        </w:tc>
        <w:tc>
          <w:tcPr>
            <w:tcW w:w="80" w:type="dxa"/>
            <w:vAlign w:val="bottom"/>
            <w:tcBorders>
              <w:top w:val="single" w:sz="8" w:color="auto"/>
            </w:tcBorders>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5037455</wp:posOffset>
            </wp:positionH>
            <wp:positionV relativeFrom="paragraph">
              <wp:posOffset>-3634105</wp:posOffset>
            </wp:positionV>
            <wp:extent cx="1028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-3634105</wp:posOffset>
            </wp:positionV>
            <wp:extent cx="1028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-3634105</wp:posOffset>
            </wp:positionV>
            <wp:extent cx="5143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4968875</wp:posOffset>
            </wp:positionH>
            <wp:positionV relativeFrom="paragraph">
              <wp:posOffset>-2331085</wp:posOffset>
            </wp:positionV>
            <wp:extent cx="18859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4540250</wp:posOffset>
            </wp:positionH>
            <wp:positionV relativeFrom="paragraph">
              <wp:posOffset>-2331085</wp:posOffset>
            </wp:positionV>
            <wp:extent cx="1885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-2331085</wp:posOffset>
            </wp:positionV>
            <wp:extent cx="939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279" w:lineRule="auto"/>
        <w:rPr>
          <w:sz w:val="20"/>
          <w:szCs w:val="20"/>
          <w:color w:val="auto"/>
        </w:rPr>
      </w:pPr>
      <w:r>
        <w:rPr>
          <w:rFonts w:ascii="Arial" w:cs="Arial" w:eastAsia="Arial" w:hAnsi="Arial"/>
          <w:sz w:val="17"/>
          <w:szCs w:val="17"/>
          <w:color w:val="auto"/>
        </w:rPr>
        <w:t>The change in the Company’s income tax expense from 2020 to 2021 is due to the Business Combination and settlement of a foreign income tax examination. In 2020, the Company was only subject to minimal LLC entity-level and foreign taxes, whereas in 2021 the Company was also subject to U.S. federal and state income taxes on its allocable share of any taxable income or loss generated subsequent to the Business Combination.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4" w:name="page165"/>
    <w:bookmarkEnd w:id="164"/>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actual income tax expense differs from the expected amount computed by applying the federal statutory corporate tax rate of 21 percent as follows (in thousands):</w:t>
      </w:r>
    </w:p>
    <w:p>
      <w:pPr>
        <w:spacing w:after="0" w:line="12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5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13"/>
          </w:tcPr>
          <w:p>
            <w:pPr>
              <w:jc w:val="right"/>
              <w:ind w:right="540"/>
              <w:spacing w:after="0"/>
              <w:rPr>
                <w:sz w:val="20"/>
                <w:szCs w:val="20"/>
                <w:color w:val="auto"/>
              </w:rPr>
            </w:pPr>
            <w:r>
              <w:rPr>
                <w:rFonts w:ascii="Arial" w:cs="Arial" w:eastAsia="Arial" w:hAnsi="Arial"/>
                <w:sz w:val="14"/>
                <w:szCs w:val="14"/>
                <w:b w:val="1"/>
                <w:bCs w:val="1"/>
                <w:color w:val="auto"/>
              </w:rPr>
              <w:t>Years Ended December 31,</w:t>
            </w:r>
          </w:p>
        </w:tc>
      </w:tr>
      <w:tr>
        <w:trPr>
          <w:trHeight w:val="53"/>
        </w:trPr>
        <w:tc>
          <w:tcPr>
            <w:tcW w:w="56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224"/>
        </w:trPr>
        <w:tc>
          <w:tcPr>
            <w:tcW w:w="5680" w:type="dxa"/>
            <w:vAlign w:val="bottom"/>
          </w:tcPr>
          <w:p>
            <w:pPr>
              <w:spacing w:after="0"/>
              <w:rPr>
                <w:sz w:val="19"/>
                <w:szCs w:val="19"/>
                <w:color w:val="auto"/>
              </w:rPr>
            </w:pPr>
          </w:p>
        </w:tc>
        <w:tc>
          <w:tcPr>
            <w:tcW w:w="860" w:type="dxa"/>
            <w:vAlign w:val="bottom"/>
            <w:gridSpan w:val="3"/>
          </w:tcPr>
          <w:p>
            <w:pPr>
              <w:jc w:val="right"/>
              <w:ind w:right="199"/>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4"/>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9"/>
                <w:szCs w:val="19"/>
                <w:color w:val="auto"/>
              </w:rPr>
            </w:pPr>
          </w:p>
        </w:tc>
        <w:tc>
          <w:tcPr>
            <w:tcW w:w="7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9"/>
                <w:szCs w:val="19"/>
                <w:color w:val="auto"/>
              </w:rPr>
            </w:pP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 statutory rate</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$ 31,844</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$ 8,154</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$ 199</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State blended statutory rate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8,497</w:t>
            </w:r>
          </w:p>
        </w:tc>
        <w:tc>
          <w:tcPr>
            <w:tcW w:w="960" w:type="dxa"/>
            <w:vAlign w:val="bottom"/>
            <w:gridSpan w:val="5"/>
          </w:tcPr>
          <w:p>
            <w:pPr>
              <w:jc w:val="right"/>
              <w:ind w:right="160"/>
              <w:spacing w:after="0"/>
              <w:rPr>
                <w:sz w:val="20"/>
                <w:szCs w:val="20"/>
                <w:color w:val="auto"/>
              </w:rPr>
            </w:pPr>
            <w:r>
              <w:rPr>
                <w:rFonts w:ascii="Arial" w:cs="Arial" w:eastAsia="Arial" w:hAnsi="Arial"/>
                <w:sz w:val="18"/>
                <w:szCs w:val="18"/>
                <w:color w:val="auto"/>
              </w:rPr>
              <w:t>2,176</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53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LLC flow-through structure</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(10,340)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(252)</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Income taxed to owners of noncontrolling interests</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(21,762)</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tax impact</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227</w:t>
            </w:r>
          </w:p>
        </w:tc>
        <w:tc>
          <w:tcPr>
            <w:tcW w:w="96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1,321</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Change in fair value of warrant liability</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(19,669)</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permanent items</w:t>
            </w:r>
          </w:p>
        </w:tc>
        <w:tc>
          <w:tcPr>
            <w:tcW w:w="1040" w:type="dxa"/>
            <w:vAlign w:val="bottom"/>
            <w:tcBorders>
              <w:bottom w:val="single" w:sz="8" w:color="CCEEFF"/>
            </w:tcBorders>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901</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680" w:type="dxa"/>
            <w:vAlign w:val="bottom"/>
          </w:tcPr>
          <w:p>
            <w:pPr>
              <w:spacing w:after="0"/>
              <w:rPr>
                <w:sz w:val="20"/>
                <w:szCs w:val="20"/>
                <w:color w:val="auto"/>
              </w:rPr>
            </w:pPr>
            <w:r>
              <w:rPr>
                <w:rFonts w:ascii="Arial" w:cs="Arial" w:eastAsia="Arial" w:hAnsi="Arial"/>
                <w:sz w:val="18"/>
                <w:szCs w:val="18"/>
                <w:color w:val="auto"/>
              </w:rPr>
              <w:t>R&amp;D credit</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(751)</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5680" w:type="dxa"/>
            <w:vAlign w:val="bottom"/>
          </w:tcPr>
          <w:p>
            <w:pPr>
              <w:spacing w:after="0"/>
              <w:rPr>
                <w:sz w:val="20"/>
                <w:szCs w:val="20"/>
                <w:color w:val="auto"/>
              </w:rPr>
            </w:pPr>
            <w:r>
              <w:rPr>
                <w:rFonts w:ascii="Arial" w:cs="Arial" w:eastAsia="Arial" w:hAnsi="Arial"/>
                <w:sz w:val="18"/>
                <w:szCs w:val="18"/>
                <w:color w:val="auto"/>
              </w:rPr>
              <w:t>Total income tax (benefit) expense</w:t>
            </w:r>
          </w:p>
        </w:tc>
        <w:tc>
          <w:tcPr>
            <w:tcW w:w="1040" w:type="dxa"/>
            <w:vAlign w:val="bottom"/>
            <w:gridSpan w:val="5"/>
          </w:tcPr>
          <w:p>
            <w:pPr>
              <w:jc w:val="right"/>
              <w:ind w:right="160"/>
              <w:spacing w:after="0"/>
              <w:rPr>
                <w:sz w:val="20"/>
                <w:szCs w:val="20"/>
                <w:color w:val="auto"/>
              </w:rPr>
            </w:pPr>
            <w:r>
              <w:rPr>
                <w:rFonts w:ascii="Arial" w:cs="Arial" w:eastAsia="Arial" w:hAnsi="Arial"/>
                <w:sz w:val="18"/>
                <w:szCs w:val="18"/>
                <w:color w:val="auto"/>
              </w:rPr>
              <w:t>$ (601)</w:t>
            </w:r>
          </w:p>
        </w:tc>
        <w:tc>
          <w:tcPr>
            <w:tcW w:w="160" w:type="dxa"/>
            <w:vAlign w:val="bottom"/>
          </w:tcPr>
          <w:p>
            <w:pPr>
              <w:spacing w:after="0"/>
              <w:rPr>
                <w:sz w:val="24"/>
                <w:szCs w:val="24"/>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8"/>
                <w:szCs w:val="18"/>
                <w:color w:val="auto"/>
              </w:rPr>
              <w:t>$ —</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$ 1,321</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139.64%</w:t>
            </w:r>
          </w:p>
        </w:tc>
        <w:tc>
          <w:tcPr>
            <w:tcW w:w="20" w:type="dxa"/>
            <w:vAlign w:val="bottom"/>
            <w:shd w:val="clear" w:color="auto" w:fill="CCEEFF"/>
          </w:tcPr>
          <w:p>
            <w:pPr>
              <w:spacing w:after="0"/>
              <w:rPr>
                <w:sz w:val="24"/>
                <w:szCs w:val="24"/>
                <w:color w:val="auto"/>
              </w:rPr>
            </w:pPr>
          </w:p>
        </w:tc>
      </w:tr>
      <w:tr>
        <w:trPr>
          <w:trHeight w:val="338"/>
        </w:trPr>
        <w:tc>
          <w:tcPr>
            <w:tcW w:w="5680" w:type="dxa"/>
            <w:vAlign w:val="bottom"/>
            <w:tcBorders>
              <w:top w:val="single" w:sz="8" w:color="CCEEFF"/>
            </w:tcBorders>
          </w:tcPr>
          <w:p>
            <w:pPr>
              <w:ind w:left="360"/>
              <w:spacing w:after="0"/>
              <w:rPr>
                <w:sz w:val="20"/>
                <w:szCs w:val="20"/>
                <w:color w:val="auto"/>
              </w:rPr>
            </w:pPr>
            <w:r>
              <w:rPr>
                <w:rFonts w:ascii="Arial" w:cs="Arial" w:eastAsia="Arial" w:hAnsi="Arial"/>
                <w:sz w:val="18"/>
                <w:szCs w:val="18"/>
                <w:color w:val="auto"/>
                <w:w w:val="91"/>
              </w:rPr>
              <w:t>The significant components of the net deferred tax assets are as follows:</w:t>
            </w: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339"/>
        </w:trPr>
        <w:tc>
          <w:tcPr>
            <w:tcW w:w="5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gridSpan w:val="7"/>
          </w:tcPr>
          <w:p>
            <w:pPr>
              <w:jc w:val="right"/>
              <w:ind w:right="20"/>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56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r>
      <w:tr>
        <w:trPr>
          <w:trHeight w:val="311"/>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Investment in partnership</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w w:val="89"/>
              </w:rPr>
              <w:t>$ 112,543</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receivable agreement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34,203</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Net operating loss carryovers</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4,694</w:t>
            </w:r>
          </w:p>
        </w:tc>
      </w:tr>
      <w:tr>
        <w:trPr>
          <w:trHeight w:val="54"/>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04"/>
        </w:trPr>
        <w:tc>
          <w:tcPr>
            <w:tcW w:w="5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Tax credit carryovers</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18</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5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152,209</w:t>
            </w:r>
          </w:p>
        </w:tc>
      </w:tr>
      <w:tr>
        <w:trPr>
          <w:trHeight w:val="270"/>
        </w:trPr>
        <w:tc>
          <w:tcPr>
            <w:tcW w:w="56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(112)</w:t>
            </w:r>
          </w:p>
        </w:tc>
      </w:tr>
      <w:tr>
        <w:trPr>
          <w:trHeight w:val="48"/>
        </w:trPr>
        <w:tc>
          <w:tcPr>
            <w:tcW w:w="5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318"/>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98"/>
              </w:rPr>
              <w:t>152,097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-4679950</wp:posOffset>
            </wp:positionV>
            <wp:extent cx="1028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4351655</wp:posOffset>
            </wp:positionH>
            <wp:positionV relativeFrom="paragraph">
              <wp:posOffset>-4679950</wp:posOffset>
            </wp:positionV>
            <wp:extent cx="1028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3751580</wp:posOffset>
            </wp:positionH>
            <wp:positionV relativeFrom="paragraph">
              <wp:posOffset>-4679950</wp:posOffset>
            </wp:positionV>
            <wp:extent cx="51435"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-1902460</wp:posOffset>
            </wp:positionV>
            <wp:extent cx="10287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74" w:lineRule="exact"/>
        <w:rPr>
          <w:sz w:val="20"/>
          <w:szCs w:val="20"/>
          <w:color w:val="auto"/>
        </w:rPr>
      </w:pPr>
    </w:p>
    <w:p>
      <w:pPr>
        <w:jc w:val="both"/>
        <w:ind w:left="300" w:right="299" w:firstLine="360"/>
        <w:spacing w:after="0" w:line="301" w:lineRule="auto"/>
        <w:rPr>
          <w:sz w:val="20"/>
          <w:szCs w:val="20"/>
          <w:color w:val="auto"/>
        </w:rPr>
      </w:pPr>
      <w:r>
        <w:rPr>
          <w:rFonts w:ascii="Arial" w:cs="Arial" w:eastAsia="Arial" w:hAnsi="Arial"/>
          <w:sz w:val="16"/>
          <w:szCs w:val="16"/>
          <w:color w:val="auto"/>
        </w:rPr>
        <w:t>As of December 31, 2021, the Company had federal and state net operating loss carry forwards of approximately $17.2 million and $15.5 million, respectively, available to reduce future taxable income, if any. The federal net operating loss carries forward indefinitely and most of the state net operating losses will expire beginning in 2041. The Company also has foreign net operating loss carry forwards of approximately $0.4 million.</w:t>
      </w:r>
    </w:p>
    <w:p>
      <w:pPr>
        <w:spacing w:after="0" w:line="49"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As of December 31, 2021, the Company had federal and California research credit carryforwards of $0.6 million and $0.4 million available to reduce future tax. Federal tax credits begin to expire in 2041 and California credits carry forward indefinitely.</w:t>
      </w:r>
    </w:p>
    <w:p>
      <w:pPr>
        <w:spacing w:after="0" w:line="76" w:lineRule="exact"/>
        <w:rPr>
          <w:sz w:val="20"/>
          <w:szCs w:val="20"/>
          <w:color w:val="auto"/>
        </w:rPr>
      </w:pPr>
    </w:p>
    <w:p>
      <w:pPr>
        <w:jc w:val="both"/>
        <w:ind w:left="300" w:right="299" w:firstLine="360"/>
        <w:spacing w:after="0" w:line="271" w:lineRule="auto"/>
        <w:rPr>
          <w:sz w:val="20"/>
          <w:szCs w:val="20"/>
          <w:color w:val="auto"/>
        </w:rPr>
      </w:pPr>
      <w:r>
        <w:rPr>
          <w:rFonts w:ascii="Arial" w:cs="Arial" w:eastAsia="Arial" w:hAnsi="Arial"/>
          <w:sz w:val="17"/>
          <w:szCs w:val="17"/>
          <w:color w:val="auto"/>
        </w:rPr>
        <w:t>Utilization of the net operating loss and tax credit carryforwards may be subject to an annual limitation due to the ownership change limitations provided by the Internal Revenue Code of 1986, as amended and similar state provisions. An “ownership change” would occur for these purposes if one or more stockholders or groups of stockholders, who own at least 5% of the Company’s stock, increase their ownership by more than 50 percentage points over their lowest ownership percentage within a rolling three-year period. Utilization of federal net operating loss carryforwards is also limited to 80% of the Company’s taxable income in the year of deduction. In addition, a substantial portion of the Company’s state net operating loss is in California, for which there is a temporary suspension of the utilization of net operating loss carryforwards through 2022.</w:t>
      </w:r>
    </w:p>
    <w:p>
      <w:pPr>
        <w:spacing w:after="0" w:line="70" w:lineRule="exact"/>
        <w:rPr>
          <w:sz w:val="20"/>
          <w:szCs w:val="20"/>
          <w:color w:val="auto"/>
        </w:rPr>
      </w:pPr>
    </w:p>
    <w:p>
      <w:pPr>
        <w:jc w:val="both"/>
        <w:ind w:left="300" w:right="319" w:firstLine="360"/>
        <w:spacing w:after="0" w:line="257" w:lineRule="auto"/>
        <w:rPr>
          <w:sz w:val="20"/>
          <w:szCs w:val="20"/>
          <w:color w:val="auto"/>
        </w:rPr>
      </w:pPr>
      <w:r>
        <w:rPr>
          <w:rFonts w:ascii="Arial" w:cs="Arial" w:eastAsia="Arial" w:hAnsi="Arial"/>
          <w:sz w:val="18"/>
          <w:szCs w:val="18"/>
          <w:color w:val="auto"/>
        </w:rPr>
        <w:t>The Company’s deferred tax asset is primarily attributable to future tax amortization deductions of tax basis created from the Business Combination and future tax receivable agreement (“TRA”) payments. These deferred tax assets generally amortize over 15 years beginning on the payment date. Tax amortization deductions in excess of taxable income from operations result in a net operating loss, which can be carried forward indefinitely for federal tax purposes.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5" w:name="page166"/>
    <w:bookmarkEnd w:id="165"/>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WM TECHNOLOGY,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jc w:val="both"/>
        <w:ind w:left="300" w:right="299" w:firstLine="360"/>
        <w:spacing w:after="0" w:line="270" w:lineRule="auto"/>
        <w:rPr>
          <w:sz w:val="20"/>
          <w:szCs w:val="20"/>
          <w:color w:val="auto"/>
        </w:rPr>
      </w:pPr>
      <w:r>
        <w:rPr>
          <w:rFonts w:ascii="Arial" w:cs="Arial" w:eastAsia="Arial" w:hAnsi="Arial"/>
          <w:sz w:val="17"/>
          <w:szCs w:val="17"/>
          <w:color w:val="auto"/>
        </w:rPr>
        <w:t>The deferred tax assets are reduced through the establishment of a valuation allowance if, based upon available evidence, it is determined that it is more-likely-than-not that the deferred tax assets will not be realized. Management assesses the available positive and negative evidence, including history of earnings or losses, loss carryback potential, impact of reversing temporary differences, tax planning strategies, and whether sufficient future taxable income will be generated to permit use of the existing deferred tax assets. Based on the Company’s recent earnings history as well as anticipated future taxable income, management has concluded that it is more-likely-than-not that the U.S. federal and state deferred tax assets will be realized and that a valuation allowance is not needed. The Company’s valuation allowance increased by $0.1 million during 2021 due to losses in foreign jurisdictions. There was no change in valuation allowance during 2020 or 2019.</w:t>
      </w:r>
    </w:p>
    <w:p>
      <w:pPr>
        <w:spacing w:after="0" w:line="73"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 xml:space="preserve">The Company follows the provisions of FASB ASC 740-10,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ASC 740-10 prescribes a comprehensive model for the recognition, measurement, presentation and disclosure in financial statements of any uncertain tax positions that have been taken or expected to be taken on a tax return.</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reflects changes in the unrecognized tax benefits since January 1, 2021 (in thousands):</w:t>
      </w:r>
    </w:p>
    <w:p>
      <w:pPr>
        <w:spacing w:after="0" w:line="20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24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December 31, 2021</w:t>
            </w:r>
          </w:p>
        </w:tc>
      </w:tr>
      <w:tr>
        <w:trPr>
          <w:trHeight w:val="53"/>
        </w:trPr>
        <w:tc>
          <w:tcPr>
            <w:tcW w:w="724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311"/>
        </w:trPr>
        <w:tc>
          <w:tcPr>
            <w:tcW w:w="7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amount of unrecognized tax benefits as of the beginning of the period</w:t>
            </w: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Decreases related to prior year tax provisions</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4"/>
        </w:trPr>
        <w:tc>
          <w:tcPr>
            <w:tcW w:w="7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r>
      <w:tr>
        <w:trPr>
          <w:trHeight w:val="257"/>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Increases related to current year tax provisions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r>
      <w:tr>
        <w:trPr>
          <w:trHeight w:val="61"/>
        </w:trPr>
        <w:tc>
          <w:tcPr>
            <w:tcW w:w="72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auto"/>
            </w:tcBorders>
            <w:shd w:val="clear" w:color="auto" w:fill="CCEEFF"/>
          </w:tcPr>
          <w:p>
            <w:pPr>
              <w:spacing w:after="0"/>
              <w:rPr>
                <w:sz w:val="5"/>
                <w:szCs w:val="5"/>
                <w:color w:val="auto"/>
              </w:rPr>
            </w:pPr>
          </w:p>
        </w:tc>
      </w:tr>
      <w:tr>
        <w:trPr>
          <w:trHeight w:val="270"/>
        </w:trPr>
        <w:tc>
          <w:tcPr>
            <w:tcW w:w="7240" w:type="dxa"/>
            <w:vAlign w:val="bottom"/>
          </w:tcPr>
          <w:p>
            <w:pPr>
              <w:spacing w:after="0"/>
              <w:rPr>
                <w:sz w:val="20"/>
                <w:szCs w:val="20"/>
                <w:color w:val="auto"/>
              </w:rPr>
            </w:pPr>
            <w:r>
              <w:rPr>
                <w:rFonts w:ascii="Arial" w:cs="Arial" w:eastAsia="Arial" w:hAnsi="Arial"/>
                <w:sz w:val="18"/>
                <w:szCs w:val="18"/>
                <w:color w:val="auto"/>
              </w:rPr>
              <w:t>Gross amount of unrecognized tax benefits as of the end of the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$ 188</w:t>
            </w:r>
          </w:p>
        </w:tc>
      </w:tr>
      <w:tr>
        <w:trPr>
          <w:trHeight w:val="21"/>
        </w:trPr>
        <w:tc>
          <w:tcPr>
            <w:tcW w:w="7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-848360</wp:posOffset>
            </wp:positionV>
            <wp:extent cx="10287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87"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As of December 31, 2021, the Company has unrecognized tax benefits of approximately $0.2 million, which would affect its effective tax rate if recognized. It is unlikely that the amount of liability for unrecognized tax benefits will significantly change over the next 12 months. It is the Company’s policy to include penalties and interest expense related to income taxes as a component of other expense and interest expense, respectively, as necessary.</w:t>
      </w:r>
    </w:p>
    <w:p>
      <w:pPr>
        <w:spacing w:after="0" w:line="80" w:lineRule="exact"/>
        <w:rPr>
          <w:sz w:val="20"/>
          <w:szCs w:val="20"/>
          <w:color w:val="auto"/>
        </w:rPr>
      </w:pPr>
    </w:p>
    <w:p>
      <w:pPr>
        <w:jc w:val="both"/>
        <w:ind w:left="300" w:right="299" w:firstLine="360"/>
        <w:spacing w:after="0" w:line="311" w:lineRule="auto"/>
        <w:rPr>
          <w:sz w:val="20"/>
          <w:szCs w:val="20"/>
          <w:color w:val="auto"/>
        </w:rPr>
      </w:pPr>
      <w:r>
        <w:rPr>
          <w:rFonts w:ascii="Arial" w:cs="Arial" w:eastAsia="Arial" w:hAnsi="Arial"/>
          <w:sz w:val="16"/>
          <w:szCs w:val="16"/>
          <w:color w:val="auto"/>
        </w:rPr>
        <w:t>The Company and its subsidiaries file income tax returns with the U.S. federal government, various U.S. states, and several foreign jurisdictions. The Company’s U.S. federal and state tax returns remain open to examination for 2018 through 2021. In addition, tax returns remain open to examination in non-U.S. subsidiaries, including Canada.</w:t>
      </w:r>
    </w:p>
    <w:p>
      <w:pPr>
        <w:spacing w:after="0" w:line="29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Tax Receivable Agreement</w:t>
      </w:r>
    </w:p>
    <w:p>
      <w:pPr>
        <w:spacing w:after="0" w:line="117" w:lineRule="exact"/>
        <w:rPr>
          <w:sz w:val="20"/>
          <w:szCs w:val="20"/>
          <w:color w:val="auto"/>
        </w:rPr>
      </w:pPr>
    </w:p>
    <w:p>
      <w:pPr>
        <w:jc w:val="both"/>
        <w:ind w:left="300" w:right="299" w:firstLine="360"/>
        <w:spacing w:after="0" w:line="288" w:lineRule="auto"/>
        <w:rPr>
          <w:sz w:val="20"/>
          <w:szCs w:val="20"/>
          <w:color w:val="auto"/>
        </w:rPr>
      </w:pPr>
      <w:r>
        <w:rPr>
          <w:rFonts w:ascii="Arial" w:cs="Arial" w:eastAsia="Arial" w:hAnsi="Arial"/>
          <w:sz w:val="16"/>
          <w:szCs w:val="16"/>
          <w:color w:val="auto"/>
        </w:rPr>
        <w:t>The Business Combination was accomplished through what is commonly referred to as an “Up-C” structure, which is often used by partnerships and limited liability companies undertaking an initial public offering. The Up-C structure allows the current WMH equity holders to retain their equity ownership in WMH, an entity that is classified as a partnership for U.S. federal income tax purposes, in the form of post-merger WMH units and provides potential future tax benefits for both WM Technology, Inc. and the post-merger WMH equity holders when they ultimately exchange their pass-through interests for shares of Class A common stock. Additionally, the Company could obtain future increases in its tax basis of the assets of WMH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60" w:lineRule="exact"/>
        <w:rPr>
          <w:sz w:val="20"/>
          <w:szCs w:val="20"/>
          <w:color w:val="auto"/>
        </w:rPr>
      </w:pPr>
    </w:p>
    <w:p>
      <w:pPr>
        <w:jc w:val="both"/>
        <w:ind w:left="300" w:right="299" w:firstLine="360"/>
        <w:spacing w:after="0" w:line="254" w:lineRule="auto"/>
        <w:rPr>
          <w:sz w:val="20"/>
          <w:szCs w:val="20"/>
          <w:color w:val="auto"/>
        </w:rPr>
      </w:pPr>
      <w:r>
        <w:rPr>
          <w:rFonts w:ascii="Arial" w:cs="Arial" w:eastAsia="Arial" w:hAnsi="Arial"/>
          <w:sz w:val="18"/>
          <w:szCs w:val="18"/>
          <w:color w:val="auto"/>
        </w:rPr>
        <w:t>In connection with the Business Combination, the Company entered into a Tax Receivable Agreement (“TRA”) with continuing members that provides for a payment to the continuing members of 85% of the amount of tax benefits, if any, that WM Technology, Inc. realizes, or is deemed to realize, as a result of redemptions or exchanges of WMH units. In connection with such potential future tax benefits resulting from the Business Combination, the Company has established a deferred tax asset for the additional tax basis and a corresponding TRA liability of 85% of the expected benefit. The remaining 15% is recorded within paid-in capital. To date, no payments have been made with respect to the TRA.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6" w:name="page167"/>
    <w:bookmarkEnd w:id="166"/>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The following is an estimate of the expenses (all of which are to be paid by the registrant) that we may incur in connection with the securities being registered hereby.</w:t>
      </w:r>
    </w:p>
    <w:p>
      <w:pPr>
        <w:spacing w:after="0" w:line="135"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77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r>
      <w:tr>
        <w:trPr>
          <w:trHeight w:val="53"/>
        </w:trPr>
        <w:tc>
          <w:tcPr>
            <w:tcW w:w="774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r>
      <w:tr>
        <w:trPr>
          <w:trHeight w:val="311"/>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$401,800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250,000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304"/>
        </w:trPr>
        <w:tc>
          <w:tcPr>
            <w:tcW w:w="7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70"/>
        </w:trPr>
        <w:tc>
          <w:tcPr>
            <w:tcW w:w="7740" w:type="dxa"/>
            <w:vAlign w:val="bottom"/>
          </w:tcPr>
          <w:p>
            <w:pPr>
              <w:spacing w:after="0"/>
              <w:rPr>
                <w:sz w:val="20"/>
                <w:szCs w:val="20"/>
                <w:color w:val="auto"/>
              </w:rPr>
            </w:pPr>
            <w:r>
              <w:rPr>
                <w:rFonts w:ascii="Arial" w:cs="Arial" w:eastAsia="Arial" w:hAnsi="Arial"/>
                <w:sz w:val="18"/>
                <w:szCs w:val="18"/>
                <w:color w:val="auto"/>
              </w:rPr>
              <w:t>Miscellaneous</w:t>
            </w:r>
          </w:p>
        </w:tc>
        <w:tc>
          <w:tcPr>
            <w:tcW w:w="680" w:type="dxa"/>
            <w:vAlign w:val="bottom"/>
          </w:tcPr>
          <w:p>
            <w:pPr>
              <w:jc w:val="right"/>
              <w:spacing w:after="0"/>
              <w:rPr>
                <w:sz w:val="20"/>
                <w:szCs w:val="20"/>
                <w:color w:val="auto"/>
              </w:rPr>
            </w:pPr>
            <w:r>
              <w:rPr>
                <w:rFonts w:ascii="Arial" w:cs="Arial" w:eastAsia="Arial" w:hAnsi="Arial"/>
                <w:sz w:val="18"/>
                <w:szCs w:val="18"/>
                <w:color w:val="auto"/>
              </w:rPr>
              <w:t>65,000</w:t>
            </w:r>
          </w:p>
        </w:tc>
      </w:tr>
      <w:tr>
        <w:trPr>
          <w:trHeight w:val="54"/>
        </w:trPr>
        <w:tc>
          <w:tcPr>
            <w:tcW w:w="7740" w:type="dxa"/>
            <w:vAlign w:val="bottom"/>
          </w:tcPr>
          <w:p>
            <w:pPr>
              <w:spacing w:after="0"/>
              <w:rPr>
                <w:sz w:val="4"/>
                <w:szCs w:val="4"/>
                <w:color w:val="auto"/>
              </w:rPr>
            </w:pPr>
          </w:p>
        </w:tc>
        <w:tc>
          <w:tcPr>
            <w:tcW w:w="680" w:type="dxa"/>
            <w:vAlign w:val="bottom"/>
          </w:tcPr>
          <w:p>
            <w:pPr>
              <w:spacing w:after="0"/>
              <w:rPr>
                <w:sz w:val="4"/>
                <w:szCs w:val="4"/>
                <w:color w:val="auto"/>
              </w:rPr>
            </w:pPr>
          </w:p>
        </w:tc>
      </w:tr>
      <w:tr>
        <w:trPr>
          <w:trHeight w:val="270"/>
        </w:trPr>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$732,000</w:t>
            </w:r>
          </w:p>
        </w:tc>
      </w:tr>
      <w:tr>
        <w:trPr>
          <w:trHeight w:val="54"/>
        </w:trPr>
        <w:tc>
          <w:tcPr>
            <w:tcW w:w="774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-1045210</wp:posOffset>
            </wp:positionV>
            <wp:extent cx="12001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78"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jc w:val="both"/>
        <w:ind w:left="300" w:right="299" w:firstLine="360"/>
        <w:spacing w:after="0" w:line="269" w:lineRule="auto"/>
        <w:rPr>
          <w:sz w:val="20"/>
          <w:szCs w:val="20"/>
          <w:color w:val="auto"/>
        </w:rPr>
      </w:pPr>
      <w:r>
        <w:rPr>
          <w:rFonts w:ascii="Arial" w:cs="Arial" w:eastAsia="Arial" w:hAnsi="Arial"/>
          <w:sz w:val="17"/>
          <w:szCs w:val="17"/>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77" w:lineRule="exact"/>
        <w:rPr>
          <w:sz w:val="20"/>
          <w:szCs w:val="20"/>
          <w:color w:val="auto"/>
        </w:rPr>
      </w:pPr>
    </w:p>
    <w:p>
      <w:pPr>
        <w:jc w:val="both"/>
        <w:ind w:left="300" w:right="299" w:firstLine="360"/>
        <w:spacing w:after="0" w:line="287"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60"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0" w:lineRule="exact"/>
        <w:rPr>
          <w:sz w:val="20"/>
          <w:szCs w:val="20"/>
          <w:color w:val="auto"/>
        </w:rPr>
      </w:pPr>
    </w:p>
    <w:p>
      <w:pPr>
        <w:jc w:val="both"/>
        <w:ind w:left="300" w:right="319" w:firstLine="360"/>
        <w:spacing w:after="0" w:line="263" w:lineRule="auto"/>
        <w:rPr>
          <w:sz w:val="20"/>
          <w:szCs w:val="20"/>
          <w:color w:val="auto"/>
        </w:rPr>
      </w:pPr>
      <w:r>
        <w:rPr>
          <w:rFonts w:ascii="Arial" w:cs="Arial" w:eastAsia="Arial" w:hAnsi="Arial"/>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17" w:lineRule="exact"/>
        <w:rPr>
          <w:rFonts w:ascii="Arial" w:cs="Arial" w:eastAsia="Arial" w:hAnsi="Arial"/>
          <w:sz w:val="18"/>
          <w:szCs w:val="18"/>
          <w:color w:val="auto"/>
        </w:rPr>
      </w:pPr>
    </w:p>
    <w:p>
      <w:pPr>
        <w:ind w:left="1000" w:right="319" w:hanging="348"/>
        <w:spacing w:after="0" w:line="277" w:lineRule="auto"/>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62"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17" w:lineRule="exact"/>
        <w:rPr>
          <w:rFonts w:ascii="Arial" w:cs="Arial" w:eastAsia="Arial" w:hAnsi="Arial"/>
          <w:sz w:val="18"/>
          <w:szCs w:val="18"/>
          <w:color w:val="auto"/>
        </w:rPr>
      </w:pPr>
    </w:p>
    <w:p>
      <w:pPr>
        <w:ind w:left="1000" w:hanging="348"/>
        <w:spacing w:after="0"/>
        <w:tabs>
          <w:tab w:leader="none" w:pos="10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7" w:name="page168"/>
    <w:bookmarkEnd w:id="167"/>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76" w:lineRule="exact"/>
        <w:rPr>
          <w:sz w:val="20"/>
          <w:szCs w:val="20"/>
          <w:color w:val="auto"/>
        </w:rPr>
      </w:pPr>
    </w:p>
    <w:p>
      <w:pPr>
        <w:jc w:val="both"/>
        <w:ind w:left="300" w:right="299" w:firstLine="360"/>
        <w:spacing w:after="0" w:line="257" w:lineRule="auto"/>
        <w:rPr>
          <w:sz w:val="20"/>
          <w:szCs w:val="20"/>
          <w:color w:val="auto"/>
        </w:rPr>
      </w:pPr>
      <w:r>
        <w:rPr>
          <w:rFonts w:ascii="Arial" w:cs="Arial" w:eastAsia="Arial" w:hAnsi="Arial"/>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80" w:lineRule="exact"/>
        <w:rPr>
          <w:sz w:val="20"/>
          <w:szCs w:val="20"/>
          <w:color w:val="auto"/>
        </w:rPr>
      </w:pPr>
    </w:p>
    <w:p>
      <w:pPr>
        <w:jc w:val="both"/>
        <w:ind w:left="300" w:right="299" w:firstLine="360"/>
        <w:spacing w:after="0" w:line="277"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66"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jc w:val="both"/>
        <w:ind w:left="300" w:right="319" w:firstLine="360"/>
        <w:spacing w:after="0" w:line="279" w:lineRule="auto"/>
        <w:rPr>
          <w:sz w:val="20"/>
          <w:szCs w:val="20"/>
          <w:color w:val="auto"/>
        </w:rPr>
      </w:pPr>
      <w:r>
        <w:rPr>
          <w:rFonts w:ascii="Arial" w:cs="Arial" w:eastAsia="Arial" w:hAnsi="Arial"/>
          <w:sz w:val="17"/>
          <w:szCs w:val="17"/>
          <w:color w:val="auto"/>
        </w:rPr>
        <w:t>In June 2021, the PIPE Investors purchased from the Company an aggregate of 32,500,000 shares of Class A Common Stock, for a purchase price of $10.00 per share and an aggregate purchase price of $325.0 million, pursuant to Subscription Agreements entered into effective as of December 2020. The sale of the PIPE Shares was made in reliance on the exemption from registration in Section 4(a)(2) under the Securities Act.</w:t>
      </w:r>
    </w:p>
    <w:p>
      <w:pPr>
        <w:spacing w:after="0" w:line="6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3, 2021, the Company entered into the Asset Purchase Agreement with Sprout, Text Ripple, WM Loyalty, LLC, certain equityholders of Sprout and Text Ripple, and Jaret Christopher, as sellers’ representative pursuant to which the Company acquired certain assets of Sprout for a total consideration of approximately $31.2 million, including the issuance by the Company of 1,244,258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96" w:lineRule="auto"/>
        <w:rPr>
          <w:sz w:val="20"/>
          <w:szCs w:val="20"/>
          <w:color w:val="auto"/>
        </w:rPr>
      </w:pPr>
      <w:r>
        <w:rPr>
          <w:rFonts w:ascii="Arial" w:cs="Arial" w:eastAsia="Arial" w:hAnsi="Arial"/>
          <w:sz w:val="16"/>
          <w:szCs w:val="16"/>
          <w:color w:val="auto"/>
        </w:rPr>
        <w:t>On September 28, 2021, Ghost Management Group, LLC, a subsidiary of the Company, entered into the Equity Interest Purchase Agreement with TLHC, certain securityholders of TLHC, and Justin Morris, as sellers’ representative, pursuant to which the Company acquired all of the equity interests of TLHC for total consideration of approximately $15.1 million, including the issuance by the Company of 694,540 shares of Class A Common Stock. The shares were issued in reliance on the exemption from registration in Section 4(a)(2) under the Securities Act.</w:t>
      </w:r>
    </w:p>
    <w:p>
      <w:pPr>
        <w:spacing w:after="0" w:line="53" w:lineRule="exact"/>
        <w:rPr>
          <w:sz w:val="20"/>
          <w:szCs w:val="20"/>
          <w:color w:val="auto"/>
        </w:rPr>
      </w:pPr>
    </w:p>
    <w:p>
      <w:pPr>
        <w:jc w:val="both"/>
        <w:ind w:left="300" w:right="299" w:firstLine="360"/>
        <w:spacing w:after="0" w:line="273" w:lineRule="auto"/>
        <w:rPr>
          <w:sz w:val="20"/>
          <w:szCs w:val="20"/>
          <w:color w:val="auto"/>
        </w:rPr>
      </w:pPr>
      <w:r>
        <w:rPr>
          <w:rFonts w:ascii="Arial" w:cs="Arial" w:eastAsia="Arial" w:hAnsi="Arial"/>
          <w:sz w:val="17"/>
          <w:szCs w:val="17"/>
          <w:color w:val="auto"/>
        </w:rPr>
        <w:t>On January 14, 2022, WM In-Store Solutions, LLC (“Merger Sub”), a subsidiary of the Company, acquired Eyechronic LLC d/b/a Enlighten (“Eyechronic”) for total consideration of approximately $35 million, including the issuance by the Company of 4,721,706 shares of Class A Common Stock, pursuant to that certain Agreement and Plan of Reorganization dated as of January 3, 2022 by and among the Company, Eyechronic, Merger Sub, Janus Merger Sub I, LLC and Brian Schwartz, as representative of company indemnitors. The shares were issued in reliance on the exemption from registration in Section 4(a)(2) under the Securities Act.</w:t>
      </w:r>
    </w:p>
    <w:p>
      <w:pPr>
        <w:spacing w:after="0" w:line="174"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94" w:lineRule="exact"/>
        <w:rPr>
          <w:sz w:val="20"/>
          <w:szCs w:val="20"/>
          <w:color w:val="auto"/>
        </w:rPr>
      </w:pPr>
    </w:p>
    <w:p>
      <w:pPr>
        <w:ind w:left="380"/>
        <w:spacing w:after="0"/>
        <w:tabs>
          <w:tab w:leader="none" w:pos="12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40640</wp:posOffset>
            </wp:positionV>
            <wp:extent cx="5349240" cy="48006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5349240" cy="480060"/>
                    </a:xfrm>
                    <a:prstGeom prst="rect">
                      <a:avLst/>
                    </a:prstGeom>
                    <a:noFill/>
                  </pic:spPr>
                </pic:pic>
              </a:graphicData>
            </a:graphic>
          </wp:anchor>
        </w:drawing>
      </w:r>
    </w:p>
    <w:p>
      <w:pPr>
        <w:spacing w:after="0" w:line="97" w:lineRule="exact"/>
        <w:rPr>
          <w:sz w:val="20"/>
          <w:szCs w:val="20"/>
          <w:color w:val="auto"/>
        </w:rPr>
      </w:pPr>
    </w:p>
    <w:p>
      <w:pPr>
        <w:jc w:val="both"/>
        <w:ind w:left="1280" w:right="299" w:hanging="709"/>
        <w:spacing w:after="0" w:line="263" w:lineRule="auto"/>
        <w:tabs>
          <w:tab w:leader="none" w:pos="1260" w:val="left"/>
        </w:tabs>
        <w:rPr>
          <w:rFonts w:ascii="Arial" w:cs="Arial" w:eastAsia="Arial" w:hAnsi="Arial"/>
          <w:sz w:val="18"/>
          <w:szCs w:val="18"/>
          <w:color w:val="0000EE"/>
        </w:rPr>
      </w:pPr>
      <w:hyperlink r:id="rId408">
        <w:r>
          <w:rPr>
            <w:rFonts w:ascii="Arial" w:cs="Arial" w:eastAsia="Arial" w:hAnsi="Arial"/>
            <w:sz w:val="18"/>
            <w:szCs w:val="18"/>
            <w:u w:val="single" w:color="auto"/>
            <w:color w:val="0000EE"/>
          </w:rPr>
          <w:t>2.1+</w:t>
        </w:r>
      </w:hyperlink>
      <w:r>
        <w:rPr>
          <w:rFonts w:ascii="Arial" w:cs="Arial" w:eastAsia="Arial" w:hAnsi="Arial"/>
          <w:sz w:val="18"/>
          <w:szCs w:val="18"/>
          <w:color w:val="0000EE"/>
        </w:rPr>
        <w:tab/>
        <w:t>Agreement and Plan of Merger, dated December 10, 2020, by and among Silver Spike, Merger Sub, Legacy WMH, and the Holder Representative named therein (incorporated by reference to Exhibit 2.1 to the Current Report on Form 8-K filed on December 10, 2020).</w:t>
      </w:r>
    </w:p>
    <w:p>
      <w:pPr>
        <w:spacing w:after="0" w:line="49"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09">
        <w:r>
          <w:rPr>
            <w:rFonts w:ascii="Arial" w:cs="Arial" w:eastAsia="Arial" w:hAnsi="Arial"/>
            <w:sz w:val="18"/>
            <w:szCs w:val="18"/>
            <w:u w:val="single" w:color="auto"/>
            <w:color w:val="0000EE"/>
          </w:rPr>
          <w:t>3.1</w:t>
        </w:r>
      </w:hyperlink>
      <w:r>
        <w:rPr>
          <w:rFonts w:ascii="Arial" w:cs="Arial" w:eastAsia="Arial" w:hAnsi="Arial"/>
          <w:sz w:val="18"/>
          <w:szCs w:val="18"/>
          <w:color w:val="0000EE"/>
        </w:rPr>
        <w:tab/>
        <w:t>Certificate of Incorporation of the Company, dated June 15, 2021 (incorporated by reference to Exhibit 3.1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3257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15" w:lineRule="exact"/>
        <w:rPr>
          <w:sz w:val="20"/>
          <w:szCs w:val="20"/>
          <w:color w:val="auto"/>
        </w:rPr>
      </w:pPr>
    </w:p>
    <w:p>
      <w:pPr>
        <w:jc w:val="both"/>
        <w:ind w:left="1280" w:right="299" w:hanging="658"/>
        <w:spacing w:after="0" w:line="277" w:lineRule="auto"/>
        <w:tabs>
          <w:tab w:leader="none" w:pos="1260" w:val="left"/>
        </w:tabs>
        <w:rPr>
          <w:rFonts w:ascii="Arial" w:cs="Arial" w:eastAsia="Arial" w:hAnsi="Arial"/>
          <w:sz w:val="18"/>
          <w:szCs w:val="18"/>
          <w:color w:val="0000EE"/>
        </w:rPr>
      </w:pPr>
      <w:hyperlink r:id="rId411">
        <w:r>
          <w:rPr>
            <w:rFonts w:ascii="Arial" w:cs="Arial" w:eastAsia="Arial" w:hAnsi="Arial"/>
            <w:sz w:val="18"/>
            <w:szCs w:val="18"/>
            <w:u w:val="single" w:color="auto"/>
            <w:color w:val="0000EE"/>
          </w:rPr>
          <w:t>3.2</w:t>
        </w:r>
      </w:hyperlink>
      <w:r>
        <w:rPr>
          <w:rFonts w:ascii="Arial" w:cs="Arial" w:eastAsia="Arial" w:hAnsi="Arial"/>
          <w:sz w:val="18"/>
          <w:szCs w:val="18"/>
          <w:color w:val="0000EE"/>
        </w:rPr>
        <w:tab/>
        <w:t>Amended and Restated Bylaws of the Company, dated June 16, 2021 (incorporated by reference to Exhibit 3.2 to the Current Report on Form 8-K filed on June 21, 2021).</w:t>
      </w:r>
    </w:p>
    <w:p>
      <w:pPr>
        <w:spacing w:after="0" w:line="35" w:lineRule="exact"/>
        <w:rPr>
          <w:sz w:val="20"/>
          <w:szCs w:val="20"/>
          <w:color w:val="auto"/>
        </w:rPr>
      </w:pPr>
    </w:p>
    <w:p>
      <w:pPr>
        <w:jc w:val="both"/>
        <w:ind w:left="1280" w:right="299" w:hanging="658"/>
        <w:spacing w:after="0" w:line="277" w:lineRule="auto"/>
        <w:tabs>
          <w:tab w:leader="none" w:pos="1260" w:val="left"/>
        </w:tabs>
        <w:rPr>
          <w:rFonts w:ascii="Arial" w:cs="Arial" w:eastAsia="Arial" w:hAnsi="Arial"/>
          <w:sz w:val="18"/>
          <w:szCs w:val="18"/>
          <w:color w:val="0000EE"/>
        </w:rPr>
      </w:pPr>
      <w:hyperlink r:id="rId412">
        <w:r>
          <w:rPr>
            <w:rFonts w:ascii="Arial" w:cs="Arial" w:eastAsia="Arial" w:hAnsi="Arial"/>
            <w:sz w:val="18"/>
            <w:szCs w:val="18"/>
            <w:u w:val="single" w:color="auto"/>
            <w:color w:val="0000EE"/>
          </w:rPr>
          <w:t>4.1</w:t>
        </w:r>
      </w:hyperlink>
      <w:r>
        <w:rPr>
          <w:rFonts w:ascii="Arial" w:cs="Arial" w:eastAsia="Arial" w:hAnsi="Arial"/>
          <w:sz w:val="18"/>
          <w:szCs w:val="18"/>
          <w:color w:val="0000EE"/>
        </w:rPr>
        <w:tab/>
        <w:t>Form of Common Stock Certificate of the Company (incorporated by reference to Exhibit 4.1 to the Current Report on Form 8-K filed on June 21,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5715</wp:posOffset>
            </wp:positionV>
            <wp:extent cx="5349240" cy="3257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3">
                      <a:extLst>
                        <a:ext uri="{28A0092B-C50C-407E-A947-70E740481C1C}"/>
                      </a:extLst>
                    </a:blip>
                    <a:srcRect/>
                    <a:stretch>
                      <a:fillRect/>
                    </a:stretch>
                  </pic:blipFill>
                  <pic:spPr bwMode="auto">
                    <a:xfrm>
                      <a:off x="0" y="0"/>
                      <a:ext cx="5349240" cy="325755"/>
                    </a:xfrm>
                    <a:prstGeom prst="rect">
                      <a:avLst/>
                    </a:prstGeom>
                    <a:noFill/>
                  </pic:spPr>
                </pic:pic>
              </a:graphicData>
            </a:graphic>
          </wp:anchor>
        </w:drawing>
      </w:r>
    </w:p>
    <w:p>
      <w:pPr>
        <w:spacing w:after="0" w:line="15"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14">
        <w:r>
          <w:rPr>
            <w:rFonts w:ascii="Arial" w:cs="Arial" w:eastAsia="Arial" w:hAnsi="Arial"/>
            <w:sz w:val="18"/>
            <w:szCs w:val="18"/>
            <w:u w:val="single" w:color="auto"/>
            <w:color w:val="0000EE"/>
          </w:rPr>
          <w:t>4.2</w:t>
        </w:r>
      </w:hyperlink>
      <w:r>
        <w:rPr>
          <w:rFonts w:ascii="Arial" w:cs="Arial" w:eastAsia="Arial" w:hAnsi="Arial"/>
          <w:sz w:val="18"/>
          <w:szCs w:val="18"/>
          <w:color w:val="0000EE"/>
        </w:rPr>
        <w:tab/>
        <w:t>Form of Warrant Certificate of the Company (incorporated by reference to Exhibit 4.2 to the Current Report on Form 8-K filed on June 21, 2021).</w:t>
      </w:r>
    </w:p>
    <w:p>
      <w:pPr>
        <w:spacing w:after="0" w:line="35" w:lineRule="exact"/>
        <w:rPr>
          <w:sz w:val="20"/>
          <w:szCs w:val="20"/>
          <w:color w:val="auto"/>
        </w:rPr>
      </w:pPr>
    </w:p>
    <w:p>
      <w:pPr>
        <w:jc w:val="both"/>
        <w:ind w:left="1280" w:right="319" w:hanging="658"/>
        <w:spacing w:after="0" w:line="263" w:lineRule="auto"/>
        <w:tabs>
          <w:tab w:leader="none" w:pos="1260" w:val="left"/>
        </w:tabs>
        <w:rPr>
          <w:rFonts w:ascii="Arial" w:cs="Arial" w:eastAsia="Arial" w:hAnsi="Arial"/>
          <w:sz w:val="18"/>
          <w:szCs w:val="18"/>
          <w:color w:val="0000EE"/>
        </w:rPr>
      </w:pPr>
      <w:hyperlink r:id="rId415">
        <w:r>
          <w:rPr>
            <w:rFonts w:ascii="Arial" w:cs="Arial" w:eastAsia="Arial" w:hAnsi="Arial"/>
            <w:sz w:val="18"/>
            <w:szCs w:val="18"/>
            <w:u w:val="single" w:color="auto"/>
            <w:color w:val="0000EE"/>
          </w:rPr>
          <w:t>4.3</w:t>
        </w:r>
      </w:hyperlink>
      <w:r>
        <w:rPr>
          <w:rFonts w:ascii="Arial" w:cs="Arial" w:eastAsia="Arial" w:hAnsi="Arial"/>
          <w:sz w:val="18"/>
          <w:szCs w:val="18"/>
          <w:color w:val="0000EE"/>
        </w:rPr>
        <w:tab/>
        <w:t>Warrant Agreement, dated August 7, 2019, between the Company and Continental Stock Transfer &amp; Trust Company, as warrant agent (incorporated by reference to Exhibit 4.1 filed on Silver Spike’s Current Report on Form 8-K, filed by the Company on August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13970</wp:posOffset>
            </wp:positionV>
            <wp:extent cx="5349240" cy="3340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6">
                      <a:extLst>
                        <a:ext uri="{28A0092B-C50C-407E-A947-70E740481C1C}"/>
                      </a:extLst>
                    </a:blip>
                    <a:srcRect/>
                    <a:stretch>
                      <a:fillRect/>
                    </a:stretch>
                  </pic:blipFill>
                  <pic:spPr bwMode="auto">
                    <a:xfrm>
                      <a:off x="0" y="0"/>
                      <a:ext cx="5349240" cy="334010"/>
                    </a:xfrm>
                    <a:prstGeom prst="rect">
                      <a:avLst/>
                    </a:prstGeom>
                    <a:noFill/>
                  </pic:spPr>
                </pic:pic>
              </a:graphicData>
            </a:graphic>
          </wp:anchor>
        </w:drawing>
      </w:r>
    </w:p>
    <w:p>
      <w:pPr>
        <w:spacing w:after="0" w:line="29" w:lineRule="exact"/>
        <w:rPr>
          <w:sz w:val="20"/>
          <w:szCs w:val="20"/>
          <w:color w:val="auto"/>
        </w:rPr>
      </w:pPr>
    </w:p>
    <w:p>
      <w:pPr>
        <w:jc w:val="both"/>
        <w:ind w:left="1280" w:right="319" w:hanging="658"/>
        <w:spacing w:after="0" w:line="277" w:lineRule="auto"/>
        <w:tabs>
          <w:tab w:leader="none" w:pos="1260" w:val="left"/>
        </w:tabs>
        <w:rPr>
          <w:rFonts w:ascii="Arial" w:cs="Arial" w:eastAsia="Arial" w:hAnsi="Arial"/>
          <w:sz w:val="18"/>
          <w:szCs w:val="18"/>
          <w:color w:val="0000EE"/>
        </w:rPr>
      </w:pPr>
      <w:hyperlink r:id="rId417">
        <w:r>
          <w:rPr>
            <w:rFonts w:ascii="Arial" w:cs="Arial" w:eastAsia="Arial" w:hAnsi="Arial"/>
            <w:sz w:val="18"/>
            <w:szCs w:val="18"/>
            <w:u w:val="single" w:color="auto"/>
            <w:color w:val="0000EE"/>
          </w:rPr>
          <w:t>4.5</w:t>
        </w:r>
      </w:hyperlink>
      <w:r>
        <w:rPr>
          <w:rFonts w:ascii="Arial" w:cs="Arial" w:eastAsia="Arial" w:hAnsi="Arial"/>
          <w:sz w:val="18"/>
          <w:szCs w:val="18"/>
          <w:color w:val="0000EE"/>
        </w:rPr>
        <w:tab/>
        <w:t>Description of Securities (incorporated by reference to Exhibit 4.5 to the Annual Report on Form 10-K filed on February 25, 2022).</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126365</wp:posOffset>
            </wp:positionV>
            <wp:extent cx="6995160" cy="171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68" w:name="page169"/>
    <w:bookmarkEnd w:id="168"/>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60" w:type="dxa"/>
            <w:vAlign w:val="bottom"/>
          </w:tcPr>
          <w:p>
            <w:pPr>
              <w:spacing w:after="0"/>
              <w:rPr>
                <w:sz w:val="16"/>
                <w:szCs w:val="16"/>
                <w:color w:val="auto"/>
              </w:rPr>
            </w:pPr>
          </w:p>
        </w:tc>
        <w:tc>
          <w:tcPr>
            <w:tcW w:w="800" w:type="dxa"/>
            <w:vAlign w:val="bottom"/>
            <w:gridSpan w:val="12"/>
          </w:tcPr>
          <w:p>
            <w:pPr>
              <w:ind w:left="20"/>
              <w:spacing w:after="0"/>
              <w:rPr>
                <w:sz w:val="20"/>
                <w:szCs w:val="20"/>
                <w:color w:val="auto"/>
              </w:rPr>
            </w:pPr>
            <w:r>
              <w:rPr>
                <w:rFonts w:ascii="Arial" w:cs="Arial" w:eastAsia="Arial" w:hAnsi="Arial"/>
                <w:sz w:val="14"/>
                <w:szCs w:val="14"/>
                <w:b w:val="1"/>
                <w:bCs w:val="1"/>
                <w:color w:val="auto"/>
              </w:rPr>
              <w:t>Exhibit No.</w:t>
            </w:r>
          </w:p>
        </w:tc>
        <w:tc>
          <w:tcPr>
            <w:tcW w:w="7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40" w:type="dxa"/>
            <w:vAlign w:val="bottom"/>
            <w:tcBorders>
              <w:bottom w:val="single" w:sz="8" w:color="auto"/>
            </w:tcBorders>
          </w:tcPr>
          <w:p>
            <w:pPr>
              <w:spacing w:after="0"/>
              <w:rPr>
                <w:sz w:val="3"/>
                <w:szCs w:val="3"/>
                <w:color w:val="auto"/>
              </w:rPr>
            </w:pPr>
          </w:p>
        </w:tc>
      </w:tr>
      <w:tr>
        <w:trPr>
          <w:trHeight w:val="223"/>
        </w:trPr>
        <w:tc>
          <w:tcPr>
            <w:tcW w:w="580" w:type="dxa"/>
            <w:vAlign w:val="bottom"/>
            <w:gridSpan w:val="8"/>
            <w:shd w:val="clear" w:color="auto" w:fill="CCEEFF"/>
          </w:tcPr>
          <w:p>
            <w:pPr>
              <w:jc w:val="center"/>
              <w:ind w:left="190"/>
              <w:spacing w:after="0"/>
              <w:rPr>
                <w:rFonts w:ascii="Arial" w:cs="Arial" w:eastAsia="Arial" w:hAnsi="Arial"/>
                <w:sz w:val="18"/>
                <w:szCs w:val="18"/>
                <w:color w:val="0000EE"/>
                <w:w w:val="87"/>
              </w:rPr>
            </w:pPr>
            <w:hyperlink r:id="rId419">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Opinion of Cooley LLP*</w:t>
            </w:r>
          </w:p>
        </w:tc>
      </w:tr>
      <w:tr>
        <w:trPr>
          <w:trHeight w:val="61"/>
        </w:trPr>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7440" w:type="dxa"/>
            <w:vAlign w:val="bottom"/>
            <w:tcBorders>
              <w:top w:val="single" w:sz="8" w:color="CCEEFF"/>
            </w:tcBorders>
            <w:shd w:val="clear" w:color="auto" w:fill="CCEEFF"/>
          </w:tcPr>
          <w:p>
            <w:pPr>
              <w:spacing w:after="0"/>
              <w:rPr>
                <w:sz w:val="5"/>
                <w:szCs w:val="5"/>
                <w:color w:val="auto"/>
              </w:rPr>
            </w:pP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20">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1</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Exchange Agreement, dated as of June 16, 2021, by and among the Company, Silver Spike Sponsor</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and the other parties thereto (incorporated by reference to Exhibit 10.1 to the Current Report on Form</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11"/>
            <w:shd w:val="clear" w:color="auto" w:fill="CCEEFF"/>
          </w:tcPr>
          <w:p>
            <w:pPr>
              <w:jc w:val="center"/>
              <w:ind w:right="120"/>
              <w:spacing w:after="0"/>
              <w:rPr>
                <w:rFonts w:ascii="Arial" w:cs="Arial" w:eastAsia="Arial" w:hAnsi="Arial"/>
                <w:sz w:val="18"/>
                <w:szCs w:val="18"/>
                <w:color w:val="0000EE"/>
                <w:w w:val="92"/>
              </w:rPr>
            </w:pPr>
            <w:hyperlink r:id="rId421">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1(a)#</w:t>
              </w:r>
            </w:hyperlink>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Non-Employee Director Compensation Policy (incorporated by reference to Exhibit 10.1#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Annual Report on Form 10-K filed on February 25, 2022).</w:t>
            </w: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22">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2</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4"/>
              </w:rPr>
              <w:t>Tax Receivable Agreement, dated as of June 16, 2021, by and among the Company and the other</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parties thereto (incorporated by reference to Exhibit 10.2 to the Current Report on Form 8-K filed on</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23">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3</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Fourth Amended and Restated Operating Agreement of WMH LLC (incorporated by reference to</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Exhibit 10.3 to the Current Report on Form 8-K filed on June 21, 2021).</w:t>
            </w: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r:id="rId424">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4</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Form of Subscription Agreement (incorporated by reference to Exhibit 10.1 to the Current Report on</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Form 8-K filed on December 10, 2020).</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25">
              <w:r>
                <w:rPr>
                  <w:rFonts w:ascii="Arial" w:cs="Arial" w:eastAsia="Arial" w:hAnsi="Arial"/>
                  <w:sz w:val="18"/>
                  <w:szCs w:val="18"/>
                  <w:color w:val="0000EE"/>
                  <w:w w:val="85"/>
                </w:rPr>
                <w:t>10.</w:t>
              </w:r>
              <w:r>
                <w:rPr>
                  <w:rFonts w:ascii="Arial" w:cs="Arial" w:eastAsia="Arial" w:hAnsi="Arial"/>
                  <w:sz w:val="18"/>
                  <w:szCs w:val="18"/>
                  <w:u w:val="single" w:color="auto"/>
                  <w:color w:val="0000EE"/>
                  <w:w w:val="85"/>
                </w:rPr>
                <w:t>5</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Amended and Restated Registration Rights Agreement, dated as of June 16, 2021, by and among the</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0"/>
              </w:rPr>
              <w:t>Company, Silver Spike Sponsor and the other parties thereto (incorporated by reference to Exhibit 10.5</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 the Current 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2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6#</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8"/>
              </w:rPr>
              <w:t>Form of Indemnification Agreement by and between the Company and its directors and officers</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(incorporated by reference to Exhibit 10.6 to the Current Report on 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2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WM Technology, Inc. 2021 Equity Incentive Plan (incorporated by reference to Exhibit 10.7 to the</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Current Report on Form 8-K filed on June 21, 2021).</w:t>
            </w:r>
          </w:p>
        </w:tc>
      </w:tr>
      <w:tr>
        <w:trPr>
          <w:trHeight w:val="216"/>
        </w:trPr>
        <w:tc>
          <w:tcPr>
            <w:tcW w:w="60" w:type="dxa"/>
            <w:vAlign w:val="bottom"/>
          </w:tcPr>
          <w:p>
            <w:pPr>
              <w:spacing w:after="0"/>
              <w:rPr>
                <w:sz w:val="18"/>
                <w:szCs w:val="18"/>
                <w:color w:val="auto"/>
              </w:rPr>
            </w:pPr>
          </w:p>
        </w:tc>
        <w:tc>
          <w:tcPr>
            <w:tcW w:w="800" w:type="dxa"/>
            <w:vAlign w:val="bottom"/>
            <w:gridSpan w:val="12"/>
          </w:tcPr>
          <w:p>
            <w:pPr>
              <w:jc w:val="center"/>
              <w:ind w:right="60"/>
              <w:spacing w:after="0"/>
              <w:rPr>
                <w:rFonts w:ascii="Arial" w:cs="Arial" w:eastAsia="Arial" w:hAnsi="Arial"/>
                <w:sz w:val="18"/>
                <w:szCs w:val="18"/>
                <w:color w:val="0000EE"/>
                <w:w w:val="93"/>
              </w:rPr>
            </w:pPr>
            <w:hyperlink r:id="rId42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7(a)(#)</w:t>
              </w:r>
            </w:hyperlink>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Form of Stock Option Grant Notice (incorporated by reference to Exhibit 10.7(a) to the Current Report</w:t>
            </w:r>
          </w:p>
        </w:tc>
      </w:tr>
      <w:tr>
        <w:trPr>
          <w:trHeight w:val="237"/>
        </w:trPr>
        <w:tc>
          <w:tcPr>
            <w:tcW w:w="6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on 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0" w:type="dxa"/>
            <w:vAlign w:val="bottom"/>
            <w:shd w:val="clear" w:color="auto" w:fill="CCEEFF"/>
          </w:tcPr>
          <w:p>
            <w:pPr>
              <w:spacing w:after="0"/>
              <w:rPr>
                <w:sz w:val="18"/>
                <w:szCs w:val="18"/>
                <w:color w:val="auto"/>
              </w:rPr>
            </w:pPr>
          </w:p>
        </w:tc>
        <w:tc>
          <w:tcPr>
            <w:tcW w:w="800" w:type="dxa"/>
            <w:vAlign w:val="bottom"/>
            <w:gridSpan w:val="12"/>
            <w:shd w:val="clear" w:color="auto" w:fill="CCEEFF"/>
          </w:tcPr>
          <w:p>
            <w:pPr>
              <w:jc w:val="center"/>
              <w:ind w:right="60"/>
              <w:spacing w:after="0"/>
              <w:rPr>
                <w:rFonts w:ascii="Arial" w:cs="Arial" w:eastAsia="Arial" w:hAnsi="Arial"/>
                <w:sz w:val="18"/>
                <w:szCs w:val="18"/>
                <w:color w:val="0000EE"/>
                <w:w w:val="92"/>
              </w:rPr>
            </w:pPr>
            <w:hyperlink r:id="rId429">
              <w:r>
                <w:rPr>
                  <w:rFonts w:ascii="Arial" w:cs="Arial" w:eastAsia="Arial" w:hAnsi="Arial"/>
                  <w:sz w:val="18"/>
                  <w:szCs w:val="18"/>
                  <w:color w:val="0000EE"/>
                  <w:w w:val="92"/>
                </w:rPr>
                <w:t>10.</w:t>
              </w:r>
              <w:r>
                <w:rPr>
                  <w:rFonts w:ascii="Arial" w:cs="Arial" w:eastAsia="Arial" w:hAnsi="Arial"/>
                  <w:sz w:val="18"/>
                  <w:szCs w:val="18"/>
                  <w:u w:val="single" w:color="auto"/>
                  <w:color w:val="0000EE"/>
                  <w:w w:val="92"/>
                </w:rPr>
                <w:t>7(b)#</w:t>
              </w:r>
            </w:hyperlink>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Form of RSU Award Grant Notice (incorporated by reference to Exhibit 10.7(b) to the Current Report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30">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8#</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WM Technology, Inc. 2021 Employee Stock Purchase Plan (incorporated by reference to Exhibit 10.8</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to the Current Report on Form 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31">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9#</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Offer letter by and between Ghost Management Group, LLC and Christopher Beals, dated July 31,</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3"/>
              </w:rPr>
              <w:t>2015 (incorporated by reference to Exhibit 10.9 to the Current Report on Form 8-K filed on June 21,</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2021).</w:t>
            </w:r>
          </w:p>
        </w:tc>
      </w:tr>
      <w:tr>
        <w:trPr>
          <w:trHeight w:val="216"/>
        </w:trPr>
        <w:tc>
          <w:tcPr>
            <w:tcW w:w="740" w:type="dxa"/>
            <w:vAlign w:val="bottom"/>
            <w:gridSpan w:val="11"/>
          </w:tcPr>
          <w:p>
            <w:pPr>
              <w:jc w:val="center"/>
              <w:ind w:left="30"/>
              <w:spacing w:after="0"/>
              <w:rPr>
                <w:rFonts w:ascii="Arial" w:cs="Arial" w:eastAsia="Arial" w:hAnsi="Arial"/>
                <w:sz w:val="18"/>
                <w:szCs w:val="18"/>
                <w:color w:val="0000EE"/>
                <w:w w:val="90"/>
              </w:rPr>
            </w:pPr>
            <w:hyperlink r:id="rId432">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10#</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2"/>
              </w:rPr>
              <w:t>Offer letter by and between Ghost Management Group, LLC and Justin Dean, dated October 3, 2018</w:t>
            </w:r>
          </w:p>
        </w:tc>
      </w:tr>
      <w:tr>
        <w:trPr>
          <w:trHeight w:val="237"/>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(incorporated by reference to Exhibit 10.10 to the Current Report on Form 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0"/>
              </w:rPr>
            </w:pPr>
            <w:hyperlink r:id="rId433">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11#</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Offer letter by and between Ghost Management Group, LLC and Steven Jung, dated May 17, 2017</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(incorporated by reference to Exhibit 10.11 to the Current 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34">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12</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Lease by and between the Irvine Company LLC and Ghost Media Group, LLC, dated November 11,</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1"/>
              </w:rPr>
              <w:t>2013, as amended (incorporated by reference to Exhibit 10.12 to the Current Report on Form 8-K filed</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35">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13</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First Amendment to Lease and Consent to Assignment by and between Discovery Business Center</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4"/>
              </w:rPr>
              <w:t>LLC, as successor-in-interest to the Irvine Company LLC, and Ghost Management Group, LLC, as</w:t>
            </w:r>
          </w:p>
        </w:tc>
      </w:tr>
      <w:tr>
        <w:trPr>
          <w:trHeight w:val="216"/>
        </w:trPr>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successor-in-interest to Ghost Media Group, LLC, dated January 27, 2016 (incorporated by reference</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 Exhibit 10.13 to the Current 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36">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14</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4"/>
              </w:rPr>
              <w:t>Second  Amendment  to  Lease,  by  and  between  Discovery  Business  Center  LLC  and  Ghost</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7"/>
              </w:rPr>
              <w:t>Management Group, LLC, dated April 7, 2017 (incorporated by reference to Exhibit 10.14 to the</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Current Report on Form 8-K filed on June 21,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37">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15</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Third Amendment to Lease, by and between Discovery Business Center LLC and Ghost Management</w:t>
            </w:r>
          </w:p>
        </w:tc>
      </w:tr>
      <w:tr>
        <w:trPr>
          <w:trHeight w:val="222"/>
        </w:trPr>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22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0000EE"/>
            </w:tcBorders>
            <w:shd w:val="clear" w:color="auto" w:fill="CCEEFF"/>
          </w:tcPr>
          <w:p>
            <w:pPr>
              <w:spacing w:after="0"/>
              <w:rPr>
                <w:sz w:val="19"/>
                <w:szCs w:val="19"/>
                <w:color w:val="auto"/>
              </w:rPr>
            </w:pPr>
          </w:p>
        </w:tc>
        <w:tc>
          <w:tcPr>
            <w:tcW w:w="60" w:type="dxa"/>
            <w:vAlign w:val="bottom"/>
            <w:tcBorders>
              <w:top w:val="single" w:sz="8" w:color="0000EE"/>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756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6"/>
              </w:rPr>
              <w:t>Group, LLC, dated December 29, 2017 (incorporated by reference to Exhibit 10.15 to the Current</w:t>
            </w:r>
          </w:p>
        </w:tc>
      </w:tr>
      <w:tr>
        <w:trPr>
          <w:trHeight w:val="251"/>
        </w:trPr>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Report on Form 8-K filed on June 21, 2021).</w:t>
            </w:r>
          </w:p>
        </w:tc>
      </w:tr>
      <w:tr>
        <w:trPr>
          <w:trHeight w:val="216"/>
        </w:trPr>
        <w:tc>
          <w:tcPr>
            <w:tcW w:w="680" w:type="dxa"/>
            <w:vAlign w:val="bottom"/>
            <w:gridSpan w:val="10"/>
          </w:tcPr>
          <w:p>
            <w:pPr>
              <w:jc w:val="center"/>
              <w:ind w:left="90"/>
              <w:spacing w:after="0"/>
              <w:rPr>
                <w:rFonts w:ascii="Arial" w:cs="Arial" w:eastAsia="Arial" w:hAnsi="Arial"/>
                <w:sz w:val="18"/>
                <w:szCs w:val="18"/>
                <w:color w:val="0000EE"/>
                <w:w w:val="93"/>
              </w:rPr>
            </w:pPr>
            <w:hyperlink r:id="rId438">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16</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0"/>
              </w:rPr>
              <w:t>Fourth Amendment to Lease, by and between Discovery Business Center LLC and Ghost Management</w:t>
            </w:r>
          </w:p>
        </w:tc>
      </w:tr>
      <w:tr>
        <w:trPr>
          <w:trHeight w:val="222"/>
        </w:trPr>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3"/>
              </w:rPr>
              <w:t>Group, LLC, dated May 3, 2018 (incorporated by reference to Exhibit 10.16 to the Current Report on</w:t>
            </w:r>
          </w:p>
        </w:tc>
      </w:tr>
      <w:tr>
        <w:trPr>
          <w:trHeight w:val="230"/>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Form 8-K filed on June 21, 2021).</w:t>
            </w:r>
          </w:p>
        </w:tc>
      </w:tr>
      <w:tr>
        <w:trPr>
          <w:trHeight w:val="41"/>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3"/>
              </w:rPr>
            </w:pPr>
            <w:hyperlink r:id="rId439">
              <w:r>
                <w:rPr>
                  <w:rFonts w:ascii="Arial" w:cs="Arial" w:eastAsia="Arial" w:hAnsi="Arial"/>
                  <w:sz w:val="18"/>
                  <w:szCs w:val="18"/>
                  <w:color w:val="0000EE"/>
                  <w:w w:val="93"/>
                </w:rPr>
                <w:t>10.</w:t>
              </w:r>
              <w:r>
                <w:rPr>
                  <w:rFonts w:ascii="Arial" w:cs="Arial" w:eastAsia="Arial" w:hAnsi="Arial"/>
                  <w:sz w:val="18"/>
                  <w:szCs w:val="18"/>
                  <w:u w:val="single" w:color="auto"/>
                  <w:color w:val="0000EE"/>
                  <w:w w:val="93"/>
                </w:rPr>
                <w:t>17</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Strategic Advisor Agreement, by and between the Company and Steven Jung, dated June 21, 2021</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w w:val="91"/>
              </w:rPr>
              <w:t>(incorporated by reference to Exhibit 10.17 to the Current Report on Form 8-K filed on June 21, 2021).</w:t>
            </w:r>
          </w:p>
        </w:tc>
      </w:tr>
      <w:tr>
        <w:trPr>
          <w:trHeight w:val="216"/>
        </w:trPr>
        <w:tc>
          <w:tcPr>
            <w:tcW w:w="740" w:type="dxa"/>
            <w:vAlign w:val="bottom"/>
            <w:gridSpan w:val="11"/>
          </w:tcPr>
          <w:p>
            <w:pPr>
              <w:jc w:val="center"/>
              <w:ind w:left="30"/>
              <w:spacing w:after="0"/>
              <w:rPr>
                <w:rFonts w:ascii="Arial" w:cs="Arial" w:eastAsia="Arial" w:hAnsi="Arial"/>
                <w:sz w:val="18"/>
                <w:szCs w:val="18"/>
                <w:color w:val="0000EE"/>
                <w:w w:val="90"/>
              </w:rPr>
            </w:pPr>
            <w:hyperlink r:id="rId440">
              <w:r>
                <w:rPr>
                  <w:rFonts w:ascii="Arial" w:cs="Arial" w:eastAsia="Arial" w:hAnsi="Arial"/>
                  <w:sz w:val="18"/>
                  <w:szCs w:val="18"/>
                  <w:color w:val="0000EE"/>
                  <w:w w:val="90"/>
                </w:rPr>
                <w:t>10.</w:t>
              </w:r>
              <w:r>
                <w:rPr>
                  <w:rFonts w:ascii="Arial" w:cs="Arial" w:eastAsia="Arial" w:hAnsi="Arial"/>
                  <w:sz w:val="18"/>
                  <w:szCs w:val="18"/>
                  <w:u w:val="single" w:color="auto"/>
                  <w:color w:val="0000EE"/>
                  <w:w w:val="90"/>
                </w:rPr>
                <w:t>18#</w:t>
              </w:r>
            </w:hyperlink>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w w:val="96"/>
              </w:rPr>
              <w:t>WM Technology, Inc. Non-Employee Director Compensation Policy (incorporated by reference to</w:t>
            </w:r>
          </w:p>
        </w:tc>
      </w:tr>
      <w:tr>
        <w:trPr>
          <w:trHeight w:val="236"/>
        </w:trPr>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Exhibit 10.1 to the Quarterly Report on Form 10-Q filed on November 12, 2021).</w:t>
            </w:r>
          </w:p>
        </w:tc>
      </w:tr>
      <w:tr>
        <w:trPr>
          <w:trHeight w:val="40"/>
        </w:trPr>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16"/>
        </w:trPr>
        <w:tc>
          <w:tcPr>
            <w:tcW w:w="640" w:type="dxa"/>
            <w:vAlign w:val="bottom"/>
            <w:gridSpan w:val="9"/>
            <w:shd w:val="clear" w:color="auto" w:fill="CCEEFF"/>
          </w:tcPr>
          <w:p>
            <w:pPr>
              <w:jc w:val="center"/>
              <w:ind w:left="130"/>
              <w:spacing w:after="0"/>
              <w:rPr>
                <w:rFonts w:ascii="Arial" w:cs="Arial" w:eastAsia="Arial" w:hAnsi="Arial"/>
                <w:sz w:val="18"/>
                <w:szCs w:val="18"/>
                <w:color w:val="0000EE"/>
                <w:w w:val="85"/>
              </w:rPr>
            </w:pPr>
            <w:hyperlink r:id="rId441">
              <w:r>
                <w:rPr>
                  <w:rFonts w:ascii="Arial" w:cs="Arial" w:eastAsia="Arial" w:hAnsi="Arial"/>
                  <w:sz w:val="18"/>
                  <w:szCs w:val="18"/>
                  <w:color w:val="0000EE"/>
                  <w:w w:val="85"/>
                </w:rPr>
                <w:t>21.</w:t>
              </w:r>
              <w:r>
                <w:rPr>
                  <w:rFonts w:ascii="Arial" w:cs="Arial" w:eastAsia="Arial" w:hAnsi="Arial"/>
                  <w:sz w:val="18"/>
                  <w:szCs w:val="18"/>
                  <w:u w:val="single" w:color="auto"/>
                  <w:color w:val="0000EE"/>
                  <w:w w:val="85"/>
                </w:rPr>
                <w:t>1</w:t>
              </w:r>
            </w:hyperlink>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List of Subsidiaries of the Registrant (incorporated by reference to Exhibit 21.1 to the Annual Report</w:t>
            </w:r>
          </w:p>
        </w:tc>
      </w:tr>
      <w:tr>
        <w:trPr>
          <w:trHeight w:val="257"/>
        </w:trPr>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220" w:type="dxa"/>
            <w:vAlign w:val="bottom"/>
            <w:tcBorders>
              <w:top w:val="single" w:sz="8" w:color="0000EE"/>
              <w:bottom w:val="single" w:sz="8" w:color="CCEEFF"/>
            </w:tcBorders>
            <w:shd w:val="clear" w:color="auto" w:fill="CCEEFF"/>
          </w:tcPr>
          <w:p>
            <w:pPr>
              <w:spacing w:after="0"/>
              <w:rPr>
                <w:sz w:val="22"/>
                <w:szCs w:val="22"/>
                <w:color w:val="auto"/>
              </w:rPr>
            </w:pPr>
          </w:p>
        </w:tc>
        <w:tc>
          <w:tcPr>
            <w:tcW w:w="40" w:type="dxa"/>
            <w:vAlign w:val="bottom"/>
            <w:tcBorders>
              <w:top w:val="single" w:sz="8" w:color="0000EE"/>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4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60" w:type="dxa"/>
            <w:vAlign w:val="bottom"/>
            <w:tcBorders>
              <w:top w:val="single" w:sz="8" w:color="CCEEFF"/>
              <w:bottom w:val="single" w:sz="8" w:color="CCEEFF"/>
            </w:tcBorders>
            <w:shd w:val="clear" w:color="auto" w:fill="CCEEFF"/>
          </w:tcPr>
          <w:p>
            <w:pPr>
              <w:spacing w:after="0"/>
              <w:rPr>
                <w:sz w:val="22"/>
                <w:szCs w:val="22"/>
                <w:color w:val="auto"/>
              </w:rPr>
            </w:pPr>
          </w:p>
        </w:tc>
        <w:tc>
          <w:tcPr>
            <w:tcW w:w="7560" w:type="dxa"/>
            <w:vAlign w:val="bottom"/>
            <w:tcBorders>
              <w:top w:val="single" w:sz="8" w:color="CCEEFF"/>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on Form 10-K filed on February 25, 2022).</w:t>
            </w:r>
          </w:p>
        </w:tc>
      </w:tr>
      <w:tr>
        <w:trPr>
          <w:trHeight w:val="216"/>
        </w:trPr>
        <w:tc>
          <w:tcPr>
            <w:tcW w:w="640" w:type="dxa"/>
            <w:vAlign w:val="bottom"/>
            <w:gridSpan w:val="9"/>
          </w:tcPr>
          <w:p>
            <w:pPr>
              <w:jc w:val="center"/>
              <w:ind w:left="130"/>
              <w:spacing w:after="0"/>
              <w:rPr>
                <w:rFonts w:ascii="Arial" w:cs="Arial" w:eastAsia="Arial" w:hAnsi="Arial"/>
                <w:sz w:val="18"/>
                <w:szCs w:val="18"/>
                <w:color w:val="0000EE"/>
                <w:w w:val="85"/>
              </w:rPr>
            </w:pPr>
            <w:hyperlink w:anchor="page173">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Consent of Baker Tilly US, LLP</w:t>
            </w:r>
          </w:p>
        </w:tc>
      </w:tr>
      <w:tr>
        <w:trPr>
          <w:trHeight w:val="61"/>
        </w:trPr>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40" w:type="dxa"/>
            <w:vAlign w:val="bottom"/>
          </w:tcPr>
          <w:p>
            <w:pPr>
              <w:spacing w:after="0"/>
              <w:rPr>
                <w:sz w:val="5"/>
                <w:szCs w:val="5"/>
                <w:color w:val="auto"/>
              </w:rPr>
            </w:pPr>
          </w:p>
        </w:tc>
      </w:tr>
      <w:tr>
        <w:trPr>
          <w:trHeight w:val="216"/>
        </w:trPr>
        <w:tc>
          <w:tcPr>
            <w:tcW w:w="680" w:type="dxa"/>
            <w:vAlign w:val="bottom"/>
            <w:gridSpan w:val="10"/>
            <w:shd w:val="clear" w:color="auto" w:fill="CCEEFF"/>
          </w:tcPr>
          <w:p>
            <w:pPr>
              <w:jc w:val="center"/>
              <w:ind w:left="90"/>
              <w:spacing w:after="0"/>
              <w:rPr>
                <w:rFonts w:ascii="Arial" w:cs="Arial" w:eastAsia="Arial" w:hAnsi="Arial"/>
                <w:sz w:val="18"/>
                <w:szCs w:val="18"/>
                <w:color w:val="0000EE"/>
                <w:w w:val="99"/>
              </w:rPr>
            </w:pPr>
            <w:hyperlink r:id="rId419">
              <w:r>
                <w:rPr>
                  <w:rFonts w:ascii="Arial" w:cs="Arial" w:eastAsia="Arial" w:hAnsi="Arial"/>
                  <w:sz w:val="18"/>
                  <w:szCs w:val="18"/>
                  <w:color w:val="0000EE"/>
                  <w:w w:val="99"/>
                </w:rPr>
                <w:t>23.</w:t>
              </w:r>
              <w:r>
                <w:rPr>
                  <w:rFonts w:ascii="Arial" w:cs="Arial" w:eastAsia="Arial" w:hAnsi="Arial"/>
                  <w:sz w:val="18"/>
                  <w:szCs w:val="18"/>
                  <w:u w:val="single" w:color="auto"/>
                  <w:color w:val="0000EE"/>
                  <w:w w:val="99"/>
                </w:rPr>
                <w:t>2*</w:t>
              </w:r>
            </w:hyperlink>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Consent of Cooley LLP (included in Exhibit 5.1)</w:t>
            </w:r>
          </w:p>
        </w:tc>
      </w:tr>
      <w:tr>
        <w:trPr>
          <w:trHeight w:val="74"/>
        </w:trPr>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2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744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-9128760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605" w:gutter="0" w:footer="0" w:header="0"/>
        </w:sectPr>
      </w:pPr>
    </w:p>
    <w:bookmarkStart w:id="169" w:name="page170"/>
    <w:bookmarkEnd w:id="169"/>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186"/>
        </w:trPr>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Exhibit No.</w:t>
            </w:r>
          </w:p>
        </w:tc>
        <w:tc>
          <w:tcPr>
            <w:tcW w:w="75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Description</w:t>
            </w:r>
          </w:p>
        </w:tc>
      </w:tr>
      <w:tr>
        <w:trPr>
          <w:trHeight w:val="39"/>
        </w:trPr>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7440" w:type="dxa"/>
            <w:vAlign w:val="bottom"/>
            <w:tcBorders>
              <w:bottom w:val="single" w:sz="8" w:color="auto"/>
            </w:tcBorders>
          </w:tcPr>
          <w:p>
            <w:pPr>
              <w:spacing w:after="0"/>
              <w:rPr>
                <w:sz w:val="3"/>
                <w:szCs w:val="3"/>
                <w:color w:val="auto"/>
              </w:rPr>
            </w:pPr>
          </w:p>
        </w:tc>
      </w:tr>
      <w:tr>
        <w:trPr>
          <w:trHeight w:val="284"/>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101.INS</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Instance Document</w:t>
            </w: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Schema Document</w:t>
            </w:r>
          </w:p>
        </w:tc>
      </w:tr>
      <w:tr>
        <w:trPr>
          <w:trHeight w:val="41"/>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101.CAL</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
        </w:trPr>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40" w:type="dxa"/>
            <w:vAlign w:val="bottom"/>
          </w:tcPr>
          <w:p>
            <w:pPr>
              <w:spacing w:after="0"/>
              <w:rPr>
                <w:sz w:val="3"/>
                <w:szCs w:val="3"/>
                <w:color w:val="auto"/>
              </w:rPr>
            </w:pPr>
          </w:p>
        </w:tc>
      </w:tr>
      <w:tr>
        <w:trPr>
          <w:trHeight w:val="277"/>
        </w:trPr>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101.LAB</w:t>
            </w:r>
          </w:p>
        </w:tc>
        <w:tc>
          <w:tcPr>
            <w:tcW w:w="75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XBRL Taxonomy Extension Label Linkbase Document</w:t>
            </w:r>
          </w:p>
        </w:tc>
      </w:tr>
      <w:tr>
        <w:trPr>
          <w:trHeight w:val="257"/>
        </w:trPr>
        <w:tc>
          <w:tcPr>
            <w:tcW w:w="86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7560" w:type="dxa"/>
            <w:vAlign w:val="bottom"/>
            <w:gridSpan w:val="2"/>
          </w:tcPr>
          <w:p>
            <w:pPr>
              <w:ind w:left="1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-1122680</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68580</wp:posOffset>
            </wp:positionV>
            <wp:extent cx="8229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96" w:lineRule="exact"/>
        <w:rPr>
          <w:sz w:val="20"/>
          <w:szCs w:val="20"/>
          <w:color w:val="auto"/>
        </w:rPr>
      </w:pPr>
    </w:p>
    <w:p>
      <w:pPr>
        <w:ind w:left="640" w:hanging="348"/>
        <w:spacing w:after="0"/>
        <w:tabs>
          <w:tab w:leader="none" w:pos="6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Previously filed.</w:t>
      </w:r>
    </w:p>
    <w:p>
      <w:pPr>
        <w:ind w:left="640" w:hanging="348"/>
        <w:spacing w:after="0"/>
        <w:tabs>
          <w:tab w:leader="none" w:pos="640" w:val="left"/>
        </w:tabs>
        <w:numPr>
          <w:ilvl w:val="0"/>
          <w:numId w:val="100"/>
        </w:numPr>
        <w:rPr>
          <w:rFonts w:ascii="Arial" w:cs="Arial" w:eastAsia="Arial" w:hAnsi="Arial"/>
          <w:sz w:val="13"/>
          <w:szCs w:val="13"/>
          <w:color w:val="auto"/>
        </w:rPr>
      </w:pPr>
      <w:r>
        <w:rPr>
          <w:rFonts w:ascii="Arial" w:cs="Arial" w:eastAsia="Arial" w:hAnsi="Arial"/>
          <w:sz w:val="13"/>
          <w:szCs w:val="13"/>
          <w:color w:val="auto"/>
        </w:rPr>
        <w:t>The schedules and exhibits to this agreement have been omitted pursuant to Item 601(b)(2) of Regulation S-K. A copy of any omitted</w:t>
      </w:r>
    </w:p>
    <w:p>
      <w:pPr>
        <w:ind w:left="640"/>
        <w:spacing w:after="0" w:line="221" w:lineRule="auto"/>
        <w:rPr>
          <w:sz w:val="20"/>
          <w:szCs w:val="20"/>
          <w:color w:val="auto"/>
        </w:rPr>
      </w:pPr>
      <w:r>
        <w:rPr>
          <w:rFonts w:ascii="Arial" w:cs="Arial" w:eastAsia="Arial" w:hAnsi="Arial"/>
          <w:sz w:val="14"/>
          <w:szCs w:val="14"/>
          <w:color w:val="auto"/>
        </w:rPr>
        <w:t>schedule and/or exhibit will be furnished to the SEC upon request.</w:t>
      </w:r>
    </w:p>
    <w:p>
      <w:pPr>
        <w:ind w:left="640" w:hanging="348"/>
        <w:spacing w:after="0"/>
        <w:tabs>
          <w:tab w:leader="none" w:pos="64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 or arrangement.</w:t>
      </w:r>
    </w:p>
    <w:p>
      <w:pPr>
        <w:spacing w:after="0" w:line="192" w:lineRule="exact"/>
        <w:rPr>
          <w:sz w:val="20"/>
          <w:szCs w:val="20"/>
          <w:color w:val="auto"/>
        </w:rPr>
      </w:pPr>
    </w:p>
    <w:p>
      <w:pPr>
        <w:ind w:left="300"/>
        <w:spacing w:after="0"/>
        <w:tabs>
          <w:tab w:leader="none" w:pos="116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00" w:hanging="348"/>
        <w:spacing w:after="0"/>
        <w:tabs>
          <w:tab w:leader="none" w:pos="10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62" w:lineRule="exact"/>
        <w:rPr>
          <w:rFonts w:ascii="Arial" w:cs="Arial" w:eastAsia="Arial" w:hAnsi="Arial"/>
          <w:sz w:val="18"/>
          <w:szCs w:val="18"/>
          <w:color w:val="auto"/>
        </w:rPr>
      </w:pPr>
    </w:p>
    <w:p>
      <w:pPr>
        <w:ind w:left="1720" w:hanging="348"/>
        <w:spacing w:after="0"/>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jc w:val="both"/>
        <w:ind w:left="1720" w:right="299" w:hanging="348"/>
        <w:spacing w:after="0" w:line="288" w:lineRule="auto"/>
        <w:tabs>
          <w:tab w:leader="none" w:pos="172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60" w:lineRule="exact"/>
        <w:rPr>
          <w:rFonts w:ascii="Arial" w:cs="Arial" w:eastAsia="Arial" w:hAnsi="Arial"/>
          <w:sz w:val="16"/>
          <w:szCs w:val="16"/>
          <w:color w:val="auto"/>
        </w:rPr>
      </w:pPr>
    </w:p>
    <w:p>
      <w:pPr>
        <w:jc w:val="both"/>
        <w:ind w:left="1720" w:right="299" w:hanging="348"/>
        <w:spacing w:after="0" w:line="263" w:lineRule="auto"/>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jc w:val="both"/>
        <w:ind w:left="1740" w:right="299"/>
        <w:spacing w:after="0" w:line="293" w:lineRule="auto"/>
        <w:rPr>
          <w:rFonts w:ascii="Arial" w:cs="Arial" w:eastAsia="Arial" w:hAnsi="Arial"/>
          <w:sz w:val="18"/>
          <w:szCs w:val="18"/>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(a)(1)(i), (a)(1)(ii) and (a)(1)(iii) of this section do not apply</w:t>
      </w:r>
      <w:r>
        <w:rPr>
          <w:rFonts w:ascii="Arial" w:cs="Arial" w:eastAsia="Arial" w:hAnsi="Arial"/>
          <w:sz w:val="16"/>
          <w:szCs w:val="16"/>
          <w:i w:val="1"/>
          <w:iCs w:val="1"/>
          <w:color w:val="auto"/>
        </w:rPr>
        <w:t xml:space="preserve"> </w:t>
      </w:r>
      <w:r>
        <w:rPr>
          <w:rFonts w:ascii="Arial" w:cs="Arial" w:eastAsia="Arial" w:hAnsi="Arial"/>
          <w:sz w:val="16"/>
          <w:szCs w:val="16"/>
          <w:color w:val="auto"/>
        </w:rPr>
        <w:t>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56" w:lineRule="exact"/>
        <w:rPr>
          <w:rFonts w:ascii="Arial" w:cs="Arial" w:eastAsia="Arial" w:hAnsi="Arial"/>
          <w:sz w:val="18"/>
          <w:szCs w:val="18"/>
          <w:color w:val="auto"/>
        </w:rPr>
      </w:pPr>
    </w:p>
    <w:p>
      <w:pPr>
        <w:jc w:val="both"/>
        <w:ind w:left="1360" w:right="319" w:hanging="348"/>
        <w:spacing w:after="0" w:line="259"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8" w:lineRule="exact"/>
        <w:rPr>
          <w:rFonts w:ascii="Arial" w:cs="Arial" w:eastAsia="Arial" w:hAnsi="Arial"/>
          <w:sz w:val="18"/>
          <w:szCs w:val="18"/>
          <w:color w:val="auto"/>
        </w:rPr>
      </w:pPr>
    </w:p>
    <w:p>
      <w:pPr>
        <w:ind w:left="1360" w:right="319" w:hanging="348"/>
        <w:spacing w:after="0" w:line="277" w:lineRule="auto"/>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360" w:hanging="348"/>
        <w:spacing w:after="0"/>
        <w:tabs>
          <w:tab w:leader="none" w:pos="136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17"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75" w:lineRule="exact"/>
        <w:rPr>
          <w:rFonts w:ascii="Arial" w:cs="Arial" w:eastAsia="Arial" w:hAnsi="Arial"/>
          <w:sz w:val="18"/>
          <w:szCs w:val="18"/>
          <w:color w:val="auto"/>
        </w:rPr>
      </w:pPr>
    </w:p>
    <w:p>
      <w:pPr>
        <w:jc w:val="both"/>
        <w:ind w:left="1720" w:right="299" w:hanging="348"/>
        <w:spacing w:after="0" w:line="275" w:lineRule="auto"/>
        <w:tabs>
          <w:tab w:leader="none" w:pos="172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0" w:name="page171"/>
    <w:bookmarkEnd w:id="170"/>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left="1740" w:right="299"/>
        <w:spacing w:after="0" w:line="269" w:lineRule="auto"/>
        <w:rPr>
          <w:sz w:val="20"/>
          <w:szCs w:val="20"/>
          <w:color w:val="auto"/>
        </w:rPr>
      </w:pPr>
      <w:r>
        <w:rPr>
          <w:rFonts w:ascii="Arial" w:cs="Arial" w:eastAsia="Arial" w:hAnsi="Arial"/>
          <w:sz w:val="17"/>
          <w:szCs w:val="17"/>
          <w:color w:val="auto"/>
        </w:rPr>
        <w:t>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1" w:lineRule="exact"/>
        <w:rPr>
          <w:sz w:val="20"/>
          <w:szCs w:val="20"/>
          <w:color w:val="auto"/>
        </w:rPr>
      </w:pPr>
    </w:p>
    <w:p>
      <w:pPr>
        <w:jc w:val="both"/>
        <w:ind w:left="1360" w:right="319" w:hanging="348"/>
        <w:spacing w:after="0" w:line="254" w:lineRule="auto"/>
        <w:tabs>
          <w:tab w:leader="none" w:pos="136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6"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62" w:lineRule="exact"/>
        <w:rPr>
          <w:rFonts w:ascii="Arial" w:cs="Arial" w:eastAsia="Arial" w:hAnsi="Arial"/>
          <w:sz w:val="18"/>
          <w:szCs w:val="18"/>
          <w:color w:val="auto"/>
        </w:rPr>
      </w:pPr>
    </w:p>
    <w:p>
      <w:pPr>
        <w:ind w:left="1720" w:right="31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62" w:lineRule="exact"/>
        <w:rPr>
          <w:rFonts w:ascii="Arial" w:cs="Arial" w:eastAsia="Arial" w:hAnsi="Arial"/>
          <w:sz w:val="18"/>
          <w:szCs w:val="18"/>
          <w:color w:val="auto"/>
        </w:rPr>
      </w:pPr>
    </w:p>
    <w:p>
      <w:pPr>
        <w:jc w:val="both"/>
        <w:ind w:left="1720" w:right="299" w:hanging="348"/>
        <w:spacing w:after="0" w:line="263"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720" w:right="299" w:hanging="348"/>
        <w:spacing w:after="0" w:line="277" w:lineRule="auto"/>
        <w:tabs>
          <w:tab w:leader="none" w:pos="1720" w:val="left"/>
        </w:tabs>
        <w:numPr>
          <w:ilvl w:val="2"/>
          <w:numId w:val="10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62" w:lineRule="exact"/>
        <w:rPr>
          <w:rFonts w:ascii="Arial" w:cs="Arial" w:eastAsia="Arial" w:hAnsi="Arial"/>
          <w:sz w:val="18"/>
          <w:szCs w:val="18"/>
          <w:color w:val="auto"/>
        </w:rPr>
      </w:pPr>
    </w:p>
    <w:p>
      <w:pPr>
        <w:jc w:val="both"/>
        <w:ind w:left="1000" w:right="299" w:hanging="348"/>
        <w:spacing w:after="0" w:line="269" w:lineRule="auto"/>
        <w:tabs>
          <w:tab w:leader="none" w:pos="10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134620</wp:posOffset>
            </wp:positionV>
            <wp:extent cx="699516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1" w:name="page172"/>
    <w:bookmarkEnd w:id="171"/>
    <w:p>
      <w:pPr>
        <w:ind w:left="300"/>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left="300" w:right="29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Irvine, State of California on March 4, 2022.</w:t>
      </w:r>
    </w:p>
    <w:p>
      <w:pPr>
        <w:spacing w:after="0" w:line="15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WM TECHNOLOGY, INC.</w:t>
      </w:r>
    </w:p>
    <w:p>
      <w:pPr>
        <w:spacing w:after="0" w:line="200" w:lineRule="exact"/>
        <w:rPr>
          <w:sz w:val="20"/>
          <w:szCs w:val="20"/>
          <w:color w:val="auto"/>
        </w:rPr>
      </w:pPr>
    </w:p>
    <w:p>
      <w:pPr>
        <w:spacing w:after="0" w:line="24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57785</wp:posOffset>
            </wp:positionV>
            <wp:extent cx="27603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8">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13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Name: Christopher Beals</w:t>
      </w:r>
    </w:p>
    <w:p>
      <w:pPr>
        <w:spacing w:after="0" w:line="117"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Title: Chief Executive Officer</w:t>
      </w:r>
    </w:p>
    <w:p>
      <w:pPr>
        <w:spacing w:after="0" w:line="171" w:lineRule="exact"/>
        <w:rPr>
          <w:sz w:val="20"/>
          <w:szCs w:val="20"/>
          <w:color w:val="auto"/>
        </w:rPr>
      </w:pPr>
    </w:p>
    <w:p>
      <w:pPr>
        <w:jc w:val="both"/>
        <w:ind w:left="300" w:right="319" w:firstLine="3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and on the date indicated.</w:t>
      </w:r>
    </w:p>
    <w:p>
      <w:pPr>
        <w:spacing w:after="0" w:line="121" w:lineRule="exact"/>
        <w:rPr>
          <w:sz w:val="20"/>
          <w:szCs w:val="20"/>
          <w:color w:val="auto"/>
        </w:rPr>
      </w:pPr>
    </w:p>
    <w:p>
      <w:pPr>
        <w:ind w:left="1180"/>
        <w:spacing w:after="0"/>
        <w:tabs>
          <w:tab w:leader="none" w:pos="4800" w:val="left"/>
          <w:tab w:leader="none" w:pos="78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2"/>
          <w:szCs w:val="12"/>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49530</wp:posOffset>
            </wp:positionV>
            <wp:extent cx="534924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9">
                      <a:extLst>
                        <a:ext uri="{28A0092B-C50C-407E-A947-70E740481C1C}"/>
                      </a:extLst>
                    </a:blip>
                    <a:srcRect/>
                    <a:stretch>
                      <a:fillRect/>
                    </a:stretch>
                  </pic:blipFill>
                  <pic:spPr bwMode="auto">
                    <a:xfrm>
                      <a:off x="0" y="0"/>
                      <a:ext cx="5349240" cy="889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300" w:right="380"/>
        <w:spacing w:after="0" w:line="535" w:lineRule="auto"/>
        <w:rPr>
          <w:sz w:val="20"/>
          <w:szCs w:val="20"/>
          <w:color w:val="auto"/>
        </w:rPr>
      </w:pPr>
      <w:r>
        <w:rPr>
          <w:rFonts w:ascii="Arial" w:cs="Arial" w:eastAsia="Arial" w:hAnsi="Arial"/>
          <w:sz w:val="16"/>
          <w:szCs w:val="16"/>
          <w:color w:val="auto"/>
        </w:rPr>
        <w:t>/s/ Christopher Beals Christopher Beals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-330835</wp:posOffset>
            </wp:positionV>
            <wp:extent cx="151701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0">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7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74930</wp:posOffset>
            </wp:positionV>
            <wp:extent cx="1517015"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Arden Lee</w:t>
      </w: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2">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Tony Aquila</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3">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Douglas Francis</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4">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Brenda Freeman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5">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Olga Gonzalez</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6">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Scott Gordon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7">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Justin Hartfield</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8">
                      <a:extLst>
                        <a:ext uri="{28A0092B-C50C-407E-A947-70E740481C1C}"/>
                      </a:extLst>
                    </a:blip>
                    <a:srcRect/>
                    <a:stretch>
                      <a:fillRect/>
                    </a:stretch>
                  </pic:blipFill>
                  <pic:spPr bwMode="auto">
                    <a:xfrm>
                      <a:off x="0" y="0"/>
                      <a:ext cx="1517015" cy="8890"/>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Fiona Tan</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 Arden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57785</wp:posOffset>
            </wp:positionV>
            <wp:extent cx="151701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9">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13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Arden Lee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640" w:type="dxa"/>
            <w:vAlign w:val="bottom"/>
            <w:vMerge w:val="restart"/>
          </w:tcPr>
          <w:p>
            <w:pPr>
              <w:spacing w:after="0"/>
              <w:rPr>
                <w:sz w:val="20"/>
                <w:szCs w:val="20"/>
                <w:color w:val="auto"/>
              </w:rPr>
            </w:pPr>
            <w:r>
              <w:rPr>
                <w:rFonts w:ascii="Arial" w:cs="Arial" w:eastAsia="Arial" w:hAnsi="Arial"/>
                <w:sz w:val="18"/>
                <w:szCs w:val="18"/>
                <w:color w:val="auto"/>
              </w:rPr>
              <w:t>Chief Executive Officer and Director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4, 2022</w:t>
            </w:r>
          </w:p>
        </w:tc>
        <w:tc>
          <w:tcPr>
            <w:tcW w:w="0" w:type="dxa"/>
            <w:vAlign w:val="bottom"/>
          </w:tcPr>
          <w:p>
            <w:pPr>
              <w:spacing w:after="0"/>
              <w:rPr>
                <w:sz w:val="1"/>
                <w:szCs w:val="1"/>
                <w:color w:val="auto"/>
              </w:rPr>
            </w:pPr>
          </w:p>
        </w:tc>
      </w:tr>
      <w:tr>
        <w:trPr>
          <w:trHeight w:val="121"/>
        </w:trPr>
        <w:tc>
          <w:tcPr>
            <w:tcW w:w="3640" w:type="dxa"/>
            <w:vAlign w:val="bottom"/>
            <w:vMerge w:val="continue"/>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7"/>
        </w:trPr>
        <w:tc>
          <w:tcPr>
            <w:tcW w:w="36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720" w:type="dxa"/>
            <w:vAlign w:val="bottom"/>
          </w:tcPr>
          <w:p>
            <w:pPr>
              <w:ind w:left="660"/>
              <w:spacing w:after="0"/>
              <w:rPr>
                <w:sz w:val="20"/>
                <w:szCs w:val="20"/>
                <w:color w:val="auto"/>
              </w:rPr>
            </w:pPr>
            <w:r>
              <w:rPr>
                <w:rFonts w:ascii="Arial" w:cs="Arial" w:eastAsia="Arial" w:hAnsi="Arial"/>
                <w:sz w:val="18"/>
                <w:szCs w:val="18"/>
                <w:color w:val="auto"/>
                <w:w w:val="90"/>
              </w:rPr>
              <w:t>March 4, 2022</w:t>
            </w: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(Principal Financial Officer and Principal</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4280" w:val="left"/>
        </w:tabs>
        <w:rPr>
          <w:sz w:val="20"/>
          <w:szCs w:val="20"/>
          <w:color w:val="auto"/>
        </w:rPr>
      </w:pPr>
      <w:r>
        <w:rPr>
          <w:rFonts w:ascii="Arial" w:cs="Arial" w:eastAsia="Arial" w:hAnsi="Arial"/>
          <w:sz w:val="18"/>
          <w:szCs w:val="18"/>
          <w:color w:val="auto"/>
        </w:rPr>
        <w:t>Attorney-in-Fact</w:t>
      </w:r>
      <w:r>
        <w:rPr>
          <w:sz w:val="20"/>
          <w:szCs w:val="20"/>
          <w:color w:val="auto"/>
        </w:rPr>
        <w:tab/>
      </w:r>
      <w:r>
        <w:rPr>
          <w:rFonts w:ascii="Arial" w:cs="Arial" w:eastAsia="Arial" w:hAnsi="Arial"/>
          <w:sz w:val="16"/>
          <w:szCs w:val="16"/>
          <w:color w:val="auto"/>
        </w:rPr>
        <w:t>March 4, 2022</w:t>
      </w:r>
    </w:p>
    <w:p>
      <w:pPr>
        <w:spacing w:after="0" w:line="213" w:lineRule="exact"/>
        <w:rPr>
          <w:sz w:val="20"/>
          <w:szCs w:val="20"/>
          <w:color w:val="auto"/>
        </w:rPr>
      </w:pPr>
    </w:p>
    <w:p>
      <w:pPr>
        <w:sectPr>
          <w:pgSz w:w="11900" w:h="16838" w:orient="portrait"/>
          <w:cols w:equalWidth="0" w:num="2">
            <w:col w:w="2180" w:space="720"/>
            <w:col w:w="6119"/>
          </w:cols>
          <w:pgMar w:left="1440" w:top="265" w:right="1440" w:bottom="1440" w:gutter="0" w:footer="0" w:header="0"/>
          <w:type w:val="continuous"/>
        </w:sectPr>
      </w:pP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9019"/>
          </w:cols>
          <w:pgMar w:left="1440" w:top="265" w:right="1440" w:bottom="1440" w:gutter="0" w:footer="0" w:header="0"/>
          <w:type w:val="continuous"/>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239" w:lineRule="exact"/>
        <w:rPr>
          <w:sz w:val="20"/>
          <w:szCs w:val="20"/>
          <w:color w:val="auto"/>
        </w:rPr>
      </w:pPr>
    </w:p>
    <w:p>
      <w:pPr>
        <w:ind w:right="20"/>
        <w:spacing w:after="0"/>
        <w:rPr>
          <w:sz w:val="20"/>
          <w:szCs w:val="20"/>
          <w:color w:val="auto"/>
        </w:rPr>
      </w:pPr>
      <w:r>
        <w:rPr>
          <w:rFonts w:ascii="Arial" w:cs="Arial" w:eastAsia="Arial" w:hAnsi="Arial"/>
          <w:sz w:val="22"/>
          <w:szCs w:val="22"/>
          <w:color w:val="auto"/>
        </w:rPr>
        <w:t>We consent to the use in this Post-Effective Amendment No. 1 to the Registration Statem</w:t>
      </w:r>
      <w:r>
        <w:rPr>
          <w:rFonts w:ascii="Arial" w:cs="Arial" w:eastAsia="Arial" w:hAnsi="Arial"/>
          <w:sz w:val="17"/>
          <w:szCs w:val="17"/>
          <w:color w:val="auto"/>
        </w:rPr>
        <w:t>ent (No. 333-257774) on</w:t>
      </w:r>
      <w:r>
        <w:rPr>
          <w:rFonts w:ascii="Arial" w:cs="Arial" w:eastAsia="Arial" w:hAnsi="Arial"/>
          <w:sz w:val="22"/>
          <w:szCs w:val="22"/>
          <w:color w:val="auto"/>
        </w:rPr>
        <w:t xml:space="preserve"> Form S-1 of WM Technology, Inc. of our report dated February 25, 2022, relating to the consolidated financial statements of WM Technology, Inc., appearing in the Prospectus, which is part of this Registration Statement.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We also consent to the reference to our firm under the heading “Experts” in such Registration Statement.</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 Baker Tilly US,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Irvine, California</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41"/>
    </w:lvl>
  </w:abstractNum>
  <w:abstractNum w:abstractNumId="1">
    <w:nsid w:val="70C6A529"/>
    <w:multiLevelType w:val="hybridMultilevel"/>
    <w:lvl w:ilvl="0">
      <w:lvlJc w:val="left"/>
      <w:lvlText w:val="%1"/>
      <w:numFmt w:val="decimal"/>
      <w:start w:val="4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1)"/>
      <w:numFmt w:val="lowerRoman"/>
      <w:start w:val="2"/>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1)"/>
      <w:numFmt w:val="lowerRoman"/>
      <w:start w:val="2"/>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abstractNum>
  <w:abstractNum w:abstractNumId="19">
    <w:nsid w:val="61574095"/>
    <w:multiLevelType w:val="hybridMultilevel"/>
    <w:lvl w:ilvl="0">
      <w:lvlJc w:val="left"/>
      <w:lvlText w:val="&amp;"/>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1)"/>
      <w:numFmt w:val="lowerLetter"/>
      <w:start w:val="3"/>
    </w:lvl>
  </w:abstractNum>
  <w:abstractNum w:abstractNumId="26">
    <w:nsid w:val="25A70BF7"/>
    <w:multiLevelType w:val="hybridMultilevel"/>
    <w:lvl w:ilvl="0">
      <w:lvlJc w:val="left"/>
      <w:lvlText w:val="(%1)"/>
      <w:numFmt w:val="decimal"/>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¹"/>
      <w:numFmt w:val="bullet"/>
      <w:start w:val="1"/>
    </w:lvl>
  </w:abstractNum>
  <w:abstractNum w:abstractNumId="30">
    <w:nsid w:val="1381823A"/>
    <w:multiLevelType w:val="hybridMultilevel"/>
    <w:lvl w:ilvl="0">
      <w:lvlJc w:val="left"/>
      <w:lvlText w:val="¹"/>
      <w:numFmt w:val="bullet"/>
      <w:start w:val="1"/>
    </w:lvl>
  </w:abstractNum>
  <w:abstractNum w:abstractNumId="31">
    <w:nsid w:val="5DB70AE5"/>
    <w:multiLevelType w:val="hybridMultilevel"/>
    <w:lvl w:ilvl="0">
      <w:lvlJc w:val="left"/>
      <w:lvlText w:val="¹"/>
      <w:numFmt w:val="bullet"/>
      <w:start w:val="1"/>
    </w:lvl>
  </w:abstractNum>
  <w:abstractNum w:abstractNumId="32">
    <w:nsid w:val="100F8FCA"/>
    <w:multiLevelType w:val="hybridMultilevel"/>
    <w:lvl w:ilvl="0">
      <w:lvlJc w:val="left"/>
      <w:lvlText w:val="%1"/>
      <w:numFmt w:val="decimal"/>
      <w:start w:val="12"/>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lvl w:ilvl="1">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amp;"/>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
      <w:numFmt w:val="bullet"/>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1)"/>
      <w:numFmt w:val="decimal"/>
      <w:start w:val="1"/>
    </w:lvl>
  </w:abstractNum>
  <w:abstractNum w:abstractNumId="46">
    <w:nsid w:val="51D9C564"/>
    <w:multiLevelType w:val="hybridMultilevel"/>
    <w:lvl w:ilvl="0">
      <w:lvlJc w:val="left"/>
      <w:lvlText w:val="(%1)"/>
      <w:numFmt w:val="decimal"/>
      <w:start w:val="1"/>
    </w:lvl>
  </w:abstractNum>
  <w:abstractNum w:abstractNumId="47">
    <w:nsid w:val="613EFDC5"/>
    <w:multiLevelType w:val="hybridMultilevel"/>
    <w:lvl w:ilvl="0">
      <w:lvlJc w:val="left"/>
      <w:lvlText w:val="(%1)"/>
      <w:numFmt w:val="lowerRoman"/>
      <w:start w:val="2"/>
    </w:lvl>
  </w:abstractNum>
  <w:abstractNum w:abstractNumId="48">
    <w:nsid w:val="BF72B14"/>
    <w:multiLevelType w:val="hybridMultilevel"/>
    <w:lvl w:ilvl="0">
      <w:lvlJc w:val="left"/>
      <w:lvlText w:val="(%1)"/>
      <w:numFmt w:val="lowerRoman"/>
      <w:start w:val="3"/>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
      <w:numFmt w:val="bullet"/>
      <w:start w:val="1"/>
    </w:lvl>
  </w:abstractNum>
  <w:abstractNum w:abstractNumId="53">
    <w:nsid w:val="1A32234B"/>
    <w:multiLevelType w:val="hybridMultilevel"/>
    <w:lvl w:ilvl="0">
      <w:lvlJc w:val="left"/>
      <w:lvlText w:val="(%1)"/>
      <w:numFmt w:val="decimal"/>
      <w:start w:val="1"/>
    </w:lvl>
  </w:abstractNum>
  <w:abstractNum w:abstractNumId="54">
    <w:nsid w:val="3B0FD379"/>
    <w:multiLevelType w:val="hybridMultilevel"/>
    <w:lvl w:ilvl="0">
      <w:lvlJc w:val="left"/>
      <w:lvlText w:val="(%1)"/>
      <w:numFmt w:val="decimal"/>
      <w:start w:val="5"/>
    </w:lvl>
  </w:abstractNum>
  <w:abstractNum w:abstractNumId="55">
    <w:nsid w:val="68EB2F63"/>
    <w:multiLevelType w:val="hybridMultilevel"/>
    <w:lvl w:ilvl="0">
      <w:lvlJc w:val="left"/>
      <w:lvlText w:val="(%1)"/>
      <w:numFmt w:val="lowerRoman"/>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3"/>
    </w:lvl>
  </w:abstractNum>
  <w:abstractNum w:abstractNumId="58">
    <w:nsid w:val="6A5EE64"/>
    <w:multiLevelType w:val="hybridMultilevel"/>
    <w:lvl w:ilvl="0">
      <w:lvlJc w:val="left"/>
      <w:lvlText w:val="(%1)"/>
      <w:numFmt w:val="decimal"/>
      <w:start w:val="21"/>
    </w:lvl>
  </w:abstractNum>
  <w:abstractNum w:abstractNumId="59">
    <w:nsid w:val="14330624"/>
    <w:multiLevelType w:val="hybridMultilevel"/>
    <w:lvl w:ilvl="0">
      <w:lvlJc w:val="left"/>
      <w:lvlText w:val="(%1)"/>
      <w:numFmt w:val="decimal"/>
      <w:start w:val="36"/>
    </w:lvl>
  </w:abstractNum>
  <w:abstractNum w:abstractNumId="60">
    <w:nsid w:val="7FFFCA11"/>
    <w:multiLevelType w:val="hybridMultilevel"/>
    <w:lvl w:ilvl="0">
      <w:lvlJc w:val="left"/>
      <w:lvlText w:val="(%1)"/>
      <w:numFmt w:val="decimal"/>
      <w:start w:val="41"/>
    </w:lvl>
  </w:abstractNum>
  <w:abstractNum w:abstractNumId="61">
    <w:nsid w:val="1A27709E"/>
    <w:multiLevelType w:val="hybridMultilevel"/>
    <w:lvl w:ilvl="0">
      <w:lvlJc w:val="left"/>
      <w:lvlText w:val="(%1)"/>
      <w:numFmt w:val="lowerRoman"/>
      <w:start w:val="10"/>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1)"/>
      <w:numFmt w:val="decimal"/>
      <w:start w:val="2"/>
    </w:lvl>
  </w:abstractNum>
  <w:abstractNum w:abstractNumId="69">
    <w:nsid w:val="76272110"/>
    <w:multiLevelType w:val="hybridMultilevel"/>
    <w:lvl w:ilvl="0">
      <w:lvlJc w:val="left"/>
      <w:lvlText w:val="(%1)"/>
      <w:numFmt w:val="lowerRoman"/>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1"/>
      <w:numFmt w:val="decimal"/>
      <w:start w:val="21"/>
    </w:lvl>
  </w:abstractNum>
  <w:abstractNum w:abstractNumId="73">
    <w:nsid w:val="3222E7CD"/>
    <w:multiLevelType w:val="hybridMultilevel"/>
    <w:lvl w:ilvl="0">
      <w:lvlJc w:val="left"/>
      <w:lvlText w:val="(%1)"/>
      <w:numFmt w:val="decimal"/>
      <w:start w:val="2"/>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1"/>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1."/>
      <w:numFmt w:val="decimal"/>
      <w:start w:val="1"/>
    </w:lvl>
  </w:abstractNum>
  <w:abstractNum w:abstractNumId="81">
    <w:nsid w:val="CC1016F"/>
    <w:multiLevelType w:val="hybridMultilevel"/>
    <w:lvl w:ilvl="0">
      <w:lvlJc w:val="left"/>
      <w:lvlText w:val="%1."/>
      <w:numFmt w:val="decimal"/>
      <w:start w:val="2"/>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1)"/>
      <w:numFmt w:val="decimal"/>
      <w:start w:val="1"/>
    </w:lvl>
  </w:abstractNum>
  <w:abstractNum w:abstractNumId="85">
    <w:nsid w:val="7F01579B"/>
    <w:multiLevelType w:val="hybridMultilevel"/>
    <w:lvl w:ilvl="0">
      <w:lvlJc w:val="left"/>
      <w:lvlText w:val="%1."/>
      <w:numFmt w:val="decimal"/>
      <w:start w:val="3"/>
    </w:lvl>
  </w:abstractNum>
  <w:abstractNum w:abstractNumId="86">
    <w:nsid w:val="49DA307D"/>
    <w:multiLevelType w:val="hybridMultilevel"/>
    <w:lvl w:ilvl="0">
      <w:lvlJc w:val="left"/>
      <w:lvlText w:val="%1."/>
      <w:numFmt w:val="decimal"/>
      <w:start w:val="4"/>
    </w:lvl>
  </w:abstractNum>
  <w:abstractNum w:abstractNumId="87">
    <w:nsid w:val="7055A5F5"/>
    <w:multiLevelType w:val="hybridMultilevel"/>
    <w:lvl w:ilvl="0">
      <w:lvlJc w:val="left"/>
      <w:lvlText w:val="%1."/>
      <w:numFmt w:val="decimal"/>
      <w:start w:val="5"/>
    </w:lvl>
  </w:abstractNum>
  <w:abstractNum w:abstractNumId="88">
    <w:nsid w:val="5FB8370B"/>
    <w:multiLevelType w:val="hybridMultilevel"/>
    <w:lvl w:ilvl="0">
      <w:lvlJc w:val="left"/>
      <w:lvlText w:val="%1."/>
      <w:numFmt w:val="decimal"/>
      <w:start w:val="6"/>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1."/>
      <w:numFmt w:val="decimal"/>
      <w:start w:val="7"/>
    </w:lvl>
  </w:abstractNum>
  <w:abstractNum w:abstractNumId="92">
    <w:nsid w:val="6AA78F7F"/>
    <w:multiLevelType w:val="hybridMultilevel"/>
    <w:lvl w:ilvl="0">
      <w:lvlJc w:val="left"/>
      <w:lvlText w:val="(%1)"/>
      <w:numFmt w:val="decimal"/>
      <w:start w:val="1"/>
    </w:lvl>
  </w:abstractNum>
  <w:abstractNum w:abstractNumId="93">
    <w:nsid w:val="7672BD23"/>
    <w:multiLevelType w:val="hybridMultilevel"/>
    <w:lvl w:ilvl="0">
      <w:lvlJc w:val="left"/>
      <w:lvlText w:val="(%1)"/>
      <w:numFmt w:val="decimal"/>
      <w:start w:val="1"/>
    </w:lvl>
  </w:abstractNum>
  <w:abstractNum w:abstractNumId="94">
    <w:nsid w:val="6FC75AF8"/>
    <w:multiLevelType w:val="hybridMultilevel"/>
    <w:lvl w:ilvl="0">
      <w:lvlJc w:val="left"/>
      <w:lvlText w:val="%1."/>
      <w:numFmt w:val="decimal"/>
      <w:start w:val="8"/>
    </w:lvl>
  </w:abstractNum>
  <w:abstractNum w:abstractNumId="95">
    <w:nsid w:val="6A5F7029"/>
    <w:multiLevelType w:val="hybridMultilevel"/>
    <w:lvl w:ilvl="0">
      <w:lvlJc w:val="left"/>
      <w:lvlText w:val="%1."/>
      <w:numFmt w:val="decimal"/>
      <w:start w:val="9"/>
    </w:lvl>
  </w:abstractNum>
  <w:abstractNum w:abstractNumId="96">
    <w:nsid w:val="7D5E18F8"/>
    <w:multiLevelType w:val="hybridMultilevel"/>
    <w:lvl w:ilvl="0">
      <w:lvlJc w:val="left"/>
      <w:lvlText w:val="¹"/>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2">
    <w:nsid w:val="14FCE74E"/>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103">
    <w:nsid w:val="6A3DD3E8"/>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10" Type="http://schemas.openxmlformats.org/officeDocument/2006/relationships/image" Target="media/image401.png"/><Relationship Id="rId413" Type="http://schemas.openxmlformats.org/officeDocument/2006/relationships/image" Target="media/image402.png"/><Relationship Id="rId416" Type="http://schemas.openxmlformats.org/officeDocument/2006/relationships/image" Target="media/image403.png"/><Relationship Id="rId418" Type="http://schemas.openxmlformats.org/officeDocument/2006/relationships/image" Target="media/image404.png"/><Relationship Id="rId442" Type="http://schemas.openxmlformats.org/officeDocument/2006/relationships/image" Target="media/image405.png"/><Relationship Id="rId443" Type="http://schemas.openxmlformats.org/officeDocument/2006/relationships/image" Target="media/image406.png"/><Relationship Id="rId444" Type="http://schemas.openxmlformats.org/officeDocument/2006/relationships/image" Target="media/image407.png"/><Relationship Id="rId445" Type="http://schemas.openxmlformats.org/officeDocument/2006/relationships/image" Target="media/image408.png"/><Relationship Id="rId446" Type="http://schemas.openxmlformats.org/officeDocument/2006/relationships/image" Target="media/image409.png"/><Relationship Id="rId447" Type="http://schemas.openxmlformats.org/officeDocument/2006/relationships/image" Target="media/image410.png"/><Relationship Id="rId448" Type="http://schemas.openxmlformats.org/officeDocument/2006/relationships/image" Target="media/image411.png"/><Relationship Id="rId449" Type="http://schemas.openxmlformats.org/officeDocument/2006/relationships/image" Target="media/image412.png"/><Relationship Id="rId450" Type="http://schemas.openxmlformats.org/officeDocument/2006/relationships/image" Target="media/image413.png"/><Relationship Id="rId451" Type="http://schemas.openxmlformats.org/officeDocument/2006/relationships/image" Target="media/image414.png"/><Relationship Id="rId452" Type="http://schemas.openxmlformats.org/officeDocument/2006/relationships/image" Target="media/image415.png"/><Relationship Id="rId453" Type="http://schemas.openxmlformats.org/officeDocument/2006/relationships/image" Target="media/image416.png"/><Relationship Id="rId454" Type="http://schemas.openxmlformats.org/officeDocument/2006/relationships/image" Target="media/image417.png"/><Relationship Id="rId455" Type="http://schemas.openxmlformats.org/officeDocument/2006/relationships/image" Target="media/image418.png"/><Relationship Id="rId456" Type="http://schemas.openxmlformats.org/officeDocument/2006/relationships/image" Target="media/image419.png"/><Relationship Id="rId457" Type="http://schemas.openxmlformats.org/officeDocument/2006/relationships/image" Target="media/image420.png"/><Relationship Id="rId458" Type="http://schemas.openxmlformats.org/officeDocument/2006/relationships/image" Target="media/image421.png"/><Relationship Id="rId459" Type="http://schemas.openxmlformats.org/officeDocument/2006/relationships/image" Target="media/image422.png"/><Relationship Id="rId460" Type="http://schemas.openxmlformats.org/officeDocument/2006/relationships/image" Target="media/image423.png"/><Relationship Id="rId461" Type="http://schemas.openxmlformats.org/officeDocument/2006/relationships/image" Target="media/image424.png"/><Relationship Id="rId408" Type="http://schemas.openxmlformats.org/officeDocument/2006/relationships/hyperlink" Target="https://www.sec.gov/Archives/edgar/data/1779474/000095010320024045/dp142700_ex0201.htm" TargetMode="External"/><Relationship Id="rId409" Type="http://schemas.openxmlformats.org/officeDocument/2006/relationships/hyperlink" Target="https://www.sec.gov/Archives/edgar/data/1779474/000114036121021785/brhc10025756_ex3-1.htm" TargetMode="External"/><Relationship Id="rId411" Type="http://schemas.openxmlformats.org/officeDocument/2006/relationships/hyperlink" Target="https://www.sec.gov/Archives/edgar/data/1779474/000114036121021785/brhc10025756_ex3-2.htm" TargetMode="External"/><Relationship Id="rId412" Type="http://schemas.openxmlformats.org/officeDocument/2006/relationships/hyperlink" Target="https://www.sec.gov/Archives/edgar/data/1779474/000114036121021785/brhc10025756_ex4-1.htm" TargetMode="External"/><Relationship Id="rId414" Type="http://schemas.openxmlformats.org/officeDocument/2006/relationships/hyperlink" Target="https://www.sec.gov/Archives/edgar/data/1779474/000114036121021785/brhc10025756_ex4-2.htm" TargetMode="External"/><Relationship Id="rId415" Type="http://schemas.openxmlformats.org/officeDocument/2006/relationships/hyperlink" Target="https://www.sec.gov/Archives/edgar/data/1779474/000095010319010751/dp111173_ex0401.htm" TargetMode="External"/><Relationship Id="rId417" Type="http://schemas.openxmlformats.org/officeDocument/2006/relationships/hyperlink" Target="https://www.sec.gov/Archives/edgar/data/1779474/000177947422000010/exhibit45descriptionofsecu.htm" TargetMode="External"/><Relationship Id="rId419" Type="http://schemas.openxmlformats.org/officeDocument/2006/relationships/hyperlink" Target="https://www.sec.gov/Archives/edgar/data/1779474/000114036121040114/brhc10031383_ex5-1.htm" TargetMode="External"/><Relationship Id="rId420" Type="http://schemas.openxmlformats.org/officeDocument/2006/relationships/hyperlink" Target="https://www.sec.gov/Archives/edgar/data/1779474/000114036121021785/brhc10025756_ex10-1.htm" TargetMode="External"/><Relationship Id="rId421" Type="http://schemas.openxmlformats.org/officeDocument/2006/relationships/hyperlink" Target="https://www.sec.gov/Archives/edgar/data/1779474/000177947422000010/exhibit101non-employeedire.htm" TargetMode="External"/><Relationship Id="rId422" Type="http://schemas.openxmlformats.org/officeDocument/2006/relationships/hyperlink" Target="https://www.sec.gov/Archives/edgar/data/1779474/000114036121021785/brhc10025756_ex10-2.htm" TargetMode="External"/><Relationship Id="rId423" Type="http://schemas.openxmlformats.org/officeDocument/2006/relationships/hyperlink" Target="https://www.sec.gov/Archives/edgar/data/1779474/000114036121021785/brhc10025756_ex10-3.htm" TargetMode="External"/><Relationship Id="rId424" Type="http://schemas.openxmlformats.org/officeDocument/2006/relationships/hyperlink" Target="https://www.sec.gov/Archives/edgar/data/1779474/000095010320024045/dp142700_ex1001.htm" TargetMode="External"/><Relationship Id="rId425" Type="http://schemas.openxmlformats.org/officeDocument/2006/relationships/hyperlink" Target="https://www.sec.gov/Archives/edgar/data/1779474/000114036121021785/brhc10025756_ex10-5.htm" TargetMode="External"/><Relationship Id="rId426" Type="http://schemas.openxmlformats.org/officeDocument/2006/relationships/hyperlink" Target="https://www.sec.gov/Archives/edgar/data/1779474/000114036121021785/brhc10025756_ex10-6.htm" TargetMode="External"/><Relationship Id="rId427" Type="http://schemas.openxmlformats.org/officeDocument/2006/relationships/hyperlink" Target="https://www.sec.gov/Archives/edgar/data/1779474/000114036121021785/brhc10025756_ex10-7.htm" TargetMode="External"/><Relationship Id="rId428" Type="http://schemas.openxmlformats.org/officeDocument/2006/relationships/hyperlink" Target="https://www.sec.gov/Archives/edgar/data/1779474/000114036121021785/brhc10025756_ex10-7a.htm" TargetMode="External"/><Relationship Id="rId429" Type="http://schemas.openxmlformats.org/officeDocument/2006/relationships/hyperlink" Target="https://www.sec.gov/Archives/edgar/data/1779474/000114036121021785/brhc10025756_ex10-7b.htm" TargetMode="External"/><Relationship Id="rId430" Type="http://schemas.openxmlformats.org/officeDocument/2006/relationships/hyperlink" Target="https://www.sec.gov/Archives/edgar/data/1779474/000114036121021785/brhc10025756_ex10-8.htm" TargetMode="External"/><Relationship Id="rId431" Type="http://schemas.openxmlformats.org/officeDocument/2006/relationships/hyperlink" Target="https://www.sec.gov/Archives/edgar/data/1779474/000114036121021785/brhc10025756_ex10-9.htm" TargetMode="External"/><Relationship Id="rId432" Type="http://schemas.openxmlformats.org/officeDocument/2006/relationships/hyperlink" Target="https://www.sec.gov/Archives/edgar/data/1779474/000114036121021785/brhc10025756_ex10-10.htm" TargetMode="External"/><Relationship Id="rId433" Type="http://schemas.openxmlformats.org/officeDocument/2006/relationships/hyperlink" Target="https://www.sec.gov/Archives/edgar/data/1779474/000114036121021785/brhc10025756_ex10-11.htm" TargetMode="External"/><Relationship Id="rId434" Type="http://schemas.openxmlformats.org/officeDocument/2006/relationships/hyperlink" Target="https://www.sec.gov/Archives/edgar/data/1779474/000114036121021785/brhc10025756_ex10-12.htm" TargetMode="External"/><Relationship Id="rId435" Type="http://schemas.openxmlformats.org/officeDocument/2006/relationships/hyperlink" Target="https://www.sec.gov/Archives/edgar/data/1779474/000114036121021785/brhc10025756_ex10-13.htm" TargetMode="External"/><Relationship Id="rId436" Type="http://schemas.openxmlformats.org/officeDocument/2006/relationships/hyperlink" Target="https://www.sec.gov/Archives/edgar/data/1779474/000114036121021785/brhc10025756_ex10-14.htm" TargetMode="External"/><Relationship Id="rId437" Type="http://schemas.openxmlformats.org/officeDocument/2006/relationships/hyperlink" Target="https://www.sec.gov/Archives/edgar/data/1779474/000114036121021785/brhc10025756_ex10-15.htm" TargetMode="External"/><Relationship Id="rId438" Type="http://schemas.openxmlformats.org/officeDocument/2006/relationships/hyperlink" Target="https://www.sec.gov/Archives/edgar/data/1779474/000114036121021785/brhc10025756_ex10-16.htm" TargetMode="External"/><Relationship Id="rId439" Type="http://schemas.openxmlformats.org/officeDocument/2006/relationships/hyperlink" Target="https://www.sec.gov/Archives/edgar/data/1779474/000114036121021785/brhc10025756_ex10-17.htm" TargetMode="External"/><Relationship Id="rId440" Type="http://schemas.openxmlformats.org/officeDocument/2006/relationships/hyperlink" Target="https://www.sec.gov/Archives/edgar/data/1779474/000177947421000027/exhibit101.htm" TargetMode="External"/><Relationship Id="rId441" Type="http://schemas.openxmlformats.org/officeDocument/2006/relationships/hyperlink" Target="https://www.sec.gov/Archives/edgar/data/1779474/000177947422000010/exhibit211listofsubsidiari.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2022-03-07T05:15:02Z</dcterms:created>
  <dcterms:modified xsi:type="dcterms:W3CDTF">2022-03-07T05:15:02Z</dcterms:modified>
</cp:coreProperties>
</file>