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3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1)*</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WM Technology,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92971A109</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Scott Gordon</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Silver Spike Holdings, LP</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660 Madison Avenue, Floor 17</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New York 10016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(646) 699-3740</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August 16, 2021</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162" w:lineRule="exact"/>
        <w:rPr>
          <w:sz w:val="24"/>
          <w:szCs w:val="24"/>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29"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92971A109</w:t>
            </w:r>
          </w:p>
        </w:tc>
        <w:tc>
          <w:tcPr>
            <w:tcW w:w="3700" w:type="dxa"/>
            <w:vAlign w:val="bottom"/>
            <w:tcBorders>
              <w:top w:val="single" w:sz="8" w:color="BFBFBF"/>
              <w:bottom w:val="single" w:sz="8" w:color="BFBFBF"/>
              <w:right w:val="single" w:sz="8" w:color="BFBFB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BFBFBF"/>
              <w:bottom w:val="single" w:sz="8" w:color="BFBFBF"/>
              <w:right w:val="single" w:sz="8" w:color="BFBFBF"/>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 xml:space="preserve">Page </w:t>
            </w:r>
            <w:r>
              <w:rPr>
                <w:rFonts w:ascii="Times New Roman" w:cs="Times New Roman" w:eastAsia="Times New Roman" w:hAnsi="Times New Roman"/>
                <w:sz w:val="18"/>
                <w:szCs w:val="18"/>
                <w:color w:val="auto"/>
                <w:w w:val="95"/>
              </w:rPr>
              <w:t>2</w:t>
            </w:r>
            <w:r>
              <w:rPr>
                <w:rFonts w:ascii="Times New Roman" w:cs="Times New Roman" w:eastAsia="Times New Roman" w:hAnsi="Times New Roman"/>
                <w:sz w:val="18"/>
                <w:szCs w:val="18"/>
                <w:b w:val="1"/>
                <w:bCs w:val="1"/>
                <w:color w:val="auto"/>
                <w:w w:val="95"/>
              </w:rPr>
              <w:t xml:space="preserve"> of </w:t>
            </w:r>
            <w:r>
              <w:rPr>
                <w:rFonts w:ascii="Times New Roman" w:cs="Times New Roman" w:eastAsia="Times New Roman" w:hAnsi="Times New Roman"/>
                <w:sz w:val="18"/>
                <w:szCs w:val="18"/>
                <w:color w:val="auto"/>
                <w:w w:val="95"/>
              </w:rPr>
              <w:t>7</w:t>
            </w:r>
          </w:p>
        </w:tc>
      </w:tr>
    </w:tbl>
    <w:p>
      <w:pPr>
        <w:spacing w:after="0" w:line="200" w:lineRule="exact"/>
        <w:rPr>
          <w:sz w:val="20"/>
          <w:szCs w:val="20"/>
          <w:color w:val="auto"/>
        </w:rPr>
      </w:pP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5751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51830"/>
                    </a:xfrm>
                    <a:prstGeom prst="rect">
                      <a:avLst/>
                    </a:prstGeom>
                    <a:noFill/>
                  </pic:spPr>
                </pic:pic>
              </a:graphicData>
            </a:graphic>
          </wp:anchor>
        </w:drawing>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1</w:t>
      </w:r>
    </w:p>
    <w:p>
      <w:pPr>
        <w:ind w:left="580"/>
        <w:spacing w:after="0"/>
        <w:rPr>
          <w:sz w:val="20"/>
          <w:szCs w:val="20"/>
          <w:color w:val="auto"/>
        </w:rPr>
      </w:pPr>
      <w:r>
        <w:rPr>
          <w:rFonts w:ascii="Times New Roman" w:cs="Times New Roman" w:eastAsia="Times New Roman" w:hAnsi="Times New Roman"/>
          <w:sz w:val="18"/>
          <w:szCs w:val="18"/>
          <w:color w:val="auto"/>
        </w:rPr>
        <w:t>Silver Spike Holdings, LP</w:t>
      </w:r>
    </w:p>
    <w:p>
      <w:pPr>
        <w:ind w:left="580"/>
        <w:spacing w:after="0" w:line="233" w:lineRule="auto"/>
        <w:rPr>
          <w:sz w:val="20"/>
          <w:szCs w:val="20"/>
          <w:color w:val="auto"/>
        </w:rPr>
      </w:pPr>
      <w:r>
        <w:rPr>
          <w:rFonts w:ascii="Times New Roman" w:cs="Times New Roman" w:eastAsia="Times New Roman" w:hAnsi="Times New Roman"/>
          <w:sz w:val="18"/>
          <w:szCs w:val="18"/>
          <w:color w:val="auto"/>
        </w:rPr>
        <w:t>CHECK THE APPROPRIATE BOX IF A MEMBER OF A GROUP</w:t>
      </w:r>
    </w:p>
    <w:p>
      <w:pPr>
        <w:ind w:left="240"/>
        <w:spacing w:after="0" w:line="206" w:lineRule="auto"/>
        <w:rPr>
          <w:sz w:val="20"/>
          <w:szCs w:val="20"/>
          <w:color w:val="auto"/>
        </w:rPr>
      </w:pPr>
      <w:r>
        <w:rPr>
          <w:rFonts w:ascii="Times New Roman" w:cs="Times New Roman" w:eastAsia="Times New Roman" w:hAnsi="Times New Roman"/>
          <w:sz w:val="25"/>
          <w:szCs w:val="25"/>
          <w:b w:val="1"/>
          <w:bCs w:val="1"/>
          <w:color w:val="auto"/>
        </w:rPr>
        <w:t>2</w:t>
      </w: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o</w:t>
      </w:r>
    </w:p>
    <w:p>
      <w:pPr>
        <w:ind w:left="580" w:hanging="345"/>
        <w:spacing w:after="0" w:line="181" w:lineRule="auto"/>
        <w:tabs>
          <w:tab w:leader="none" w:pos="580" w:val="left"/>
        </w:tabs>
        <w:numPr>
          <w:ilvl w:val="0"/>
          <w:numId w:val="1"/>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color w:val="auto"/>
        </w:rPr>
        <w:t>SEC USE ONLY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SOURCE OF FUNDS</w:t>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4</w:t>
      </w:r>
    </w:p>
    <w:p>
      <w:pPr>
        <w:ind w:left="580"/>
        <w:spacing w:after="0"/>
        <w:rPr>
          <w:sz w:val="20"/>
          <w:szCs w:val="20"/>
          <w:color w:val="auto"/>
        </w:rPr>
      </w:pPr>
      <w:r>
        <w:rPr>
          <w:rFonts w:ascii="Times New Roman" w:cs="Times New Roman" w:eastAsia="Times New Roman" w:hAnsi="Times New Roman"/>
          <w:sz w:val="18"/>
          <w:szCs w:val="18"/>
          <w:color w:val="auto"/>
        </w:rPr>
        <w:t>OO (raised capital)</w:t>
      </w:r>
    </w:p>
    <w:p>
      <w:pPr>
        <w:ind w:left="580"/>
        <w:spacing w:after="0" w:line="233" w:lineRule="auto"/>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ind w:right="1363"/>
              <w:spacing w:after="0" w:line="233" w:lineRule="exact"/>
              <w:rPr>
                <w:sz w:val="20"/>
                <w:szCs w:val="20"/>
                <w:color w:val="auto"/>
              </w:rPr>
            </w:pPr>
            <w:r>
              <w:rPr>
                <w:rFonts w:ascii="Times New Roman" w:cs="Times New Roman" w:eastAsia="Times New Roman" w:hAnsi="Times New Roman"/>
                <w:sz w:val="25"/>
                <w:szCs w:val="25"/>
                <w:b w:val="1"/>
                <w:bCs w:val="1"/>
                <w:color w:val="auto"/>
              </w:rPr>
              <w:t>5</w:t>
            </w:r>
          </w:p>
        </w:tc>
        <w:tc>
          <w:tcPr>
            <w:tcW w:w="9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w:t>
            </w: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240" w:type="dxa"/>
            <w:vAlign w:val="bottom"/>
            <w:gridSpan w:val="2"/>
          </w:tcPr>
          <w:p>
            <w:pPr>
              <w:ind w:left="580"/>
              <w:spacing w:after="0" w:line="156"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52"/>
        </w:trPr>
        <w:tc>
          <w:tcPr>
            <w:tcW w:w="1820" w:type="dxa"/>
            <w:vAlign w:val="bottom"/>
          </w:tcPr>
          <w:p>
            <w:pPr>
              <w:jc w:val="right"/>
              <w:ind w:right="1363"/>
              <w:spacing w:after="0" w:line="252" w:lineRule="exact"/>
              <w:rPr>
                <w:sz w:val="20"/>
                <w:szCs w:val="20"/>
                <w:color w:val="auto"/>
              </w:rPr>
            </w:pPr>
            <w:r>
              <w:rPr>
                <w:rFonts w:ascii="Times New Roman" w:cs="Times New Roman" w:eastAsia="Times New Roman" w:hAnsi="Times New Roman"/>
                <w:sz w:val="25"/>
                <w:szCs w:val="25"/>
                <w:b w:val="1"/>
                <w:bCs w:val="1"/>
                <w:color w:val="auto"/>
              </w:rPr>
              <w:t>6</w:t>
            </w:r>
          </w:p>
        </w:tc>
        <w:tc>
          <w:tcPr>
            <w:tcW w:w="9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9420" w:type="dxa"/>
            <w:vAlign w:val="bottom"/>
          </w:tcPr>
          <w:p>
            <w:pPr>
              <w:ind w:left="560"/>
              <w:spacing w:after="0" w:line="15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1820" w:type="dxa"/>
            <w:vAlign w:val="bottom"/>
          </w:tcPr>
          <w:p>
            <w:pPr>
              <w:spacing w:after="0"/>
              <w:rPr>
                <w:sz w:val="21"/>
                <w:szCs w:val="21"/>
                <w:color w:val="auto"/>
              </w:rPr>
            </w:pPr>
          </w:p>
        </w:tc>
        <w:tc>
          <w:tcPr>
            <w:tcW w:w="9420" w:type="dxa"/>
            <w:vAlign w:val="bottom"/>
          </w:tcPr>
          <w:p>
            <w:pPr>
              <w:jc w:val="center"/>
              <w:ind w:right="8760"/>
              <w:spacing w:after="0" w:line="252" w:lineRule="exact"/>
              <w:rPr>
                <w:sz w:val="20"/>
                <w:szCs w:val="20"/>
                <w:color w:val="auto"/>
              </w:rPr>
            </w:pPr>
            <w:r>
              <w:rPr>
                <w:rFonts w:ascii="Times New Roman" w:cs="Times New Roman" w:eastAsia="Times New Roman" w:hAnsi="Times New Roman"/>
                <w:sz w:val="25"/>
                <w:szCs w:val="25"/>
                <w:b w:val="1"/>
                <w:bCs w:val="1"/>
                <w:color w:val="auto"/>
                <w:w w:val="95"/>
              </w:rPr>
              <w:t>7</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9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6,250,000(1)</w:t>
            </w:r>
          </w:p>
        </w:tc>
        <w:tc>
          <w:tcPr>
            <w:tcW w:w="0" w:type="dxa"/>
            <w:vAlign w:val="bottom"/>
          </w:tcPr>
          <w:p>
            <w:pPr>
              <w:spacing w:after="0"/>
              <w:rPr>
                <w:sz w:val="1"/>
                <w:szCs w:val="1"/>
                <w:color w:val="auto"/>
              </w:rPr>
            </w:pPr>
          </w:p>
        </w:tc>
      </w:tr>
      <w:tr>
        <w:trPr>
          <w:trHeight w:val="156"/>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9420" w:type="dxa"/>
            <w:vAlign w:val="bottom"/>
          </w:tcPr>
          <w:p>
            <w:pPr>
              <w:ind w:left="560"/>
              <w:spacing w:after="0" w:line="156"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4"/>
        </w:trPr>
        <w:tc>
          <w:tcPr>
            <w:tcW w:w="1820" w:type="dxa"/>
            <w:vAlign w:val="bottom"/>
            <w:vMerge w:val="continue"/>
          </w:tcPr>
          <w:p>
            <w:pPr>
              <w:spacing w:after="0"/>
              <w:rPr>
                <w:sz w:val="14"/>
                <w:szCs w:val="14"/>
                <w:color w:val="auto"/>
              </w:rPr>
            </w:pPr>
          </w:p>
        </w:tc>
        <w:tc>
          <w:tcPr>
            <w:tcW w:w="9420" w:type="dxa"/>
            <w:vAlign w:val="bottom"/>
          </w:tcPr>
          <w:p>
            <w:pPr>
              <w:jc w:val="center"/>
              <w:ind w:right="8760"/>
              <w:spacing w:after="0" w:line="164" w:lineRule="exact"/>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196"/>
        </w:trPr>
        <w:tc>
          <w:tcPr>
            <w:tcW w:w="1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BENEFICIALLY</w:t>
            </w:r>
          </w:p>
        </w:tc>
        <w:tc>
          <w:tcPr>
            <w:tcW w:w="94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31"/>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 EACH</w:t>
            </w: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20" w:type="dxa"/>
            <w:vAlign w:val="bottom"/>
            <w:vMerge w:val="continue"/>
          </w:tcPr>
          <w:p>
            <w:pPr>
              <w:spacing w:after="0"/>
              <w:rPr>
                <w:sz w:val="6"/>
                <w:szCs w:val="6"/>
                <w:color w:val="auto"/>
              </w:rPr>
            </w:pPr>
          </w:p>
        </w:tc>
        <w:tc>
          <w:tcPr>
            <w:tcW w:w="9420" w:type="dxa"/>
            <w:vAlign w:val="bottom"/>
            <w:vMerge w:val="restart"/>
          </w:tcPr>
          <w:p>
            <w:pPr>
              <w:ind w:left="560"/>
              <w:spacing w:after="0" w:line="156"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820" w:type="dxa"/>
            <w:vAlign w:val="bottom"/>
            <w:vMerge w:val="continue"/>
          </w:tcPr>
          <w:p>
            <w:pPr>
              <w:spacing w:after="0"/>
              <w:rPr>
                <w:sz w:val="11"/>
                <w:szCs w:val="11"/>
                <w:color w:val="auto"/>
              </w:rPr>
            </w:pPr>
          </w:p>
        </w:tc>
        <w:tc>
          <w:tcPr>
            <w:tcW w:w="9420" w:type="dxa"/>
            <w:vAlign w:val="bottom"/>
            <w:vMerge w:val="restart"/>
          </w:tcPr>
          <w:p>
            <w:pPr>
              <w:jc w:val="center"/>
              <w:ind w:right="8760"/>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0" w:type="dxa"/>
            <w:vAlign w:val="bottom"/>
          </w:tcPr>
          <w:p>
            <w:pPr>
              <w:spacing w:after="0"/>
              <w:rPr>
                <w:sz w:val="1"/>
                <w:szCs w:val="1"/>
                <w:color w:val="auto"/>
              </w:rPr>
            </w:pPr>
          </w:p>
        </w:tc>
      </w:tr>
      <w:tr>
        <w:trPr>
          <w:trHeight w:val="180"/>
        </w:trPr>
        <w:tc>
          <w:tcPr>
            <w:tcW w:w="18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WITH</w:t>
            </w: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9420" w:type="dxa"/>
            <w:vAlign w:val="bottom"/>
            <w:tcBorders>
              <w:bottom w:val="single" w:sz="8" w:color="auto"/>
            </w:tcBorders>
          </w:tcPr>
          <w:p>
            <w:pPr>
              <w:ind w:left="560"/>
              <w:spacing w:after="0" w:line="176" w:lineRule="exact"/>
              <w:rPr>
                <w:sz w:val="20"/>
                <w:szCs w:val="20"/>
                <w:color w:val="auto"/>
              </w:rPr>
            </w:pPr>
            <w:r>
              <w:rPr>
                <w:rFonts w:ascii="Times New Roman" w:cs="Times New Roman" w:eastAsia="Times New Roman" w:hAnsi="Times New Roman"/>
                <w:sz w:val="18"/>
                <w:szCs w:val="18"/>
                <w:color w:val="auto"/>
              </w:rPr>
              <w:t>6,250,000</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9420" w:type="dxa"/>
            <w:vAlign w:val="bottom"/>
          </w:tcPr>
          <w:p>
            <w:pPr>
              <w:ind w:left="560"/>
              <w:spacing w:after="0" w:line="156"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72"/>
        </w:trPr>
        <w:tc>
          <w:tcPr>
            <w:tcW w:w="1820" w:type="dxa"/>
            <w:vAlign w:val="bottom"/>
          </w:tcPr>
          <w:p>
            <w:pPr>
              <w:spacing w:after="0"/>
              <w:rPr>
                <w:sz w:val="23"/>
                <w:szCs w:val="23"/>
                <w:color w:val="auto"/>
              </w:rPr>
            </w:pPr>
          </w:p>
        </w:tc>
        <w:tc>
          <w:tcPr>
            <w:tcW w:w="9420" w:type="dxa"/>
            <w:vAlign w:val="bottom"/>
          </w:tcPr>
          <w:p>
            <w:pPr>
              <w:jc w:val="center"/>
              <w:ind w:right="8760"/>
              <w:spacing w:after="0" w:line="271" w:lineRule="exact"/>
              <w:rPr>
                <w:sz w:val="20"/>
                <w:szCs w:val="20"/>
                <w:color w:val="auto"/>
              </w:rPr>
            </w:pPr>
            <w:r>
              <w:rPr>
                <w:rFonts w:ascii="Times New Roman" w:cs="Times New Roman" w:eastAsia="Times New Roman" w:hAnsi="Times New Roman"/>
                <w:sz w:val="25"/>
                <w:szCs w:val="25"/>
                <w:b w:val="1"/>
                <w:bCs w:val="1"/>
                <w:color w:val="auto"/>
                <w:w w:val="95"/>
              </w:rPr>
              <w:t>10</w:t>
            </w:r>
          </w:p>
        </w:tc>
        <w:tc>
          <w:tcPr>
            <w:tcW w:w="0" w:type="dxa"/>
            <w:vAlign w:val="bottom"/>
          </w:tcPr>
          <w:p>
            <w:pPr>
              <w:spacing w:after="0"/>
              <w:rPr>
                <w:sz w:val="1"/>
                <w:szCs w:val="1"/>
                <w:color w:val="auto"/>
              </w:rPr>
            </w:pPr>
          </w:p>
        </w:tc>
      </w:tr>
    </w:tbl>
    <w:p>
      <w:pPr>
        <w:ind w:left="2380"/>
        <w:spacing w:after="0"/>
        <w:rPr>
          <w:sz w:val="20"/>
          <w:szCs w:val="20"/>
          <w:color w:val="auto"/>
        </w:rPr>
      </w:pPr>
      <w:r>
        <w:rPr>
          <w:rFonts w:ascii="Times New Roman" w:cs="Times New Roman" w:eastAsia="Times New Roman" w:hAnsi="Times New Roman"/>
          <w:sz w:val="18"/>
          <w:szCs w:val="18"/>
          <w:color w:val="auto"/>
        </w:rPr>
        <w:t>0</w:t>
      </w:r>
    </w:p>
    <w:p>
      <w:pPr>
        <w:ind w:left="580"/>
        <w:spacing w:after="0" w:line="233" w:lineRule="auto"/>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11</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6,250,000</w:t>
      </w:r>
    </w:p>
    <w:p>
      <w:pPr>
        <w:ind w:left="580"/>
        <w:spacing w:after="0" w:line="233" w:lineRule="auto"/>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12</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w:t>
      </w:r>
    </w:p>
    <w:p>
      <w:pPr>
        <w:ind w:left="580"/>
        <w:spacing w:after="0" w:line="233" w:lineRule="auto"/>
        <w:rPr>
          <w:sz w:val="20"/>
          <w:szCs w:val="20"/>
          <w:color w:val="auto"/>
        </w:rPr>
      </w:pPr>
      <w:r>
        <w:rPr>
          <w:rFonts w:ascii="Times New Roman" w:cs="Times New Roman" w:eastAsia="Times New Roman" w:hAnsi="Times New Roman"/>
          <w:sz w:val="18"/>
          <w:szCs w:val="18"/>
          <w:color w:val="auto"/>
        </w:rPr>
        <w:t>PERCENT OF CLASS REPRESENTED BY AMOUNT IN ROW (11)</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13</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4.6% (2)</w:t>
      </w:r>
    </w:p>
    <w:p>
      <w:pPr>
        <w:ind w:left="580"/>
        <w:spacing w:after="0" w:line="233" w:lineRule="auto"/>
        <w:rPr>
          <w:sz w:val="20"/>
          <w:szCs w:val="20"/>
          <w:color w:val="auto"/>
        </w:rPr>
      </w:pPr>
      <w:r>
        <w:rPr>
          <w:rFonts w:ascii="Times New Roman" w:cs="Times New Roman" w:eastAsia="Times New Roman" w:hAnsi="Times New Roman"/>
          <w:sz w:val="18"/>
          <w:szCs w:val="18"/>
          <w:color w:val="auto"/>
        </w:rPr>
        <w:t>TYPE OF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14</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(Individual)</w:t>
      </w:r>
    </w:p>
    <w:p>
      <w:pPr>
        <w:spacing w:after="0" w:line="219" w:lineRule="exact"/>
        <w:rPr>
          <w:sz w:val="20"/>
          <w:szCs w:val="20"/>
          <w:color w:val="auto"/>
        </w:rPr>
      </w:pPr>
    </w:p>
    <w:p>
      <w:pPr>
        <w:ind w:left="340" w:right="6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Holdings, LP directly controls Silver Spike Sponsor, LLC and may be deemed to beneficially own 6,250,000 shares of Class A common stock held by Silver Spike Sponsor, LLC, and ultimately exercises sole voting and dispositive power over such shares. Silver Spike Holdings, LP disclaims beneficial ownership of the shares of Class A common stock held by Silver Spike Sponsor, LLC except to the extent of its pecuniary interest therein.</w:t>
      </w:r>
    </w:p>
    <w:p>
      <w:pPr>
        <w:spacing w:after="0" w:line="179" w:lineRule="exact"/>
        <w:rPr>
          <w:rFonts w:ascii="Times New Roman" w:cs="Times New Roman" w:eastAsia="Times New Roman" w:hAnsi="Times New Roman"/>
          <w:sz w:val="18"/>
          <w:szCs w:val="18"/>
          <w:color w:val="auto"/>
        </w:rPr>
      </w:pPr>
    </w:p>
    <w:p>
      <w:pPr>
        <w:ind w:left="340" w:right="180" w:hanging="332"/>
        <w:spacing w:after="0" w:line="312"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beneficial ownership is based on 135,901,414 shares of Class A common stock and Class V common stock issued and outstanding as of February 18, 2022, as reported in the Issuer’s Form 10-K filed with the Securities and Exchange Commission on February 25, 2022.</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92971A109</w:t>
            </w:r>
          </w:p>
        </w:tc>
        <w:tc>
          <w:tcPr>
            <w:tcW w:w="3700" w:type="dxa"/>
            <w:vAlign w:val="bottom"/>
            <w:tcBorders>
              <w:top w:val="single" w:sz="8" w:color="BFBFBF"/>
              <w:bottom w:val="single" w:sz="8" w:color="BFBFBF"/>
              <w:right w:val="single" w:sz="8" w:color="BFBFB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BFBFBF"/>
              <w:bottom w:val="single" w:sz="8" w:color="BFBFBF"/>
              <w:right w:val="single" w:sz="8" w:color="BFBFBF"/>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 xml:space="preserve">Page </w:t>
            </w:r>
            <w:r>
              <w:rPr>
                <w:rFonts w:ascii="Times New Roman" w:cs="Times New Roman" w:eastAsia="Times New Roman" w:hAnsi="Times New Roman"/>
                <w:sz w:val="18"/>
                <w:szCs w:val="18"/>
                <w:color w:val="auto"/>
                <w:w w:val="95"/>
              </w:rPr>
              <w:t>3</w:t>
            </w:r>
            <w:r>
              <w:rPr>
                <w:rFonts w:ascii="Times New Roman" w:cs="Times New Roman" w:eastAsia="Times New Roman" w:hAnsi="Times New Roman"/>
                <w:sz w:val="18"/>
                <w:szCs w:val="18"/>
                <w:b w:val="1"/>
                <w:bCs w:val="1"/>
                <w:color w:val="auto"/>
                <w:w w:val="95"/>
              </w:rPr>
              <w:t xml:space="preserve"> of </w:t>
            </w:r>
            <w:r>
              <w:rPr>
                <w:rFonts w:ascii="Times New Roman" w:cs="Times New Roman" w:eastAsia="Times New Roman" w:hAnsi="Times New Roman"/>
                <w:sz w:val="18"/>
                <w:szCs w:val="18"/>
                <w:color w:val="auto"/>
                <w:w w:val="95"/>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6231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NAME OF REPORTING PERSON</w:t>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1</w:t>
      </w:r>
    </w:p>
    <w:p>
      <w:pPr>
        <w:ind w:left="620"/>
        <w:spacing w:after="0"/>
        <w:rPr>
          <w:sz w:val="20"/>
          <w:szCs w:val="20"/>
          <w:color w:val="auto"/>
        </w:rPr>
      </w:pPr>
      <w:r>
        <w:rPr>
          <w:rFonts w:ascii="Times New Roman" w:cs="Times New Roman" w:eastAsia="Times New Roman" w:hAnsi="Times New Roman"/>
          <w:sz w:val="18"/>
          <w:szCs w:val="18"/>
          <w:color w:val="auto"/>
        </w:rPr>
        <w:t>Silver Spike Sponsor, LLC</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ind w:left="240"/>
        <w:spacing w:after="0" w:line="205" w:lineRule="auto"/>
        <w:rPr>
          <w:sz w:val="20"/>
          <w:szCs w:val="20"/>
          <w:color w:val="auto"/>
        </w:rPr>
      </w:pPr>
      <w:r>
        <w:rPr>
          <w:rFonts w:ascii="Times New Roman" w:cs="Times New Roman" w:eastAsia="Times New Roman" w:hAnsi="Times New Roman"/>
          <w:sz w:val="25"/>
          <w:szCs w:val="25"/>
          <w:b w:val="1"/>
          <w:bCs w:val="1"/>
          <w:color w:val="auto"/>
        </w:rPr>
        <w:t>2</w:t>
      </w:r>
    </w:p>
    <w:p>
      <w:pPr>
        <w:spacing w:after="0" w:line="1" w:lineRule="exact"/>
        <w:rPr>
          <w:sz w:val="20"/>
          <w:szCs w:val="20"/>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o</w:t>
      </w:r>
    </w:p>
    <w:p>
      <w:pPr>
        <w:ind w:left="620" w:hanging="385"/>
        <w:spacing w:after="0" w:line="182" w:lineRule="auto"/>
        <w:tabs>
          <w:tab w:leader="none" w:pos="620" w:val="left"/>
        </w:tabs>
        <w:numPr>
          <w:ilvl w:val="0"/>
          <w:numId w:val="3"/>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5"/>
          <w:szCs w:val="15"/>
          <w:color w:val="auto"/>
        </w:rPr>
        <w:t>SEC USE ONLY</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SOURCE OF FUNDS</w:t>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4</w:t>
      </w:r>
    </w:p>
    <w:p>
      <w:pPr>
        <w:ind w:left="620"/>
        <w:spacing w:after="0"/>
        <w:rPr>
          <w:sz w:val="20"/>
          <w:szCs w:val="20"/>
          <w:color w:val="auto"/>
        </w:rPr>
      </w:pPr>
      <w:r>
        <w:rPr>
          <w:rFonts w:ascii="Times New Roman" w:cs="Times New Roman" w:eastAsia="Times New Roman" w:hAnsi="Times New Roman"/>
          <w:sz w:val="18"/>
          <w:szCs w:val="18"/>
          <w:color w:val="auto"/>
        </w:rPr>
        <w:t>OO (raised capital)</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33"/>
        </w:trPr>
        <w:tc>
          <w:tcPr>
            <w:tcW w:w="1840" w:type="dxa"/>
            <w:vAlign w:val="bottom"/>
          </w:tcPr>
          <w:p>
            <w:pPr>
              <w:jc w:val="right"/>
              <w:ind w:right="1383"/>
              <w:spacing w:after="0" w:line="233" w:lineRule="exact"/>
              <w:rPr>
                <w:sz w:val="20"/>
                <w:szCs w:val="20"/>
                <w:color w:val="auto"/>
              </w:rPr>
            </w:pPr>
            <w:r>
              <w:rPr>
                <w:rFonts w:ascii="Times New Roman" w:cs="Times New Roman" w:eastAsia="Times New Roman" w:hAnsi="Times New Roman"/>
                <w:sz w:val="25"/>
                <w:szCs w:val="25"/>
                <w:b w:val="1"/>
                <w:bCs w:val="1"/>
                <w:color w:val="auto"/>
              </w:rPr>
              <w:t>5</w:t>
            </w:r>
          </w:p>
        </w:tc>
        <w:tc>
          <w:tcPr>
            <w:tcW w:w="5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5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240" w:type="dxa"/>
            <w:vAlign w:val="bottom"/>
            <w:gridSpan w:val="3"/>
          </w:tcPr>
          <w:p>
            <w:pPr>
              <w:ind w:left="620"/>
              <w:spacing w:after="0" w:line="182"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52"/>
        </w:trPr>
        <w:tc>
          <w:tcPr>
            <w:tcW w:w="1840" w:type="dxa"/>
            <w:vAlign w:val="bottom"/>
          </w:tcPr>
          <w:p>
            <w:pPr>
              <w:jc w:val="right"/>
              <w:ind w:right="1383"/>
              <w:spacing w:after="0" w:line="252" w:lineRule="exact"/>
              <w:rPr>
                <w:sz w:val="20"/>
                <w:szCs w:val="20"/>
                <w:color w:val="auto"/>
              </w:rPr>
            </w:pPr>
            <w:r>
              <w:rPr>
                <w:rFonts w:ascii="Times New Roman" w:cs="Times New Roman" w:eastAsia="Times New Roman" w:hAnsi="Times New Roman"/>
                <w:sz w:val="25"/>
                <w:szCs w:val="25"/>
                <w:b w:val="1"/>
                <w:bCs w:val="1"/>
                <w:color w:val="auto"/>
              </w:rPr>
              <w:t>6</w:t>
            </w:r>
          </w:p>
        </w:tc>
        <w:tc>
          <w:tcPr>
            <w:tcW w:w="56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65"/>
        </w:trPr>
        <w:tc>
          <w:tcPr>
            <w:tcW w:w="18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vMerge w:val="continue"/>
          </w:tcPr>
          <w:p>
            <w:pPr>
              <w:spacing w:after="0"/>
              <w:rPr>
                <w:sz w:val="23"/>
                <w:szCs w:val="23"/>
                <w:color w:val="auto"/>
              </w:rPr>
            </w:pPr>
          </w:p>
        </w:tc>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6,250,000</w:t>
            </w:r>
          </w:p>
        </w:tc>
        <w:tc>
          <w:tcPr>
            <w:tcW w:w="0" w:type="dxa"/>
            <w:vAlign w:val="bottom"/>
          </w:tcPr>
          <w:p>
            <w:pPr>
              <w:spacing w:after="0"/>
              <w:rPr>
                <w:sz w:val="1"/>
                <w:szCs w:val="1"/>
                <w:color w:val="auto"/>
              </w:rPr>
            </w:pPr>
          </w:p>
        </w:tc>
      </w:tr>
      <w:tr>
        <w:trPr>
          <w:trHeight w:val="167"/>
        </w:trPr>
        <w:tc>
          <w:tcPr>
            <w:tcW w:w="18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8</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vMerge w:val="continue"/>
          </w:tcPr>
          <w:p>
            <w:pPr>
              <w:spacing w:after="0"/>
              <w:rPr>
                <w:sz w:val="18"/>
                <w:szCs w:val="18"/>
                <w:color w:val="auto"/>
              </w:rPr>
            </w:pPr>
          </w:p>
        </w:tc>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bottom w:val="single" w:sz="8" w:color="auto"/>
              <w:right w:val="single" w:sz="8" w:color="auto"/>
            </w:tcBorders>
          </w:tcPr>
          <w:p>
            <w:pPr>
              <w:spacing w:after="0"/>
              <w:rPr>
                <w:sz w:val="20"/>
                <w:szCs w:val="20"/>
                <w:color w:val="auto"/>
              </w:rPr>
            </w:pPr>
          </w:p>
        </w:tc>
        <w:tc>
          <w:tcPr>
            <w:tcW w:w="8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OWNED BY EACH</w:t>
            </w: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88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1"/>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560" w:type="dxa"/>
            <w:vAlign w:val="bottom"/>
            <w:tcBorders>
              <w:right w:val="single" w:sz="8" w:color="auto"/>
            </w:tcBorders>
            <w:vMerge w:val="continue"/>
          </w:tcPr>
          <w:p>
            <w:pPr>
              <w:spacing w:after="0"/>
              <w:rPr>
                <w:sz w:val="20"/>
                <w:szCs w:val="20"/>
                <w:color w:val="auto"/>
              </w:rPr>
            </w:pPr>
          </w:p>
        </w:tc>
        <w:tc>
          <w:tcPr>
            <w:tcW w:w="8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6,250,000</w:t>
            </w:r>
          </w:p>
        </w:tc>
        <w:tc>
          <w:tcPr>
            <w:tcW w:w="0" w:type="dxa"/>
            <w:vAlign w:val="bottom"/>
          </w:tcPr>
          <w:p>
            <w:pPr>
              <w:spacing w:after="0"/>
              <w:rPr>
                <w:sz w:val="1"/>
                <w:szCs w:val="1"/>
                <w:color w:val="auto"/>
              </w:rPr>
            </w:pPr>
          </w:p>
        </w:tc>
      </w:tr>
      <w:tr>
        <w:trPr>
          <w:trHeight w:val="27"/>
        </w:trPr>
        <w:tc>
          <w:tcPr>
            <w:tcW w:w="1840" w:type="dxa"/>
            <w:vAlign w:val="bottom"/>
            <w:tcBorders>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10</w:t>
            </w: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5"/>
        </w:trPr>
        <w:tc>
          <w:tcPr>
            <w:tcW w:w="1840" w:type="dxa"/>
            <w:vAlign w:val="bottom"/>
            <w:tcBorders>
              <w:right w:val="single" w:sz="8" w:color="auto"/>
            </w:tcBorders>
          </w:tcPr>
          <w:p>
            <w:pPr>
              <w:spacing w:after="0"/>
              <w:rPr>
                <w:sz w:val="23"/>
                <w:szCs w:val="23"/>
                <w:color w:val="auto"/>
              </w:rPr>
            </w:pPr>
          </w:p>
        </w:tc>
        <w:tc>
          <w:tcPr>
            <w:tcW w:w="560" w:type="dxa"/>
            <w:vAlign w:val="bottom"/>
            <w:tcBorders>
              <w:right w:val="single" w:sz="8" w:color="auto"/>
            </w:tcBorders>
            <w:vMerge w:val="continue"/>
          </w:tcPr>
          <w:p>
            <w:pPr>
              <w:spacing w:after="0"/>
              <w:rPr>
                <w:sz w:val="23"/>
                <w:szCs w:val="23"/>
                <w:color w:val="auto"/>
              </w:rPr>
            </w:pPr>
          </w:p>
        </w:tc>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8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11</w:t>
      </w:r>
    </w:p>
    <w:p>
      <w:pPr>
        <w:ind w:left="620"/>
        <w:spacing w:after="0"/>
        <w:rPr>
          <w:sz w:val="20"/>
          <w:szCs w:val="20"/>
          <w:color w:val="auto"/>
        </w:rPr>
      </w:pPr>
      <w:r>
        <w:rPr>
          <w:rFonts w:ascii="Times New Roman" w:cs="Times New Roman" w:eastAsia="Times New Roman" w:hAnsi="Times New Roman"/>
          <w:sz w:val="18"/>
          <w:szCs w:val="18"/>
          <w:color w:val="auto"/>
        </w:rPr>
        <w:t>6,250,000</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12</w:t>
      </w:r>
    </w:p>
    <w:p>
      <w:pPr>
        <w:ind w:left="620"/>
        <w:spacing w:after="0"/>
        <w:rPr>
          <w:sz w:val="20"/>
          <w:szCs w:val="20"/>
          <w:color w:val="auto"/>
        </w:rPr>
      </w:pPr>
      <w:r>
        <w:rPr>
          <w:rFonts w:ascii="Times New Roman" w:cs="Times New Roman" w:eastAsia="Times New Roman" w:hAnsi="Times New Roman"/>
          <w:sz w:val="18"/>
          <w:szCs w:val="18"/>
          <w:color w:val="auto"/>
        </w:rPr>
        <w:t>o</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13</w:t>
      </w:r>
    </w:p>
    <w:p>
      <w:pPr>
        <w:ind w:left="620"/>
        <w:spacing w:after="0"/>
        <w:rPr>
          <w:sz w:val="20"/>
          <w:szCs w:val="20"/>
          <w:color w:val="auto"/>
        </w:rPr>
      </w:pPr>
      <w:r>
        <w:rPr>
          <w:rFonts w:ascii="Times New Roman" w:cs="Times New Roman" w:eastAsia="Times New Roman" w:hAnsi="Times New Roman"/>
          <w:sz w:val="18"/>
          <w:szCs w:val="18"/>
          <w:color w:val="auto"/>
        </w:rPr>
        <w:t>4.6% (1)</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14</w:t>
      </w:r>
    </w:p>
    <w:p>
      <w:pPr>
        <w:ind w:left="920" w:hanging="305"/>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Liability Issuer)</w:t>
      </w:r>
    </w:p>
    <w:p>
      <w:pPr>
        <w:spacing w:after="0" w:line="299" w:lineRule="exact"/>
        <w:rPr>
          <w:rFonts w:ascii="Times New Roman" w:cs="Times New Roman" w:eastAsia="Times New Roman" w:hAnsi="Times New Roman"/>
          <w:sz w:val="18"/>
          <w:szCs w:val="18"/>
          <w:color w:val="auto"/>
        </w:rPr>
      </w:pPr>
    </w:p>
    <w:p>
      <w:pPr>
        <w:ind w:left="340" w:right="180" w:hanging="332"/>
        <w:spacing w:after="0" w:line="312"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beneficial ownership is based on 135,901,414 shares of Class A common stock and Class V common stock issued and outstanding as of February 18, 2022, as reported in the Issuer’s Form 10-K filed with the Securities and Exchange Commission on February 25, 2022.</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BFBFBF"/>
              <w:left w:val="single" w:sz="8" w:color="BFBFBF"/>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CUSIP No. 92971A109</w:t>
            </w:r>
          </w:p>
        </w:tc>
        <w:tc>
          <w:tcPr>
            <w:tcW w:w="3700" w:type="dxa"/>
            <w:vAlign w:val="bottom"/>
            <w:tcBorders>
              <w:top w:val="single" w:sz="8" w:color="BFBFBF"/>
              <w:bottom w:val="single" w:sz="8" w:color="BFBFBF"/>
              <w:right w:val="single" w:sz="8" w:color="BFBFB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700" w:type="dxa"/>
            <w:vAlign w:val="bottom"/>
            <w:tcBorders>
              <w:top w:val="single" w:sz="8" w:color="BFBFBF"/>
              <w:bottom w:val="single" w:sz="8" w:color="BFBFBF"/>
              <w:right w:val="single" w:sz="8" w:color="BFBFBF"/>
            </w:tcBorders>
          </w:tcPr>
          <w:p>
            <w:pPr>
              <w:ind w:left="2860"/>
              <w:spacing w:after="0"/>
              <w:rPr>
                <w:sz w:val="20"/>
                <w:szCs w:val="20"/>
                <w:color w:val="auto"/>
              </w:rPr>
            </w:pPr>
            <w:r>
              <w:rPr>
                <w:rFonts w:ascii="Times New Roman" w:cs="Times New Roman" w:eastAsia="Times New Roman" w:hAnsi="Times New Roman"/>
                <w:sz w:val="18"/>
                <w:szCs w:val="18"/>
                <w:b w:val="1"/>
                <w:bCs w:val="1"/>
                <w:color w:val="auto"/>
                <w:w w:val="95"/>
              </w:rPr>
              <w:t xml:space="preserve">Page </w:t>
            </w:r>
            <w:r>
              <w:rPr>
                <w:rFonts w:ascii="Times New Roman" w:cs="Times New Roman" w:eastAsia="Times New Roman" w:hAnsi="Times New Roman"/>
                <w:sz w:val="18"/>
                <w:szCs w:val="18"/>
                <w:color w:val="auto"/>
                <w:w w:val="95"/>
              </w:rPr>
              <w:t>4</w:t>
            </w:r>
            <w:r>
              <w:rPr>
                <w:rFonts w:ascii="Times New Roman" w:cs="Times New Roman" w:eastAsia="Times New Roman" w:hAnsi="Times New Roman"/>
                <w:sz w:val="18"/>
                <w:szCs w:val="18"/>
                <w:b w:val="1"/>
                <w:bCs w:val="1"/>
                <w:color w:val="auto"/>
                <w:w w:val="95"/>
              </w:rPr>
              <w:t xml:space="preserve"> of </w:t>
            </w:r>
            <w:r>
              <w:rPr>
                <w:rFonts w:ascii="Times New Roman" w:cs="Times New Roman" w:eastAsia="Times New Roman" w:hAnsi="Times New Roman"/>
                <w:sz w:val="18"/>
                <w:szCs w:val="18"/>
                <w:color w:val="auto"/>
                <w:w w:val="95"/>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6231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NAME OF REPORTING PERSON</w:t>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1</w:t>
      </w:r>
    </w:p>
    <w:p>
      <w:pPr>
        <w:ind w:left="620"/>
        <w:spacing w:after="0"/>
        <w:rPr>
          <w:sz w:val="20"/>
          <w:szCs w:val="20"/>
          <w:color w:val="auto"/>
        </w:rPr>
      </w:pPr>
      <w:r>
        <w:rPr>
          <w:rFonts w:ascii="Times New Roman" w:cs="Times New Roman" w:eastAsia="Times New Roman" w:hAnsi="Times New Roman"/>
          <w:sz w:val="18"/>
          <w:szCs w:val="18"/>
          <w:color w:val="auto"/>
        </w:rPr>
        <w:t>Silver Spike Opportunities I, LLC</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ind w:left="240"/>
        <w:spacing w:after="0" w:line="205" w:lineRule="auto"/>
        <w:rPr>
          <w:sz w:val="20"/>
          <w:szCs w:val="20"/>
          <w:color w:val="auto"/>
        </w:rPr>
      </w:pPr>
      <w:r>
        <w:rPr>
          <w:rFonts w:ascii="Times New Roman" w:cs="Times New Roman" w:eastAsia="Times New Roman" w:hAnsi="Times New Roman"/>
          <w:sz w:val="25"/>
          <w:szCs w:val="25"/>
          <w:b w:val="1"/>
          <w:bCs w:val="1"/>
          <w:color w:val="auto"/>
        </w:rPr>
        <w:t>2</w:t>
      </w:r>
    </w:p>
    <w:p>
      <w:pPr>
        <w:spacing w:after="0" w:line="1" w:lineRule="exact"/>
        <w:rPr>
          <w:sz w:val="20"/>
          <w:szCs w:val="20"/>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o</w:t>
      </w:r>
    </w:p>
    <w:p>
      <w:pPr>
        <w:ind w:left="620" w:hanging="385"/>
        <w:spacing w:after="0" w:line="182" w:lineRule="auto"/>
        <w:tabs>
          <w:tab w:leader="none" w:pos="620" w:val="left"/>
        </w:tabs>
        <w:numPr>
          <w:ilvl w:val="0"/>
          <w:numId w:val="6"/>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5"/>
          <w:szCs w:val="15"/>
          <w:color w:val="auto"/>
        </w:rPr>
        <w:t>SEC USE ONLY</w:t>
      </w:r>
    </w:p>
    <w:p>
      <w:pPr>
        <w:spacing w:after="0" w:line="2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SOURCE OF FUNDS</w:t>
      </w:r>
    </w:p>
    <w:p>
      <w:pPr>
        <w:ind w:left="240"/>
        <w:spacing w:after="0" w:line="211" w:lineRule="auto"/>
        <w:rPr>
          <w:sz w:val="20"/>
          <w:szCs w:val="20"/>
          <w:color w:val="auto"/>
        </w:rPr>
      </w:pPr>
      <w:r>
        <w:rPr>
          <w:rFonts w:ascii="Times New Roman" w:cs="Times New Roman" w:eastAsia="Times New Roman" w:hAnsi="Times New Roman"/>
          <w:sz w:val="25"/>
          <w:szCs w:val="25"/>
          <w:b w:val="1"/>
          <w:bCs w:val="1"/>
          <w:color w:val="auto"/>
        </w:rPr>
        <w:t>4</w:t>
      </w:r>
    </w:p>
    <w:p>
      <w:pPr>
        <w:ind w:left="620"/>
        <w:spacing w:after="0"/>
        <w:rPr>
          <w:sz w:val="20"/>
          <w:szCs w:val="20"/>
          <w:color w:val="auto"/>
        </w:rPr>
      </w:pPr>
      <w:r>
        <w:rPr>
          <w:rFonts w:ascii="Times New Roman" w:cs="Times New Roman" w:eastAsia="Times New Roman" w:hAnsi="Times New Roman"/>
          <w:sz w:val="18"/>
          <w:szCs w:val="18"/>
          <w:color w:val="auto"/>
        </w:rPr>
        <w:t>OO (raised capital)</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33"/>
        </w:trPr>
        <w:tc>
          <w:tcPr>
            <w:tcW w:w="1820" w:type="dxa"/>
            <w:vAlign w:val="bottom"/>
          </w:tcPr>
          <w:p>
            <w:pPr>
              <w:jc w:val="right"/>
              <w:ind w:right="1363"/>
              <w:spacing w:after="0" w:line="233" w:lineRule="exact"/>
              <w:rPr>
                <w:sz w:val="20"/>
                <w:szCs w:val="20"/>
                <w:color w:val="auto"/>
              </w:rPr>
            </w:pPr>
            <w:r>
              <w:rPr>
                <w:rFonts w:ascii="Times New Roman" w:cs="Times New Roman" w:eastAsia="Times New Roman" w:hAnsi="Times New Roman"/>
                <w:sz w:val="25"/>
                <w:szCs w:val="25"/>
                <w:b w:val="1"/>
                <w:bCs w:val="1"/>
                <w:color w:val="auto"/>
              </w:rPr>
              <w:t>5</w:t>
            </w:r>
          </w:p>
        </w:tc>
        <w:tc>
          <w:tcPr>
            <w:tcW w:w="9420" w:type="dxa"/>
            <w:vAlign w:val="bottom"/>
          </w:tcPr>
          <w:p>
            <w:pPr>
              <w:spacing w:after="0"/>
              <w:rPr>
                <w:sz w:val="20"/>
                <w:szCs w:val="20"/>
                <w:color w:val="auto"/>
              </w:rPr>
            </w:pPr>
          </w:p>
        </w:tc>
      </w:tr>
      <w:tr>
        <w:trPr>
          <w:trHeight w:val="234"/>
        </w:trPr>
        <w:tc>
          <w:tcPr>
            <w:tcW w:w="1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w:t>
            </w:r>
          </w:p>
        </w:tc>
        <w:tc>
          <w:tcPr>
            <w:tcW w:w="9420" w:type="dxa"/>
            <w:vAlign w:val="bottom"/>
          </w:tcPr>
          <w:p>
            <w:pPr>
              <w:spacing w:after="0"/>
              <w:rPr>
                <w:sz w:val="20"/>
                <w:szCs w:val="20"/>
                <w:color w:val="auto"/>
              </w:rPr>
            </w:pPr>
          </w:p>
        </w:tc>
      </w:tr>
      <w:tr>
        <w:trPr>
          <w:trHeight w:val="27"/>
        </w:trPr>
        <w:tc>
          <w:tcPr>
            <w:tcW w:w="11240" w:type="dxa"/>
            <w:vAlign w:val="bottom"/>
            <w:tcBorders>
              <w:bottom w:val="single" w:sz="8" w:color="auto"/>
            </w:tcBorders>
            <w:gridSpan w:val="2"/>
          </w:tcPr>
          <w:p>
            <w:pPr>
              <w:spacing w:after="0"/>
              <w:rPr>
                <w:sz w:val="2"/>
                <w:szCs w:val="2"/>
                <w:color w:val="auto"/>
              </w:rPr>
            </w:pPr>
          </w:p>
        </w:tc>
      </w:tr>
      <w:tr>
        <w:trPr>
          <w:trHeight w:val="183"/>
        </w:trPr>
        <w:tc>
          <w:tcPr>
            <w:tcW w:w="11240" w:type="dxa"/>
            <w:vAlign w:val="bottom"/>
            <w:gridSpan w:val="2"/>
          </w:tcPr>
          <w:p>
            <w:pPr>
              <w:ind w:left="620"/>
              <w:spacing w:after="0" w:line="182" w:lineRule="exact"/>
              <w:rPr>
                <w:sz w:val="20"/>
                <w:szCs w:val="20"/>
                <w:color w:val="auto"/>
              </w:rPr>
            </w:pPr>
            <w:r>
              <w:rPr>
                <w:rFonts w:ascii="Times New Roman" w:cs="Times New Roman" w:eastAsia="Times New Roman" w:hAnsi="Times New Roman"/>
                <w:sz w:val="18"/>
                <w:szCs w:val="18"/>
                <w:color w:val="auto"/>
              </w:rPr>
              <w:t>CITIZENSHIP OR PLACE OF ORGANIZATION</w:t>
            </w:r>
          </w:p>
        </w:tc>
      </w:tr>
      <w:tr>
        <w:trPr>
          <w:trHeight w:val="252"/>
        </w:trPr>
        <w:tc>
          <w:tcPr>
            <w:tcW w:w="1820" w:type="dxa"/>
            <w:vAlign w:val="bottom"/>
          </w:tcPr>
          <w:p>
            <w:pPr>
              <w:jc w:val="right"/>
              <w:ind w:right="1363"/>
              <w:spacing w:after="0" w:line="252" w:lineRule="exact"/>
              <w:rPr>
                <w:sz w:val="20"/>
                <w:szCs w:val="20"/>
                <w:color w:val="auto"/>
              </w:rPr>
            </w:pPr>
            <w:r>
              <w:rPr>
                <w:rFonts w:ascii="Times New Roman" w:cs="Times New Roman" w:eastAsia="Times New Roman" w:hAnsi="Times New Roman"/>
                <w:sz w:val="25"/>
                <w:szCs w:val="25"/>
                <w:b w:val="1"/>
                <w:bCs w:val="1"/>
                <w:color w:val="auto"/>
              </w:rPr>
              <w:t>6</w:t>
            </w:r>
          </w:p>
        </w:tc>
        <w:tc>
          <w:tcPr>
            <w:tcW w:w="9420" w:type="dxa"/>
            <w:vAlign w:val="bottom"/>
          </w:tcPr>
          <w:p>
            <w:pPr>
              <w:spacing w:after="0"/>
              <w:rPr>
                <w:sz w:val="21"/>
                <w:szCs w:val="21"/>
                <w:color w:val="auto"/>
              </w:rPr>
            </w:pPr>
          </w:p>
        </w:tc>
      </w:tr>
      <w:tr>
        <w:trPr>
          <w:trHeight w:val="234"/>
        </w:trPr>
        <w:tc>
          <w:tcPr>
            <w:tcW w:w="1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Delaware</w:t>
            </w:r>
          </w:p>
        </w:tc>
        <w:tc>
          <w:tcPr>
            <w:tcW w:w="9420" w:type="dxa"/>
            <w:vAlign w:val="bottom"/>
          </w:tcPr>
          <w:p>
            <w:pPr>
              <w:spacing w:after="0"/>
              <w:rPr>
                <w:sz w:val="20"/>
                <w:szCs w:val="20"/>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183"/>
        </w:trPr>
        <w:tc>
          <w:tcPr>
            <w:tcW w:w="1820" w:type="dxa"/>
            <w:vAlign w:val="bottom"/>
          </w:tcPr>
          <w:p>
            <w:pPr>
              <w:spacing w:after="0"/>
              <w:rPr>
                <w:sz w:val="15"/>
                <w:szCs w:val="15"/>
                <w:color w:val="auto"/>
              </w:rPr>
            </w:pPr>
          </w:p>
        </w:tc>
        <w:tc>
          <w:tcPr>
            <w:tcW w:w="9420" w:type="dxa"/>
            <w:vAlign w:val="bottom"/>
          </w:tcPr>
          <w:p>
            <w:pPr>
              <w:ind w:left="600"/>
              <w:spacing w:after="0" w:line="182" w:lineRule="exact"/>
              <w:rPr>
                <w:sz w:val="20"/>
                <w:szCs w:val="20"/>
                <w:color w:val="auto"/>
              </w:rPr>
            </w:pPr>
            <w:r>
              <w:rPr>
                <w:rFonts w:ascii="Times New Roman" w:cs="Times New Roman" w:eastAsia="Times New Roman" w:hAnsi="Times New Roman"/>
                <w:sz w:val="18"/>
                <w:szCs w:val="18"/>
                <w:color w:val="auto"/>
              </w:rPr>
              <w:t>SOLE VOTING POWER</w:t>
            </w:r>
          </w:p>
        </w:tc>
      </w:tr>
      <w:tr>
        <w:trPr>
          <w:trHeight w:val="252"/>
        </w:trPr>
        <w:tc>
          <w:tcPr>
            <w:tcW w:w="1820" w:type="dxa"/>
            <w:vAlign w:val="bottom"/>
          </w:tcPr>
          <w:p>
            <w:pPr>
              <w:spacing w:after="0"/>
              <w:rPr>
                <w:sz w:val="21"/>
                <w:szCs w:val="21"/>
                <w:color w:val="auto"/>
              </w:rPr>
            </w:pPr>
          </w:p>
        </w:tc>
        <w:tc>
          <w:tcPr>
            <w:tcW w:w="9420" w:type="dxa"/>
            <w:vAlign w:val="bottom"/>
          </w:tcPr>
          <w:p>
            <w:pPr>
              <w:jc w:val="center"/>
              <w:ind w:right="8757"/>
              <w:spacing w:after="0" w:line="252" w:lineRule="exact"/>
              <w:rPr>
                <w:sz w:val="20"/>
                <w:szCs w:val="20"/>
                <w:color w:val="auto"/>
              </w:rPr>
            </w:pPr>
            <w:r>
              <w:rPr>
                <w:rFonts w:ascii="Times New Roman" w:cs="Times New Roman" w:eastAsia="Times New Roman" w:hAnsi="Times New Roman"/>
                <w:sz w:val="25"/>
                <w:szCs w:val="25"/>
                <w:b w:val="1"/>
                <w:bCs w:val="1"/>
                <w:color w:val="auto"/>
                <w:w w:val="95"/>
              </w:rPr>
              <w:t>7</w:t>
            </w:r>
          </w:p>
        </w:tc>
      </w:tr>
      <w:tr>
        <w:trPr>
          <w:trHeight w:val="234"/>
        </w:trPr>
        <w:tc>
          <w:tcPr>
            <w:tcW w:w="1820" w:type="dxa"/>
            <w:vAlign w:val="bottom"/>
          </w:tcPr>
          <w:p>
            <w:pPr>
              <w:spacing w:after="0"/>
              <w:rPr>
                <w:sz w:val="20"/>
                <w:szCs w:val="20"/>
                <w:color w:val="auto"/>
              </w:rPr>
            </w:pPr>
          </w:p>
        </w:tc>
        <w:tc>
          <w:tcPr>
            <w:tcW w:w="9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18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21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25"/>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9420" w:type="dxa"/>
            <w:vAlign w:val="bottom"/>
          </w:tcPr>
          <w:p>
            <w:pPr>
              <w:jc w:val="center"/>
              <w:ind w:right="8757"/>
              <w:spacing w:after="0" w:line="224" w:lineRule="exact"/>
              <w:rPr>
                <w:sz w:val="20"/>
                <w:szCs w:val="20"/>
                <w:color w:val="auto"/>
              </w:rPr>
            </w:pPr>
            <w:r>
              <w:rPr>
                <w:rFonts w:ascii="Times New Roman" w:cs="Times New Roman" w:eastAsia="Times New Roman" w:hAnsi="Times New Roman"/>
                <w:sz w:val="25"/>
                <w:szCs w:val="25"/>
                <w:b w:val="1"/>
                <w:bCs w:val="1"/>
                <w:color w:val="auto"/>
                <w:w w:val="95"/>
              </w:rPr>
              <w:t>8</w:t>
            </w:r>
          </w:p>
        </w:tc>
      </w:tr>
      <w:tr>
        <w:trPr>
          <w:trHeight w:val="261"/>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4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0</w:t>
            </w:r>
          </w:p>
        </w:tc>
      </w:tr>
      <w:tr>
        <w:trPr>
          <w:trHeight w:val="183"/>
        </w:trPr>
        <w:tc>
          <w:tcPr>
            <w:tcW w:w="18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OWNED BY EACH</w:t>
            </w:r>
          </w:p>
        </w:tc>
        <w:tc>
          <w:tcPr>
            <w:tcW w:w="9420" w:type="dxa"/>
            <w:vAlign w:val="bottom"/>
          </w:tcPr>
          <w:p>
            <w:pPr>
              <w:ind w:left="600"/>
              <w:spacing w:after="0" w:line="182"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31"/>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9420" w:type="dxa"/>
            <w:vAlign w:val="bottom"/>
          </w:tcPr>
          <w:p>
            <w:pPr>
              <w:jc w:val="center"/>
              <w:ind w:right="8757"/>
              <w:spacing w:after="0" w:line="230" w:lineRule="exact"/>
              <w:rPr>
                <w:sz w:val="20"/>
                <w:szCs w:val="20"/>
                <w:color w:val="auto"/>
              </w:rPr>
            </w:pPr>
            <w:r>
              <w:rPr>
                <w:rFonts w:ascii="Times New Roman" w:cs="Times New Roman" w:eastAsia="Times New Roman" w:hAnsi="Times New Roman"/>
                <w:sz w:val="25"/>
                <w:szCs w:val="25"/>
                <w:b w:val="1"/>
                <w:bCs w:val="1"/>
                <w:color w:val="auto"/>
                <w:w w:val="95"/>
              </w:rPr>
              <w:t>9</w:t>
            </w:r>
          </w:p>
        </w:tc>
      </w:tr>
      <w:tr>
        <w:trPr>
          <w:trHeight w:val="255"/>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94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18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183"/>
        </w:trPr>
        <w:tc>
          <w:tcPr>
            <w:tcW w:w="1820" w:type="dxa"/>
            <w:vAlign w:val="bottom"/>
          </w:tcPr>
          <w:p>
            <w:pPr>
              <w:spacing w:after="0"/>
              <w:rPr>
                <w:sz w:val="15"/>
                <w:szCs w:val="15"/>
                <w:color w:val="auto"/>
              </w:rPr>
            </w:pPr>
          </w:p>
        </w:tc>
        <w:tc>
          <w:tcPr>
            <w:tcW w:w="9420" w:type="dxa"/>
            <w:vAlign w:val="bottom"/>
          </w:tcPr>
          <w:p>
            <w:pPr>
              <w:ind w:left="600"/>
              <w:spacing w:after="0" w:line="182" w:lineRule="exact"/>
              <w:rPr>
                <w:sz w:val="20"/>
                <w:szCs w:val="20"/>
                <w:color w:val="auto"/>
              </w:rPr>
            </w:pPr>
            <w:r>
              <w:rPr>
                <w:rFonts w:ascii="Times New Roman" w:cs="Times New Roman" w:eastAsia="Times New Roman" w:hAnsi="Times New Roman"/>
                <w:sz w:val="18"/>
                <w:szCs w:val="18"/>
                <w:color w:val="auto"/>
              </w:rPr>
              <w:t>SHARED DISPOSITIVE POWER</w:t>
            </w:r>
          </w:p>
        </w:tc>
      </w:tr>
      <w:tr>
        <w:trPr>
          <w:trHeight w:val="272"/>
        </w:trPr>
        <w:tc>
          <w:tcPr>
            <w:tcW w:w="1820" w:type="dxa"/>
            <w:vAlign w:val="bottom"/>
          </w:tcPr>
          <w:p>
            <w:pPr>
              <w:spacing w:after="0"/>
              <w:rPr>
                <w:sz w:val="23"/>
                <w:szCs w:val="23"/>
                <w:color w:val="auto"/>
              </w:rPr>
            </w:pPr>
          </w:p>
        </w:tc>
        <w:tc>
          <w:tcPr>
            <w:tcW w:w="9420" w:type="dxa"/>
            <w:vAlign w:val="bottom"/>
          </w:tcPr>
          <w:p>
            <w:pPr>
              <w:jc w:val="center"/>
              <w:ind w:right="8757"/>
              <w:spacing w:after="0" w:line="271" w:lineRule="exact"/>
              <w:rPr>
                <w:sz w:val="20"/>
                <w:szCs w:val="20"/>
                <w:color w:val="auto"/>
              </w:rPr>
            </w:pPr>
            <w:r>
              <w:rPr>
                <w:rFonts w:ascii="Times New Roman" w:cs="Times New Roman" w:eastAsia="Times New Roman" w:hAnsi="Times New Roman"/>
                <w:sz w:val="25"/>
                <w:szCs w:val="25"/>
                <w:b w:val="1"/>
                <w:bCs w:val="1"/>
                <w:color w:val="auto"/>
                <w:w w:val="95"/>
              </w:rPr>
              <w:t>10</w:t>
            </w:r>
          </w:p>
        </w:tc>
      </w:tr>
    </w:tbl>
    <w:p>
      <w:pPr>
        <w:ind w:left="2420"/>
        <w:spacing w:after="0"/>
        <w:rPr>
          <w:sz w:val="20"/>
          <w:szCs w:val="20"/>
          <w:color w:val="auto"/>
        </w:rPr>
      </w:pPr>
      <w:r>
        <w:rPr>
          <w:rFonts w:ascii="Times New Roman" w:cs="Times New Roman" w:eastAsia="Times New Roman" w:hAnsi="Times New Roman"/>
          <w:sz w:val="18"/>
          <w:szCs w:val="18"/>
          <w:color w:val="auto"/>
        </w:rPr>
        <w:t>0</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11</w:t>
      </w:r>
    </w:p>
    <w:p>
      <w:pPr>
        <w:ind w:left="620"/>
        <w:spacing w:after="0"/>
        <w:rPr>
          <w:sz w:val="20"/>
          <w:szCs w:val="20"/>
          <w:color w:val="auto"/>
        </w:rPr>
      </w:pPr>
      <w:r>
        <w:rPr>
          <w:rFonts w:ascii="Times New Roman" w:cs="Times New Roman" w:eastAsia="Times New Roman" w:hAnsi="Times New Roman"/>
          <w:sz w:val="18"/>
          <w:szCs w:val="18"/>
          <w:color w:val="auto"/>
        </w:rPr>
        <w:t>0</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12</w:t>
      </w:r>
    </w:p>
    <w:p>
      <w:pPr>
        <w:ind w:left="620"/>
        <w:spacing w:after="0"/>
        <w:rPr>
          <w:sz w:val="20"/>
          <w:szCs w:val="20"/>
          <w:color w:val="auto"/>
        </w:rPr>
      </w:pPr>
      <w:r>
        <w:rPr>
          <w:rFonts w:ascii="Times New Roman" w:cs="Times New Roman" w:eastAsia="Times New Roman" w:hAnsi="Times New Roman"/>
          <w:sz w:val="18"/>
          <w:szCs w:val="18"/>
          <w:color w:val="auto"/>
        </w:rPr>
        <w:t>o</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13</w:t>
      </w:r>
    </w:p>
    <w:p>
      <w:pPr>
        <w:ind w:left="620"/>
        <w:spacing w:after="0"/>
        <w:rPr>
          <w:sz w:val="20"/>
          <w:szCs w:val="20"/>
          <w:color w:val="auto"/>
        </w:rPr>
      </w:pPr>
      <w:r>
        <w:rPr>
          <w:rFonts w:ascii="Times New Roman" w:cs="Times New Roman" w:eastAsia="Times New Roman" w:hAnsi="Times New Roman"/>
          <w:sz w:val="18"/>
          <w:szCs w:val="18"/>
          <w:color w:val="auto"/>
        </w:rPr>
        <w:t>0%</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ind w:left="180"/>
        <w:spacing w:after="0" w:line="211" w:lineRule="auto"/>
        <w:rPr>
          <w:sz w:val="20"/>
          <w:szCs w:val="20"/>
          <w:color w:val="auto"/>
        </w:rPr>
      </w:pPr>
      <w:r>
        <w:rPr>
          <w:rFonts w:ascii="Times New Roman" w:cs="Times New Roman" w:eastAsia="Times New Roman" w:hAnsi="Times New Roman"/>
          <w:sz w:val="25"/>
          <w:szCs w:val="25"/>
          <w:b w:val="1"/>
          <w:bCs w:val="1"/>
          <w:color w:val="auto"/>
        </w:rPr>
        <w:t>14</w:t>
      </w:r>
    </w:p>
    <w:p>
      <w:pPr>
        <w:ind w:left="620"/>
        <w:spacing w:after="0"/>
        <w:rPr>
          <w:sz w:val="20"/>
          <w:szCs w:val="20"/>
          <w:color w:val="auto"/>
        </w:rPr>
      </w:pPr>
      <w:r>
        <w:rPr>
          <w:rFonts w:ascii="Times New Roman" w:cs="Times New Roman" w:eastAsia="Times New Roman" w:hAnsi="Times New Roman"/>
          <w:sz w:val="18"/>
          <w:szCs w:val="18"/>
          <w:color w:val="auto"/>
        </w:rPr>
        <w:t>OO (Limited Liability Issuer)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Amendment No. 1 (this “Amendment No. 1”) amends and supplement the Schedule 13D filed on June 28, 2021 (the “Original Schedule 13D”) by Silver Spike Holdings, LP (“Holdings”), Silver Spike Sponsor, LLC (the “Sponsor”), and Silver Spike Opportunities I, LLC (“Opportunities”) relating to the issued and outstanding shares of Class A common stock, par value $0.0001 per share, of WM Technology, Inc., a Delaware corporation (the “Issuer”). Beginning on the date this Amendment No. 1 is filed, all references in the Original Schedule 13D shall be deemed to refer to the Original Schedule 13D as amended by this Amendment No. 1. Except as specifically provided herein, this Amendment No. 1 does not modify any of the information previously reported in the Original Schedule 13D.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period from July 21, 2021 through August 18, 2021, Opportunities sold 835,752 shares of Class A common stock held by it. In addition, on August 16, 2021, Opportunities did a distribution in kind to its members of the remaining 2,664,248 shares of Class A common stock held by it. Following these sales and this distribution in kind, the “group” with Holdings and the Sponsor no longer beneficially owned 5% or more of the outstanding Class A common stock of Issuer, and accordingly, this statement on Schedule 13D is hereby terminated and this Amendment No. 1 constitutes the final amendment thereto.</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to include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(b) The information contained on the cover pages to this Schedule 13D is incorporated herein by reference.</w:t>
      </w:r>
    </w:p>
    <w:p>
      <w:pPr>
        <w:spacing w:after="0" w:line="225" w:lineRule="exact"/>
        <w:rPr>
          <w:sz w:val="20"/>
          <w:szCs w:val="20"/>
          <w:color w:val="auto"/>
        </w:rPr>
      </w:pPr>
    </w:p>
    <w:p>
      <w:pPr>
        <w:ind w:right="100" w:firstLine="8"/>
        <w:spacing w:after="0" w:line="282"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set forth in Schedule I hereto, the Reporting Persons have not engaged in any transaction during the past 60 days involving common stock of the Issuer.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undersigned’s knowledge and belief, each of the undersigned hereby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11, 2022</w:t>
      </w: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SILVER SPIKE HOLDINGS, LP</w:t>
      </w:r>
    </w:p>
    <w:p>
      <w:pPr>
        <w:spacing w:after="0" w:line="229"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Greg Gentile</w:t>
      </w:r>
    </w:p>
    <w:p>
      <w:pPr>
        <w:spacing w:after="0" w:line="36"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SILVER SPIKE SPONSOR, LLC</w:t>
      </w:r>
    </w:p>
    <w:p>
      <w:pPr>
        <w:spacing w:after="0" w:line="229"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Greg Gentile</w:t>
      </w:r>
    </w:p>
    <w:p>
      <w:pPr>
        <w:spacing w:after="0" w:line="36"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SILVER SPIKE OPPORTUNITIES I, LLC</w:t>
      </w:r>
    </w:p>
    <w:p>
      <w:pPr>
        <w:spacing w:after="0" w:line="229"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Greg Gentile</w:t>
      </w:r>
    </w:p>
    <w:p>
      <w:pPr>
        <w:spacing w:after="0" w:line="36" w:lineRule="exact"/>
        <w:rPr>
          <w:sz w:val="20"/>
          <w:szCs w:val="20"/>
          <w:color w:val="auto"/>
        </w:rPr>
      </w:pPr>
    </w:p>
    <w:p>
      <w:pPr>
        <w:ind w:left="662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80"/>
          </w:cols>
          <w:pgMar w:left="320" w:top="792" w:right="1199" w:bottom="1440" w:gutter="0" w:footer="0" w:header="0"/>
        </w:sectPr>
      </w:pPr>
    </w:p>
    <w:bookmarkStart w:id="6" w:name="page7"/>
    <w:bookmarkEnd w:id="6"/>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ind w:left="420" w:right="360"/>
        <w:spacing w:after="0" w:line="282" w:lineRule="auto"/>
        <w:rPr>
          <w:sz w:val="20"/>
          <w:szCs w:val="20"/>
          <w:color w:val="auto"/>
        </w:rPr>
      </w:pPr>
      <w:r>
        <w:rPr>
          <w:rFonts w:ascii="Times New Roman" w:cs="Times New Roman" w:eastAsia="Times New Roman" w:hAnsi="Times New Roman"/>
          <w:sz w:val="18"/>
          <w:szCs w:val="18"/>
          <w:color w:val="auto"/>
        </w:rPr>
        <w:t>The following table lists all transactions completed by the Reporting Person in the Common Stock since July 21, 2021, which were all completed through open market sales.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800" w:type="dxa"/>
            <w:vAlign w:val="bottom"/>
            <w:tcBorders>
              <w:top w:val="single" w:sz="8" w:color="auto"/>
              <w:right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3700" w:type="dxa"/>
            <w:vAlign w:val="bottom"/>
            <w:tcBorders>
              <w:top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Price in USD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14.37672</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14.5388</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14.33183</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13.79872</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13.27447</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13.27419</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13.72638</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13.58881</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13.76227</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13.33977</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13.83449</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14.61255</w:t>
            </w: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14.49986</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14.90454</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15.50092</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14.83384</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14.11483</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13.58465</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13.00211</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12.46135</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8/18/2021</w:t>
            </w:r>
          </w:p>
        </w:tc>
        <w:tc>
          <w:tcPr>
            <w:tcW w:w="3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3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13.27296</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588"/>
        </w:trPr>
        <w:tc>
          <w:tcPr>
            <w:tcW w:w="37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3"/>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1"/>
      <w:numFmt w:val="decimal"/>
      <w:start w:val="1"/>
    </w:lvl>
    <w:lvl w:ilvl="1">
      <w:lvlJc w:val="left"/>
      <w:lvlText w:val="%2"/>
      <w:numFmt w:val="upperLetter"/>
      <w:start w:val="41"/>
    </w:lvl>
  </w:abstractNum>
  <w:abstractNum w:abstractNumId="4">
    <w:nsid w:val="507ED7AB"/>
    <w:multiLevelType w:val="hybridMultilevel"/>
    <w:lvl w:ilvl="0">
      <w:lvlJc w:val="left"/>
      <w:lvlText w:val="(%1)"/>
      <w:numFmt w:val="decimal"/>
      <w:start w:val="1"/>
    </w:lvl>
    <w:lvl w:ilvl="1">
      <w:lvlJc w:val="left"/>
      <w:lvlText w:val="%2"/>
      <w:numFmt w:val="upperLetter"/>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2022-04-11T15:34:44Z</dcterms:created>
  <dcterms:modified xsi:type="dcterms:W3CDTF">2022-04-11T15:34:44Z</dcterms:modified>
</cp:coreProperties>
</file>