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484505</wp:posOffset>
            </wp:positionV>
            <wp:extent cx="7134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As filed with the Securities and Exchange Commission on March 20, 2025</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WM Technology,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3"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920" w:type="dxa"/>
            <w:vAlign w:val="bottom"/>
          </w:tcPr>
          <w:p>
            <w:pPr>
              <w:jc w:val="right"/>
              <w:ind w:right="1952"/>
              <w:spacing w:after="0"/>
              <w:rPr>
                <w:sz w:val="20"/>
                <w:szCs w:val="20"/>
                <w:color w:val="auto"/>
              </w:rPr>
            </w:pPr>
            <w:r>
              <w:rPr>
                <w:rFonts w:ascii="Times New Roman" w:cs="Times New Roman" w:eastAsia="Times New Roman" w:hAnsi="Times New Roman"/>
                <w:sz w:val="18"/>
                <w:szCs w:val="18"/>
                <w:b w:val="1"/>
                <w:bCs w:val="1"/>
                <w:color w:val="auto"/>
              </w:rPr>
              <w:t>98-1605615</w:t>
            </w:r>
          </w:p>
        </w:tc>
      </w:tr>
      <w:tr>
        <w:trPr>
          <w:trHeight w:val="26"/>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3"/>
        </w:trPr>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37"/>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41 Discovery</w:t>
            </w:r>
          </w:p>
        </w:tc>
        <w:tc>
          <w:tcPr>
            <w:tcW w:w="4920" w:type="dxa"/>
            <w:vAlign w:val="bottom"/>
          </w:tcPr>
          <w:p>
            <w:pPr>
              <w:spacing w:after="0"/>
              <w:rPr>
                <w:sz w:val="24"/>
                <w:szCs w:val="24"/>
                <w:color w:val="auto"/>
              </w:rPr>
            </w:pPr>
          </w:p>
        </w:tc>
      </w:tr>
      <w:tr>
        <w:trPr>
          <w:trHeight w:val="292"/>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Irvine, California</w:t>
            </w:r>
          </w:p>
        </w:tc>
        <w:tc>
          <w:tcPr>
            <w:tcW w:w="4920" w:type="dxa"/>
            <w:vAlign w:val="bottom"/>
          </w:tcPr>
          <w:p>
            <w:pPr>
              <w:jc w:val="right"/>
              <w:ind w:right="2152"/>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5"/>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3"/>
        </w:trPr>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2021 Equity Incentive Plan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2021 Employee Stock Purchase Plan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Camire</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58" w:lineRule="exact"/>
        <w:rPr>
          <w:sz w:val="24"/>
          <w:szCs w:val="24"/>
          <w:color w:val="auto"/>
        </w:rPr>
      </w:pPr>
    </w:p>
    <w:p>
      <w:pPr>
        <w:ind w:left="5360" w:hanging="219"/>
        <w:spacing w:after="0"/>
        <w:tabs>
          <w:tab w:leader="none" w:pos="53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58" w:lineRule="exact"/>
        <w:rPr>
          <w:rFonts w:ascii="Times New Roman" w:cs="Times New Roman" w:eastAsia="Times New Roman" w:hAnsi="Times New Roman"/>
          <w:sz w:val="18"/>
          <w:szCs w:val="18"/>
          <w:b w:val="1"/>
          <w:bCs w:val="1"/>
          <w:color w:val="auto"/>
        </w:rPr>
      </w:pPr>
    </w:p>
    <w:p>
      <w:pPr>
        <w:ind w:left="4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Irvine, California 92618</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(844) 933-3627</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158115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Peinsipp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Kristin VanderPas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Byrne</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Embarcadero Center, 20th Floor</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693-2000</w:t>
      </w:r>
    </w:p>
    <w:p>
      <w:pPr>
        <w:spacing w:after="0" w:line="232" w:lineRule="exact"/>
        <w:rPr>
          <w:sz w:val="24"/>
          <w:szCs w:val="24"/>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5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WM Technology, Inc. (the “Registrant”) is filing this registration statement on Form S-8 (the “Registration Statement”) with the Securities and Exchange Commission (the “Commission”) to register the offering of an additional 9,201,158 shares of Class A Common Stock, par value $0.0001 per share (“Class A Common Stock”), of the Registrant. The 9,201,158 shares of Class A Common Stock being registered herein include (i) 7,667,632 shares of Class A Common Stock issuable pursuant to the WM Technology, Inc. 2021 Equity Incentive Plan (the “2021 EIP”) and (ii) 1,533,526 shares of Class A Common Stock issuable pursuant to the WM Technology, Inc. 2021 Employee Stock Purchase Plan (the “2021 ESPP”). These additional shares of Class A Common Stock are securities of the same class as other securities for which earlier registration statements on Form S-8 were filed with the Commission on August 26, 2021 (File No. 333-259072), on October 5, 2022 (File No. 333-267744), on March 17, 2023 (File No. 333-270647), and on July 29, 2024 (File No. 333-281087) (collectively, the “Prior Registration Statements”). Accordingly, the contents of the Prior Registration Statements are incorporated by reference into this Registration Statement pursuant to General Instruction E of Form S-8. These additional shares of Class A Common Stock have become reserved for issuance as a result of the operation of the “evergreen” provisions in each of the 2021 EIP and 2021 ESPP, which provide that the total number of shares subject to such plan may be increased each year pursuant to a specified formula.</w:t>
      </w:r>
    </w:p>
    <w:p>
      <w:pPr>
        <w:sectPr>
          <w:pgSz w:w="11900" w:h="16838" w:orient="portrait"/>
          <w:cols w:equalWidth="0" w:num="1">
            <w:col w:w="11240"/>
          </w:cols>
          <w:pgMar w:left="320" w:top="994"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 this Registration Statement:</w:t>
      </w:r>
    </w:p>
    <w:p>
      <w:pPr>
        <w:spacing w:after="0" w:line="191" w:lineRule="exact"/>
        <w:rPr>
          <w:sz w:val="20"/>
          <w:szCs w:val="20"/>
          <w:color w:val="auto"/>
        </w:rPr>
      </w:pPr>
    </w:p>
    <w:p>
      <w:pPr>
        <w:ind w:left="960" w:hanging="318"/>
        <w:spacing w:after="0" w:line="274" w:lineRule="auto"/>
        <w:tabs>
          <w:tab w:leader="none" w:pos="1046" w:val="left"/>
        </w:tabs>
        <w:numPr>
          <w:ilvl w:val="0"/>
          <w:numId w:val="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Registrant’s annual report on Form 10-K for the fiscal year ended December 31, 2024 filed with the Commission on March 13, 2025 (</w:t>
      </w:r>
      <w:hyperlink r:id="rId11">
        <w:r>
          <w:rPr>
            <w:rFonts w:ascii="Times New Roman" w:cs="Times New Roman" w:eastAsia="Times New Roman" w:hAnsi="Times New Roman"/>
            <w:sz w:val="18"/>
            <w:szCs w:val="18"/>
            <w:u w:val="single" w:color="auto"/>
            <w:color w:val="0000FF"/>
          </w:rPr>
          <w:t>File</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No. 333-39021</w:t>
        </w:r>
      </w:hyperlink>
      <w:r>
        <w:rPr>
          <w:rFonts w:ascii="Times New Roman" w:cs="Times New Roman" w:eastAsia="Times New Roman" w:hAnsi="Times New Roman"/>
          <w:sz w:val="18"/>
          <w:szCs w:val="18"/>
          <w:color w:val="000000"/>
        </w:rPr>
        <w:t>);</w:t>
      </w:r>
    </w:p>
    <w:p>
      <w:pPr>
        <w:spacing w:after="0" w:line="123" w:lineRule="exact"/>
        <w:rPr>
          <w:rFonts w:ascii="Times New Roman" w:cs="Times New Roman" w:eastAsia="Times New Roman" w:hAnsi="Times New Roman"/>
          <w:sz w:val="18"/>
          <w:szCs w:val="18"/>
          <w:color w:val="0000FF"/>
        </w:rPr>
      </w:pPr>
    </w:p>
    <w:p>
      <w:pPr>
        <w:jc w:val="both"/>
        <w:ind w:left="960" w:hanging="318"/>
        <w:spacing w:after="0" w:line="255" w:lineRule="auto"/>
        <w:tabs>
          <w:tab w:leader="none" w:pos="10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Class A Common Stock contained in our Registration Statement on Form 8-A, filed with the Commission on August 7, 2019 (</w:t>
      </w:r>
      <w:hyperlink r:id="rId12">
        <w:r>
          <w:rPr>
            <w:rFonts w:ascii="Times New Roman" w:cs="Times New Roman" w:eastAsia="Times New Roman" w:hAnsi="Times New Roman"/>
            <w:sz w:val="18"/>
            <w:szCs w:val="18"/>
            <w:u w:val="single" w:color="auto"/>
            <w:color w:val="0000FF"/>
          </w:rPr>
          <w:t>File No. 001-39021</w:t>
        </w:r>
      </w:hyperlink>
      <w:r>
        <w:rPr>
          <w:rFonts w:ascii="Times New Roman" w:cs="Times New Roman" w:eastAsia="Times New Roman" w:hAnsi="Times New Roman"/>
          <w:sz w:val="18"/>
          <w:szCs w:val="18"/>
          <w:color w:val="auto"/>
        </w:rPr>
        <w:t>, as updated by Exhibit 4.5 to the Registrant’s annual report on Form 10-K for the fiscal year ended December 31, 2024, filed with the Commission on March 13, 2025 (</w:t>
      </w:r>
      <w:hyperlink r:id="rId11">
        <w:r>
          <w:rPr>
            <w:rFonts w:ascii="Times New Roman" w:cs="Times New Roman" w:eastAsia="Times New Roman" w:hAnsi="Times New Roman"/>
            <w:sz w:val="18"/>
            <w:szCs w:val="18"/>
            <w:u w:val="single" w:color="auto"/>
            <w:color w:val="0000FF"/>
          </w:rPr>
          <w:t>File No. 333-39021</w:t>
        </w:r>
      </w:hyperlink>
      <w:r>
        <w:rPr>
          <w:rFonts w:ascii="Times New Roman" w:cs="Times New Roman" w:eastAsia="Times New Roman" w:hAnsi="Times New Roman"/>
          <w:sz w:val="18"/>
          <w:szCs w:val="18"/>
          <w:color w:val="auto"/>
        </w:rPr>
        <w:t>), together with any amendment or report filed for the purpose of updating such description.</w:t>
      </w:r>
    </w:p>
    <w:p>
      <w:pPr>
        <w:spacing w:after="0" w:line="127" w:lineRule="exact"/>
        <w:rPr>
          <w:rFonts w:ascii="Times New Roman" w:cs="Times New Roman" w:eastAsia="Times New Roman" w:hAnsi="Times New Roman"/>
          <w:sz w:val="18"/>
          <w:szCs w:val="18"/>
          <w:color w:val="auto"/>
        </w:rPr>
      </w:pPr>
    </w:p>
    <w:p>
      <w:pPr>
        <w:jc w:val="both"/>
        <w:ind w:firstLine="636"/>
        <w:spacing w:after="0" w:line="234" w:lineRule="auto"/>
        <w:rPr>
          <w:sz w:val="20"/>
          <w:szCs w:val="20"/>
          <w:color w:val="auto"/>
        </w:rPr>
      </w:pPr>
      <w:r>
        <w:rPr>
          <w:rFonts w:ascii="Times New Roman" w:cs="Times New Roman" w:eastAsia="Times New Roman" w:hAnsi="Times New Roman"/>
          <w:sz w:val="18"/>
          <w:szCs w:val="18"/>
          <w:color w:val="auto"/>
        </w:rPr>
        <w:t>All reports and other documents filed by the Registrant pursuant to Section 13(a), 13(c), 14 or 15(d) of the Securities Exchange Act of 1934, as amended, other than Current Reports on Form 8-K furnished under Item 2.02 and Item 7.01 of Form 8-K and any exhibits furnished on such form that relate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reports and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ectPr>
          <w:pgSz w:w="11900" w:h="16838" w:orient="portrait"/>
          <w:cols w:equalWidth="0" w:num="1">
            <w:col w:w="11240"/>
          </w:cols>
          <w:pgMar w:left="320" w:top="11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57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03"/>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r>
      <w:tr>
        <w:trPr>
          <w:trHeight w:val="265"/>
        </w:trPr>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4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no.</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1"/>
        </w:trPr>
        <w:tc>
          <w:tcPr>
            <w:tcW w:w="400" w:type="dxa"/>
            <w:vAlign w:val="bottom"/>
            <w:gridSpan w:val="2"/>
          </w:tcPr>
          <w:p>
            <w:pPr>
              <w:spacing w:after="0"/>
              <w:rPr>
                <w:sz w:val="18"/>
                <w:szCs w:val="18"/>
                <w:color w:val="auto"/>
              </w:rPr>
            </w:pPr>
          </w:p>
        </w:tc>
        <w:tc>
          <w:tcPr>
            <w:tcW w:w="220" w:type="dxa"/>
            <w:vAlign w:val="bottom"/>
          </w:tcPr>
          <w:p>
            <w:pPr>
              <w:jc w:val="center"/>
              <w:spacing w:after="0" w:line="191" w:lineRule="exact"/>
              <w:rPr>
                <w:rFonts w:ascii="Times New Roman" w:cs="Times New Roman" w:eastAsia="Times New Roman" w:hAnsi="Times New Roman"/>
                <w:sz w:val="18"/>
                <w:szCs w:val="18"/>
                <w:color w:val="0000FF"/>
                <w:w w:val="97"/>
              </w:rPr>
            </w:pPr>
            <w:hyperlink r:id="rId1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11"/>
          </w:tcPr>
          <w:p>
            <w:pPr>
              <w:spacing w:after="0" w:line="191"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Certificate of Incorporation of the Company</w:t>
              </w:r>
            </w:hyperlink>
          </w:p>
        </w:tc>
        <w:tc>
          <w:tcPr>
            <w:tcW w:w="1140" w:type="dxa"/>
            <w:vAlign w:val="bottom"/>
          </w:tcPr>
          <w:p>
            <w:pPr>
              <w:jc w:val="center"/>
              <w:ind w:left="92"/>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5"/>
        </w:trPr>
        <w:tc>
          <w:tcPr>
            <w:tcW w:w="4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7"/>
              </w:rPr>
            </w:pPr>
            <w:hyperlink r:id="rId1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r:id="rId14">
              <w:r>
                <w:rPr>
                  <w:rFonts w:ascii="Times New Roman" w:cs="Times New Roman" w:eastAsia="Times New Roman" w:hAnsi="Times New Roman"/>
                  <w:sz w:val="18"/>
                  <w:szCs w:val="18"/>
                  <w:color w:val="0000FF"/>
                  <w:w w:val="97"/>
                </w:rPr>
                <w:t>Amended and Restated Bylaws of the Company</w:t>
              </w:r>
            </w:hyperlink>
          </w:p>
        </w:tc>
        <w:tc>
          <w:tcPr>
            <w:tcW w:w="1240" w:type="dxa"/>
            <w:vAlign w:val="bottom"/>
            <w:gridSpan w:val="4"/>
          </w:tcPr>
          <w:p>
            <w:pPr>
              <w:spacing w:after="0"/>
              <w:rPr>
                <w:sz w:val="21"/>
                <w:szCs w:val="21"/>
                <w:color w:val="auto"/>
              </w:rPr>
            </w:pPr>
          </w:p>
        </w:tc>
        <w:tc>
          <w:tcPr>
            <w:tcW w:w="11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245"/>
        </w:trPr>
        <w:tc>
          <w:tcPr>
            <w:tcW w:w="400" w:type="dxa"/>
            <w:vAlign w:val="bottom"/>
            <w:gridSpan w:val="2"/>
          </w:tcPr>
          <w:p>
            <w:pPr>
              <w:spacing w:after="0"/>
              <w:rPr>
                <w:sz w:val="21"/>
                <w:szCs w:val="21"/>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1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40" w:type="dxa"/>
            <w:vAlign w:val="bottom"/>
            <w:gridSpan w:val="1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Form of Common Stock Certificate of the Company</w:t>
              </w:r>
            </w:hyperlink>
          </w:p>
        </w:tc>
        <w:tc>
          <w:tcPr>
            <w:tcW w:w="11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r>
      <w:tr>
        <w:trPr>
          <w:trHeight w:val="245"/>
        </w:trPr>
        <w:tc>
          <w:tcPr>
            <w:tcW w:w="400" w:type="dxa"/>
            <w:vAlign w:val="bottom"/>
            <w:gridSpan w:val="2"/>
          </w:tcPr>
          <w:p>
            <w:pPr>
              <w:spacing w:after="0"/>
              <w:rPr>
                <w:sz w:val="21"/>
                <w:szCs w:val="21"/>
                <w:color w:val="auto"/>
              </w:rPr>
            </w:pPr>
          </w:p>
        </w:tc>
        <w:tc>
          <w:tcPr>
            <w:tcW w:w="2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5.</w:t>
            </w:r>
            <w:r>
              <w:rPr>
                <w:rFonts w:ascii="Times New Roman" w:cs="Times New Roman" w:eastAsia="Times New Roman" w:hAnsi="Times New Roman"/>
                <w:sz w:val="18"/>
                <w:szCs w:val="18"/>
                <w:u w:val="single" w:color="auto"/>
                <w:color w:val="0000FF"/>
                <w:w w:val="97"/>
              </w:rPr>
              <w:t>1</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Opinion of Cooley LLP</w:t>
            </w:r>
          </w:p>
        </w:tc>
        <w:tc>
          <w:tcPr>
            <w:tcW w:w="2000" w:type="dxa"/>
            <w:vAlign w:val="bottom"/>
            <w:tcBorders>
              <w:top w:val="single" w:sz="8" w:color="0000FF"/>
            </w:tcBorders>
            <w:gridSpan w:val="7"/>
          </w:tcPr>
          <w:p>
            <w:pPr>
              <w:spacing w:after="0"/>
              <w:rPr>
                <w:sz w:val="21"/>
                <w:szCs w:val="21"/>
                <w:color w:val="auto"/>
              </w:rPr>
            </w:pPr>
          </w:p>
        </w:tc>
        <w:tc>
          <w:tcPr>
            <w:tcW w:w="96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5"/>
        </w:trPr>
        <w:tc>
          <w:tcPr>
            <w:tcW w:w="380" w:type="dxa"/>
            <w:vAlign w:val="bottom"/>
          </w:tcPr>
          <w:p>
            <w:pPr>
              <w:spacing w:after="0"/>
              <w:rPr>
                <w:sz w:val="19"/>
                <w:szCs w:val="19"/>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19"/>
                <w:szCs w:val="19"/>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Moss Adams, LLP</w:t>
            </w: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300" w:type="dxa"/>
            <w:vAlign w:val="bottom"/>
            <w:tcBorders>
              <w:bottom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9"/>
        </w:trPr>
        <w:tc>
          <w:tcPr>
            <w:tcW w:w="68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680" w:type="dxa"/>
            <w:vAlign w:val="bottom"/>
            <w:gridSpan w:val="4"/>
          </w:tcPr>
          <w:p>
            <w:pPr>
              <w:jc w:val="center"/>
              <w:ind w:left="272"/>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Pr>
          <w:p>
            <w:pPr>
              <w:spacing w:after="0"/>
              <w:rPr>
                <w:sz w:val="23"/>
                <w:szCs w:val="23"/>
                <w:color w:val="auto"/>
              </w:rPr>
            </w:pPr>
          </w:p>
        </w:tc>
        <w:tc>
          <w:tcPr>
            <w:tcW w:w="4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1"/>
        </w:trPr>
        <w:tc>
          <w:tcPr>
            <w:tcW w:w="380" w:type="dxa"/>
            <w:vAlign w:val="bottom"/>
          </w:tcPr>
          <w:p>
            <w:pPr>
              <w:spacing w:after="0"/>
              <w:rPr>
                <w:sz w:val="20"/>
                <w:szCs w:val="20"/>
                <w:color w:val="auto"/>
              </w:rPr>
            </w:pPr>
          </w:p>
        </w:tc>
        <w:tc>
          <w:tcPr>
            <w:tcW w:w="300" w:type="dxa"/>
            <w:vAlign w:val="bottom"/>
            <w:tcBorders>
              <w:bottom w:val="single" w:sz="8" w:color="0000FF"/>
            </w:tcBorders>
            <w:gridSpan w:val="3"/>
          </w:tcPr>
          <w:p>
            <w:pPr>
              <w:jc w:val="center"/>
              <w:spacing w:after="0" w:line="191" w:lineRule="exact"/>
              <w:rPr>
                <w:rFonts w:ascii="Times New Roman" w:cs="Times New Roman" w:eastAsia="Times New Roman" w:hAnsi="Times New Roman"/>
                <w:sz w:val="18"/>
                <w:szCs w:val="18"/>
                <w:color w:val="0000FF"/>
                <w:w w:val="95"/>
              </w:rPr>
            </w:pPr>
            <w:hyperlink r:id="rId16">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460" w:type="dxa"/>
            <w:vAlign w:val="bottom"/>
          </w:tcPr>
          <w:p>
            <w:pPr>
              <w:spacing w:after="0"/>
              <w:rPr>
                <w:sz w:val="20"/>
                <w:szCs w:val="20"/>
                <w:color w:val="auto"/>
              </w:rPr>
            </w:pPr>
          </w:p>
        </w:tc>
        <w:tc>
          <w:tcPr>
            <w:tcW w:w="3520" w:type="dxa"/>
            <w:vAlign w:val="bottom"/>
            <w:tcBorders>
              <w:bottom w:val="single" w:sz="8" w:color="0000FF"/>
            </w:tcBorders>
            <w:gridSpan w:val="8"/>
          </w:tcPr>
          <w:p>
            <w:pPr>
              <w:spacing w:after="0" w:line="191" w:lineRule="exact"/>
              <w:rPr>
                <w:rFonts w:ascii="Times New Roman" w:cs="Times New Roman" w:eastAsia="Times New Roman" w:hAnsi="Times New Roman"/>
                <w:sz w:val="18"/>
                <w:szCs w:val="18"/>
                <w:color w:val="0000FF"/>
                <w:w w:val="96"/>
              </w:rPr>
            </w:pPr>
            <w:hyperlink r:id="rId16">
              <w:r>
                <w:rPr>
                  <w:rFonts w:ascii="Times New Roman" w:cs="Times New Roman" w:eastAsia="Times New Roman" w:hAnsi="Times New Roman"/>
                  <w:sz w:val="18"/>
                  <w:szCs w:val="18"/>
                  <w:color w:val="0000FF"/>
                  <w:w w:val="96"/>
                </w:rPr>
                <w:t>WM Technology, Inc. 2021 Equity Incentive Plan</w:t>
              </w:r>
            </w:hyperlink>
          </w:p>
        </w:tc>
        <w:tc>
          <w:tcPr>
            <w:tcW w:w="1120" w:type="dxa"/>
            <w:vAlign w:val="bottom"/>
            <w:gridSpan w:val="3"/>
          </w:tcPr>
          <w:p>
            <w:pPr>
              <w:spacing w:after="0"/>
              <w:rPr>
                <w:sz w:val="20"/>
                <w:szCs w:val="20"/>
                <w:color w:val="auto"/>
              </w:rPr>
            </w:pPr>
          </w:p>
        </w:tc>
        <w:tc>
          <w:tcPr>
            <w:tcW w:w="1140" w:type="dxa"/>
            <w:vAlign w:val="bottom"/>
          </w:tcPr>
          <w:p>
            <w:pPr>
              <w:jc w:val="center"/>
              <w:ind w:left="92"/>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10.7</w:t>
            </w:r>
          </w:p>
        </w:tc>
      </w:tr>
      <w:tr>
        <w:trPr>
          <w:trHeight w:val="245"/>
        </w:trPr>
        <w:tc>
          <w:tcPr>
            <w:tcW w:w="380" w:type="dxa"/>
            <w:vAlign w:val="bottom"/>
          </w:tcPr>
          <w:p>
            <w:pPr>
              <w:spacing w:after="0"/>
              <w:rPr>
                <w:sz w:val="21"/>
                <w:szCs w:val="21"/>
                <w:color w:val="auto"/>
              </w:rPr>
            </w:pPr>
          </w:p>
        </w:tc>
        <w:tc>
          <w:tcPr>
            <w:tcW w:w="300" w:type="dxa"/>
            <w:vAlign w:val="bottom"/>
            <w:gridSpan w:val="3"/>
          </w:tcPr>
          <w:p>
            <w:pPr>
              <w:jc w:val="center"/>
              <w:spacing w:after="0"/>
              <w:rPr>
                <w:rFonts w:ascii="Times New Roman" w:cs="Times New Roman" w:eastAsia="Times New Roman" w:hAnsi="Times New Roman"/>
                <w:sz w:val="18"/>
                <w:szCs w:val="18"/>
                <w:color w:val="0000FF"/>
                <w:w w:val="95"/>
              </w:rPr>
            </w:pPr>
            <w:hyperlink r:id="rId17">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hyperlink>
          </w:p>
        </w:tc>
        <w:tc>
          <w:tcPr>
            <w:tcW w:w="460" w:type="dxa"/>
            <w:vAlign w:val="bottom"/>
          </w:tcPr>
          <w:p>
            <w:pPr>
              <w:spacing w:after="0"/>
              <w:rPr>
                <w:sz w:val="21"/>
                <w:szCs w:val="21"/>
                <w:color w:val="auto"/>
              </w:rPr>
            </w:pPr>
          </w:p>
        </w:tc>
        <w:tc>
          <w:tcPr>
            <w:tcW w:w="4640" w:type="dxa"/>
            <w:vAlign w:val="bottom"/>
            <w:gridSpan w:val="11"/>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WM Technology, Inc. 2021 Employee Stock Purchase Plan</w:t>
              </w:r>
            </w:hyperlink>
          </w:p>
        </w:tc>
        <w:tc>
          <w:tcPr>
            <w:tcW w:w="11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r>
      <w:tr>
        <w:trPr>
          <w:trHeight w:val="245"/>
        </w:trPr>
        <w:tc>
          <w:tcPr>
            <w:tcW w:w="380" w:type="dxa"/>
            <w:vAlign w:val="bottom"/>
          </w:tcPr>
          <w:p>
            <w:pPr>
              <w:spacing w:after="0"/>
              <w:rPr>
                <w:sz w:val="21"/>
                <w:szCs w:val="21"/>
                <w:color w:val="auto"/>
              </w:rPr>
            </w:pPr>
          </w:p>
        </w:tc>
        <w:tc>
          <w:tcPr>
            <w:tcW w:w="30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8"/>
                <w:szCs w:val="18"/>
                <w:color w:val="0000FF"/>
                <w:w w:val="95"/>
              </w:rPr>
            </w:pPr>
            <w:hyperlink r:id="rId18">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3</w:t>
              </w:r>
            </w:hyperlink>
          </w:p>
        </w:tc>
        <w:tc>
          <w:tcPr>
            <w:tcW w:w="460" w:type="dxa"/>
            <w:vAlign w:val="bottom"/>
          </w:tcPr>
          <w:p>
            <w:pPr>
              <w:spacing w:after="0"/>
              <w:rPr>
                <w:sz w:val="21"/>
                <w:szCs w:val="21"/>
                <w:color w:val="auto"/>
              </w:rPr>
            </w:pPr>
          </w:p>
        </w:tc>
        <w:tc>
          <w:tcPr>
            <w:tcW w:w="25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7"/>
              </w:rPr>
            </w:pPr>
            <w:hyperlink r:id="rId18">
              <w:r>
                <w:rPr>
                  <w:rFonts w:ascii="Times New Roman" w:cs="Times New Roman" w:eastAsia="Times New Roman" w:hAnsi="Times New Roman"/>
                  <w:sz w:val="18"/>
                  <w:szCs w:val="18"/>
                  <w:color w:val="0000FF"/>
                  <w:w w:val="97"/>
                </w:rPr>
                <w:t>Form of Stock Option Grant Notice</w:t>
              </w:r>
            </w:hyperlink>
          </w:p>
        </w:tc>
        <w:tc>
          <w:tcPr>
            <w:tcW w:w="1660" w:type="dxa"/>
            <w:vAlign w:val="bottom"/>
            <w:tcBorders>
              <w:top w:val="single" w:sz="8" w:color="0000FF"/>
            </w:tcBorders>
            <w:gridSpan w:val="5"/>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10.7(a)</w:t>
            </w:r>
          </w:p>
        </w:tc>
      </w:tr>
      <w:tr>
        <w:trPr>
          <w:trHeight w:val="245"/>
        </w:trPr>
        <w:tc>
          <w:tcPr>
            <w:tcW w:w="680" w:type="dxa"/>
            <w:vAlign w:val="bottom"/>
            <w:gridSpan w:val="4"/>
          </w:tcPr>
          <w:p>
            <w:pPr>
              <w:jc w:val="center"/>
              <w:ind w:left="272"/>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4</w:t>
              </w:r>
            </w:hyperlink>
          </w:p>
        </w:tc>
        <w:tc>
          <w:tcPr>
            <w:tcW w:w="460" w:type="dxa"/>
            <w:vAlign w:val="bottom"/>
          </w:tcPr>
          <w:p>
            <w:pPr>
              <w:spacing w:after="0"/>
              <w:rPr>
                <w:sz w:val="21"/>
                <w:szCs w:val="21"/>
                <w:color w:val="auto"/>
              </w:rPr>
            </w:pPr>
          </w:p>
        </w:tc>
        <w:tc>
          <w:tcPr>
            <w:tcW w:w="4640" w:type="dxa"/>
            <w:vAlign w:val="bottom"/>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RSU Award Grant Notice</w:t>
              </w:r>
            </w:hyperlink>
          </w:p>
        </w:tc>
        <w:tc>
          <w:tcPr>
            <w:tcW w:w="11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001-39021</w:t>
            </w:r>
          </w:p>
        </w:tc>
        <w:tc>
          <w:tcPr>
            <w:tcW w:w="11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10.7(b)</w:t>
            </w:r>
          </w:p>
        </w:tc>
      </w:tr>
      <w:tr>
        <w:trPr>
          <w:trHeight w:val="232"/>
        </w:trPr>
        <w:tc>
          <w:tcPr>
            <w:tcW w:w="380" w:type="dxa"/>
            <w:vAlign w:val="bottom"/>
          </w:tcPr>
          <w:p>
            <w:pPr>
              <w:spacing w:after="0"/>
              <w:rPr>
                <w:sz w:val="20"/>
                <w:szCs w:val="20"/>
                <w:color w:val="auto"/>
              </w:rPr>
            </w:pPr>
          </w:p>
        </w:tc>
        <w:tc>
          <w:tcPr>
            <w:tcW w:w="300" w:type="dxa"/>
            <w:vAlign w:val="bottom"/>
            <w:tcBorders>
              <w:top w:val="single" w:sz="8" w:color="0000FF"/>
              <w:bottom w:val="single" w:sz="8" w:color="0000FF"/>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0000FF"/>
                <w:w w:val="96"/>
              </w:rPr>
              <w:t>107</w:t>
            </w:r>
          </w:p>
        </w:tc>
        <w:tc>
          <w:tcPr>
            <w:tcW w:w="460" w:type="dxa"/>
            <w:vAlign w:val="bottom"/>
          </w:tcPr>
          <w:p>
            <w:pPr>
              <w:spacing w:after="0"/>
              <w:rPr>
                <w:sz w:val="20"/>
                <w:szCs w:val="20"/>
                <w:color w:val="auto"/>
              </w:rPr>
            </w:pPr>
          </w:p>
        </w:tc>
        <w:tc>
          <w:tcPr>
            <w:tcW w:w="1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Filing Fee Table</w:t>
            </w:r>
          </w:p>
        </w:tc>
        <w:tc>
          <w:tcPr>
            <w:tcW w:w="1260" w:type="dxa"/>
            <w:vAlign w:val="bottom"/>
            <w:tcBorders>
              <w:top w:val="single" w:sz="8" w:color="0000FF"/>
            </w:tcBorders>
            <w:gridSpan w:val="3"/>
          </w:tcPr>
          <w:p>
            <w:pPr>
              <w:spacing w:after="0"/>
              <w:rPr>
                <w:sz w:val="20"/>
                <w:szCs w:val="20"/>
                <w:color w:val="auto"/>
              </w:rPr>
            </w:pPr>
          </w:p>
        </w:tc>
        <w:tc>
          <w:tcPr>
            <w:tcW w:w="2220" w:type="dxa"/>
            <w:vAlign w:val="bottom"/>
            <w:gridSpan w:val="7"/>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-1985010</wp:posOffset>
            </wp:positionV>
            <wp:extent cx="677291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677291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-1648460</wp:posOffset>
            </wp:positionV>
            <wp:extent cx="677291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677291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-1311910</wp:posOffset>
            </wp:positionV>
            <wp:extent cx="6772910" cy="168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677291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-975360</wp:posOffset>
            </wp:positionV>
            <wp:extent cx="6772910" cy="16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677291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-638810</wp:posOffset>
            </wp:positionV>
            <wp:extent cx="6772910" cy="168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677291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-302260</wp:posOffset>
            </wp:positionV>
            <wp:extent cx="6772910" cy="168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677291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335" w:lineRule="auto"/>
        <w:rPr>
          <w:sz w:val="20"/>
          <w:szCs w:val="20"/>
          <w:color w:val="auto"/>
        </w:rPr>
      </w:pPr>
      <w:r>
        <w:rPr>
          <w:rFonts w:ascii="Times New Roman" w:cs="Times New Roman" w:eastAsia="Times New Roman" w:hAnsi="Times New Roman"/>
          <w:sz w:val="17"/>
          <w:szCs w:val="17"/>
          <w:b w:val="1"/>
          <w:bCs w:val="1"/>
          <w:color w:val="auto"/>
        </w:rPr>
        <w:t xml:space="preserve">Filing Date </w:t>
      </w:r>
      <w:r>
        <w:rPr>
          <w:rFonts w:ascii="Times New Roman" w:cs="Times New Roman" w:eastAsia="Times New Roman" w:hAnsi="Times New Roman"/>
          <w:sz w:val="17"/>
          <w:szCs w:val="17"/>
          <w:color w:val="auto"/>
        </w:rPr>
        <w:t>June 22, 2021 June 22, 2021 June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2021</w:t>
      </w:r>
    </w:p>
    <w:p>
      <w:pPr>
        <w:sectPr>
          <w:pgSz w:w="11900" w:h="16838" w:orient="portrait"/>
          <w:cols w:equalWidth="0" w:num="2">
            <w:col w:w="9320" w:space="180"/>
            <w:col w:w="980"/>
          </w:cols>
          <w:pgMar w:left="320" w:top="742" w:right="10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March 20, 2025.</w:t>
      </w:r>
    </w:p>
    <w:p>
      <w:pPr>
        <w:spacing w:after="0" w:line="18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31750</wp:posOffset>
            </wp:positionV>
            <wp:extent cx="2367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and each of them, his true and lawful attorneys-in-fact and agents, each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might or could do in person, hereby ratifying and confirming all that each of said attorneys-in-fact and agents, or his substitute or substitutes may lawfully do or cause to be done by virtue hereof.</w:t>
      </w:r>
    </w:p>
    <w:p>
      <w:pPr>
        <w:spacing w:after="0" w:line="14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53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71"/>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Douglas Francis</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Douglas Francis</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Susan Echard</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Echard</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Tony Aquila</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Tony Aquila</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Anthony Bay</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Anthony Bay</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Brenda Freeman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Brenda Freeman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Olga Gonzalez</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Olga Gonzalez</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Scott Gordon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6"/>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Gordon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Glen Ibbott</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Glen Ibbott</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1240"/>
          </w:cols>
          <w:pgMar w:left="320" w:top="994"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CALCULATION OF REGISTRATION FEE</w:t>
      </w:r>
    </w:p>
    <w:p>
      <w:pPr>
        <w:spacing w:after="0" w:line="371"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60"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color w:val="auto"/>
        </w:rPr>
        <w:t>(Form Type)</w:t>
      </w:r>
    </w:p>
    <w:p>
      <w:pPr>
        <w:spacing w:after="0" w:line="348"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60"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80"/>
        </w:trPr>
        <w:tc>
          <w:tcPr>
            <w:tcW w:w="980" w:type="dxa"/>
            <w:vAlign w:val="bottom"/>
            <w:gridSpan w:val="2"/>
            <w:vMerge w:val="restart"/>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Amount to be</w:t>
            </w:r>
          </w:p>
        </w:tc>
        <w:tc>
          <w:tcPr>
            <w:tcW w:w="340" w:type="dxa"/>
            <w:vAlign w:val="bottom"/>
          </w:tcPr>
          <w:p>
            <w:pPr>
              <w:spacing w:after="0"/>
              <w:rPr>
                <w:sz w:val="6"/>
                <w:szCs w:val="6"/>
                <w:color w:val="auto"/>
              </w:rPr>
            </w:pPr>
          </w:p>
        </w:tc>
        <w:tc>
          <w:tcPr>
            <w:tcW w:w="118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980" w:type="dxa"/>
            <w:vAlign w:val="bottom"/>
            <w:gridSpan w:val="2"/>
            <w:vMerge w:val="continue"/>
          </w:tcPr>
          <w:p>
            <w:pPr>
              <w:spacing w:after="0"/>
              <w:rPr>
                <w:sz w:val="8"/>
                <w:szCs w:val="8"/>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Security Class Title</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Calculation</w:t>
            </w:r>
          </w:p>
        </w:tc>
        <w:tc>
          <w:tcPr>
            <w:tcW w:w="12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 offering</w:t>
            </w:r>
          </w:p>
        </w:tc>
        <w:tc>
          <w:tcPr>
            <w:tcW w:w="0" w:type="dxa"/>
            <w:vAlign w:val="bottom"/>
          </w:tcPr>
          <w:p>
            <w:pPr>
              <w:spacing w:after="0"/>
              <w:rPr>
                <w:sz w:val="1"/>
                <w:szCs w:val="1"/>
                <w:color w:val="auto"/>
              </w:rPr>
            </w:pPr>
          </w:p>
        </w:tc>
      </w:tr>
      <w:tr>
        <w:trPr>
          <w:trHeight w:val="172"/>
        </w:trPr>
        <w:tc>
          <w:tcPr>
            <w:tcW w:w="9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2"/>
              </w:rPr>
              <w:t>Type</w:t>
            </w:r>
          </w:p>
        </w:tc>
        <w:tc>
          <w:tcPr>
            <w:tcW w:w="16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0" w:type="dxa"/>
            <w:vAlign w:val="bottom"/>
          </w:tcPr>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registered </w:t>
            </w:r>
            <w:r>
              <w:rPr>
                <w:rFonts w:ascii="Times New Roman" w:cs="Times New Roman" w:eastAsia="Times New Roman" w:hAnsi="Times New Roman"/>
                <w:sz w:val="19"/>
                <w:szCs w:val="19"/>
                <w:b w:val="1"/>
                <w:bCs w:val="1"/>
                <w:color w:val="auto"/>
                <w:vertAlign w:val="superscript"/>
              </w:rPr>
              <w:t>(1)</w:t>
            </w:r>
          </w:p>
        </w:tc>
        <w:tc>
          <w:tcPr>
            <w:tcW w:w="34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offering price</w:t>
            </w:r>
          </w:p>
        </w:tc>
        <w:tc>
          <w:tcPr>
            <w:tcW w:w="3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4"/>
              </w:rPr>
              <w:t>Rule</w:t>
            </w: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2"/>
              <w:spacing w:after="0" w:line="186"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0" w:type="dxa"/>
            <w:vAlign w:val="bottom"/>
          </w:tcPr>
          <w:p>
            <w:pPr>
              <w:spacing w:after="0"/>
              <w:rPr>
                <w:sz w:val="1"/>
                <w:szCs w:val="1"/>
                <w:color w:val="auto"/>
              </w:rPr>
            </w:pPr>
          </w:p>
        </w:tc>
      </w:tr>
      <w:tr>
        <w:trPr>
          <w:trHeight w:val="53"/>
        </w:trPr>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2021 Equity</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180" w:type="dxa"/>
            <w:vAlign w:val="bottom"/>
          </w:tcPr>
          <w:p>
            <w:pPr>
              <w:spacing w:after="0"/>
              <w:rPr>
                <w:sz w:val="14"/>
                <w:szCs w:val="14"/>
                <w:color w:val="auto"/>
              </w:rPr>
            </w:pPr>
          </w:p>
        </w:tc>
        <w:tc>
          <w:tcPr>
            <w:tcW w:w="3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80" w:type="dxa"/>
            <w:vAlign w:val="bottom"/>
            <w:gridSpan w:val="2"/>
            <w:vMerge w:val="restart"/>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gridSpan w:val="2"/>
            <w:vMerge w:val="restart"/>
          </w:tcPr>
          <w:p>
            <w:pPr>
              <w:ind w:left="140"/>
              <w:spacing w:after="0" w:line="186" w:lineRule="exact"/>
              <w:rPr>
                <w:sz w:val="20"/>
                <w:szCs w:val="20"/>
                <w:color w:val="auto"/>
              </w:rPr>
            </w:pPr>
            <w:r>
              <w:rPr>
                <w:rFonts w:ascii="Times New Roman" w:cs="Times New Roman" w:eastAsia="Times New Roman" w:hAnsi="Times New Roman"/>
                <w:sz w:val="18"/>
                <w:szCs w:val="18"/>
                <w:color w:val="auto"/>
              </w:rPr>
              <w:t>(Class A Common</w:t>
            </w:r>
          </w:p>
        </w:tc>
        <w:tc>
          <w:tcPr>
            <w:tcW w:w="1300" w:type="dxa"/>
            <w:vAlign w:val="bottom"/>
            <w:gridSpan w:val="2"/>
            <w:vMerge w:val="restart"/>
          </w:tcPr>
          <w:p>
            <w:pPr>
              <w:jc w:val="center"/>
              <w:ind w:right="60"/>
              <w:spacing w:after="0" w:line="186" w:lineRule="exact"/>
              <w:rPr>
                <w:sz w:val="20"/>
                <w:szCs w:val="20"/>
                <w:color w:val="auto"/>
              </w:rPr>
            </w:pPr>
            <w:r>
              <w:rPr>
                <w:rFonts w:ascii="Times New Roman" w:cs="Times New Roman" w:eastAsia="Times New Roman" w:hAnsi="Times New Roman"/>
                <w:sz w:val="18"/>
                <w:szCs w:val="18"/>
                <w:color w:val="auto"/>
                <w:w w:val="97"/>
              </w:rPr>
              <w:t>Other</w:t>
            </w:r>
          </w:p>
        </w:tc>
        <w:tc>
          <w:tcPr>
            <w:tcW w:w="120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7,667,632</w:t>
            </w:r>
          </w:p>
        </w:tc>
        <w:tc>
          <w:tcPr>
            <w:tcW w:w="340" w:type="dxa"/>
            <w:vAlign w:val="bottom"/>
            <w:vMerge w:val="continue"/>
          </w:tcPr>
          <w:p>
            <w:pPr>
              <w:spacing w:after="0"/>
              <w:rPr>
                <w:sz w:val="9"/>
                <w:szCs w:val="9"/>
                <w:color w:val="auto"/>
              </w:rPr>
            </w:pPr>
          </w:p>
        </w:tc>
        <w:tc>
          <w:tcPr>
            <w:tcW w:w="118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$1.19</w:t>
            </w: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center"/>
              <w:ind w:right="112"/>
              <w:spacing w:after="0" w:line="186" w:lineRule="exact"/>
              <w:rPr>
                <w:sz w:val="20"/>
                <w:szCs w:val="20"/>
                <w:color w:val="auto"/>
              </w:rPr>
            </w:pPr>
            <w:r>
              <w:rPr>
                <w:rFonts w:ascii="Times New Roman" w:cs="Times New Roman" w:eastAsia="Times New Roman" w:hAnsi="Times New Roman"/>
                <w:sz w:val="18"/>
                <w:szCs w:val="18"/>
                <w:color w:val="auto"/>
                <w:w w:val="98"/>
              </w:rPr>
              <w:t>$9,124,482.08</w:t>
            </w:r>
          </w:p>
        </w:tc>
        <w:tc>
          <w:tcPr>
            <w:tcW w:w="0" w:type="dxa"/>
            <w:vAlign w:val="bottom"/>
          </w:tcPr>
          <w:p>
            <w:pPr>
              <w:spacing w:after="0"/>
              <w:rPr>
                <w:sz w:val="1"/>
                <w:szCs w:val="1"/>
                <w:color w:val="auto"/>
              </w:rPr>
            </w:pPr>
          </w:p>
        </w:tc>
      </w:tr>
      <w:tr>
        <w:trPr>
          <w:trHeight w:val="72"/>
        </w:trPr>
        <w:tc>
          <w:tcPr>
            <w:tcW w:w="98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7"/>
              </w:rPr>
              <w:t>Stock, par value</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$0.0001 per share)</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2021 Employee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Stock Purchase</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6"/>
              </w:rPr>
              <w:t>Plan</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7"/>
              </w:rPr>
              <w:t>Other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1,533,526</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5"/>
                <w:szCs w:val="15"/>
                <w:color w:val="auto"/>
              </w:rPr>
            </w:pPr>
          </w:p>
        </w:tc>
        <w:tc>
          <w:tcPr>
            <w:tcW w:w="13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color w:val="auto"/>
                <w:w w:val="98"/>
              </w:rPr>
              <w:t>$1,564,196.52</w:t>
            </w:r>
          </w:p>
        </w:tc>
        <w:tc>
          <w:tcPr>
            <w:tcW w:w="0" w:type="dxa"/>
            <w:vAlign w:val="bottom"/>
          </w:tcPr>
          <w:p>
            <w:pPr>
              <w:spacing w:after="0"/>
              <w:rPr>
                <w:sz w:val="1"/>
                <w:szCs w:val="1"/>
                <w:color w:val="auto"/>
              </w:rPr>
            </w:pPr>
          </w:p>
        </w:tc>
      </w:tr>
      <w:tr>
        <w:trPr>
          <w:trHeight w:val="139"/>
        </w:trPr>
        <w:tc>
          <w:tcPr>
            <w:tcW w:w="980" w:type="dxa"/>
            <w:vAlign w:val="bottom"/>
            <w:gridSpan w:val="2"/>
            <w:vMerge w:val="continue"/>
          </w:tcPr>
          <w:p>
            <w:pPr>
              <w:spacing w:after="0"/>
              <w:rPr>
                <w:sz w:val="12"/>
                <w:szCs w:val="12"/>
                <w:color w:val="auto"/>
              </w:rPr>
            </w:pPr>
          </w:p>
        </w:tc>
        <w:tc>
          <w:tcPr>
            <w:tcW w:w="1600" w:type="dxa"/>
            <w:vAlign w:val="bottom"/>
            <w:gridSpan w:val="2"/>
            <w:vMerge w:val="restart"/>
          </w:tcPr>
          <w:p>
            <w:pPr>
              <w:ind w:left="140"/>
              <w:spacing w:after="0" w:line="177" w:lineRule="exact"/>
              <w:rPr>
                <w:sz w:val="20"/>
                <w:szCs w:val="20"/>
                <w:color w:val="auto"/>
              </w:rPr>
            </w:pPr>
            <w:r>
              <w:rPr>
                <w:rFonts w:ascii="Times New Roman" w:cs="Times New Roman" w:eastAsia="Times New Roman" w:hAnsi="Times New Roman"/>
                <w:sz w:val="18"/>
                <w:szCs w:val="18"/>
                <w:color w:val="auto"/>
              </w:rPr>
              <w:t>(Class A Common</w:t>
            </w:r>
          </w:p>
        </w:tc>
        <w:tc>
          <w:tcPr>
            <w:tcW w:w="13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7"/>
              </w:rPr>
              <w:t>Stock, par value</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$0.0001 per share)</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9,201,158</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10,688,679</w:t>
            </w:r>
          </w:p>
        </w:tc>
        <w:tc>
          <w:tcPr>
            <w:tcW w:w="0" w:type="dxa"/>
            <w:vAlign w:val="bottom"/>
          </w:tcPr>
          <w:p>
            <w:pPr>
              <w:spacing w:after="0"/>
              <w:rPr>
                <w:sz w:val="1"/>
                <w:szCs w:val="1"/>
                <w:color w:val="auto"/>
              </w:rPr>
            </w:pPr>
          </w:p>
        </w:tc>
      </w:tr>
      <w:tr>
        <w:trPr>
          <w:trHeight w:val="205"/>
        </w:trPr>
        <w:tc>
          <w:tcPr>
            <w:tcW w:w="258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Total Fee Offsets</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01205"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01205" cy="142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-596900</wp:posOffset>
            </wp:positionV>
            <wp:extent cx="7101205" cy="15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0120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-1909445</wp:posOffset>
            </wp:positionV>
            <wp:extent cx="7101205" cy="605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01205" cy="605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Amount of</w:t>
      </w:r>
    </w:p>
    <w:p>
      <w:pPr>
        <w:ind w:left="1360" w:right="220" w:hanging="1476"/>
        <w:spacing w:after="0" w:line="26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Fee rate</w:t>
      </w:r>
      <w:r>
        <w:rPr>
          <w:sz w:val="20"/>
          <w:szCs w:val="20"/>
          <w:color w:val="auto"/>
        </w:rPr>
        <w:tab/>
      </w:r>
      <w:r>
        <w:rPr>
          <w:rFonts w:ascii="Times New Roman" w:cs="Times New Roman" w:eastAsia="Times New Roman" w:hAnsi="Times New Roman"/>
          <w:sz w:val="17"/>
          <w:szCs w:val="17"/>
          <w:b w:val="1"/>
          <w:bCs w:val="1"/>
          <w:color w:val="auto"/>
        </w:rPr>
        <w:t>registration fee</w:t>
      </w:r>
      <w:r>
        <w:rPr>
          <w:rFonts w:ascii="Times New Roman" w:cs="Times New Roman" w:eastAsia="Times New Roman" w:hAnsi="Times New Roman"/>
          <w:sz w:val="21"/>
          <w:szCs w:val="21"/>
          <w:b w:val="1"/>
          <w:bCs w:val="1"/>
          <w:color w:val="auto"/>
          <w:vertAlign w:val="superscript"/>
        </w:rPr>
        <w:t>(6)</w:t>
      </w:r>
    </w:p>
    <w:p>
      <w:pPr>
        <w:spacing w:after="0" w:line="37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$0.00015310</w:t>
      </w:r>
      <w:r>
        <w:rPr>
          <w:sz w:val="20"/>
          <w:szCs w:val="20"/>
          <w:color w:val="auto"/>
        </w:rPr>
        <w:tab/>
      </w:r>
      <w:r>
        <w:rPr>
          <w:rFonts w:ascii="Times New Roman" w:cs="Times New Roman" w:eastAsia="Times New Roman" w:hAnsi="Times New Roman"/>
          <w:sz w:val="17"/>
          <w:szCs w:val="17"/>
          <w:color w:val="auto"/>
        </w:rPr>
        <w:t>$1,396.96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$0.00015310</w:t>
      </w:r>
      <w:r>
        <w:rPr>
          <w:sz w:val="20"/>
          <w:szCs w:val="20"/>
          <w:color w:val="auto"/>
        </w:rPr>
        <w:tab/>
      </w:r>
      <w:r>
        <w:rPr>
          <w:rFonts w:ascii="Times New Roman" w:cs="Times New Roman" w:eastAsia="Times New Roman" w:hAnsi="Times New Roman"/>
          <w:sz w:val="17"/>
          <w:szCs w:val="17"/>
          <w:color w:val="auto"/>
        </w:rPr>
        <w:t>$239.48</w:t>
      </w:r>
    </w:p>
    <w:p>
      <w:pPr>
        <w:spacing w:after="0" w:line="200" w:lineRule="exact"/>
        <w:rPr>
          <w:sz w:val="20"/>
          <w:szCs w:val="20"/>
          <w:color w:val="auto"/>
        </w:rPr>
      </w:pPr>
    </w:p>
    <w:p>
      <w:pPr>
        <w:spacing w:after="0" w:line="282" w:lineRule="exact"/>
        <w:rPr>
          <w:sz w:val="20"/>
          <w:szCs w:val="20"/>
          <w:color w:val="auto"/>
        </w:rPr>
      </w:pPr>
    </w:p>
    <w:p>
      <w:pPr>
        <w:ind w:left="1200"/>
        <w:spacing w:after="0"/>
        <w:tabs>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1,636.44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300990</wp:posOffset>
            </wp:positionV>
            <wp:extent cx="799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14605</wp:posOffset>
            </wp:positionV>
            <wp:extent cx="799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$1,636.44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14605</wp:posOffset>
            </wp:positionV>
            <wp:extent cx="799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480" w:space="260"/>
            <w:col w:w="2460"/>
          </w:cols>
          <w:pgMar w:left="360" w:top="121" w:right="339" w:bottom="1440" w:gutter="0" w:footer="0" w:header="0"/>
        </w:sectPr>
      </w:pPr>
    </w:p>
    <w:p>
      <w:pPr>
        <w:jc w:val="both"/>
        <w:ind w:left="600" w:hanging="316"/>
        <w:spacing w:after="0" w:line="251" w:lineRule="auto"/>
        <w:tabs>
          <w:tab w:leader="none" w:pos="5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also covers an indeterminate number of additional shares of common stock that may be issued to adjust the number of shares issued pursuant to the plans described herein in the event of a stock dividend, stock split, reverse stock split, extraordinary dividend, extraordinary distribution, recapitalization, reorganization, merger, combination, consolidation, split-up, spin-off, combination, exchange of shares, rights offering, separation, reorganization, liquidation or similar transaction which results in an increase in the number of outstanding shares of the common stock of WM Technology, Inc. (the “Registrant”).</w:t>
      </w:r>
    </w:p>
    <w:p>
      <w:pPr>
        <w:spacing w:after="0" w:line="211" w:lineRule="exact"/>
        <w:rPr>
          <w:rFonts w:ascii="Times New Roman" w:cs="Times New Roman" w:eastAsia="Times New Roman" w:hAnsi="Times New Roman"/>
          <w:sz w:val="18"/>
          <w:szCs w:val="18"/>
          <w:color w:val="auto"/>
        </w:rPr>
      </w:pPr>
    </w:p>
    <w:p>
      <w:pPr>
        <w:ind w:left="600" w:hanging="316"/>
        <w:spacing w:after="0" w:line="274" w:lineRule="auto"/>
        <w:tabs>
          <w:tab w:leader="none" w:pos="5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that were added to the shares authorized for issuance under the WM Technology, Inc. 2021 Equity Incentive Plan (the “2021 EIP”) on January 1, 2025, pursuant to an “evergreen” provision contained in the 2021 EIP.</w:t>
      </w:r>
    </w:p>
    <w:p>
      <w:pPr>
        <w:spacing w:after="0" w:line="189" w:lineRule="exact"/>
        <w:rPr>
          <w:rFonts w:ascii="Times New Roman" w:cs="Times New Roman" w:eastAsia="Times New Roman" w:hAnsi="Times New Roman"/>
          <w:sz w:val="18"/>
          <w:szCs w:val="18"/>
          <w:color w:val="auto"/>
        </w:rPr>
      </w:pPr>
    </w:p>
    <w:p>
      <w:pPr>
        <w:ind w:left="600" w:hanging="316"/>
        <w:spacing w:after="0" w:line="274" w:lineRule="auto"/>
        <w:tabs>
          <w:tab w:leader="none" w:pos="5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that were added to the shares authorized for issuance under the WM Technology, Inc. 2021 Employee Stock Purchase Plan (the “2021 ESPP”) on January 1, 2025, pursuant to an “evergreen” provision contained in the 2021 ESPP.</w:t>
      </w:r>
    </w:p>
    <w:p>
      <w:pPr>
        <w:spacing w:after="0" w:line="189" w:lineRule="exact"/>
        <w:rPr>
          <w:rFonts w:ascii="Times New Roman" w:cs="Times New Roman" w:eastAsia="Times New Roman" w:hAnsi="Times New Roman"/>
          <w:sz w:val="18"/>
          <w:szCs w:val="18"/>
          <w:color w:val="auto"/>
        </w:rPr>
      </w:pPr>
    </w:p>
    <w:p>
      <w:pPr>
        <w:ind w:left="600" w:hanging="316"/>
        <w:spacing w:after="0" w:line="274" w:lineRule="auto"/>
        <w:tabs>
          <w:tab w:leader="none" w:pos="5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under the Securities Act, solely for the purposes of calculating the registration fee and based on the average of the high and low prices of the registrant’s Class A Common Stock as</w:t>
      </w:r>
    </w:p>
    <w:p>
      <w:pPr>
        <w:sectPr>
          <w:pgSz w:w="11900" w:h="16838" w:orient="portrait"/>
          <w:cols w:equalWidth="0" w:num="1">
            <w:col w:w="11200"/>
          </w:cols>
          <w:pgMar w:left="360" w:top="121" w:right="339" w:bottom="1440" w:gutter="0" w:footer="0" w:header="0"/>
          <w:type w:val="continuous"/>
        </w:sectPr>
      </w:pPr>
    </w:p>
    <w:bookmarkStart w:id="6" w:name="page7"/>
    <w:bookmarkEnd w:id="6"/>
    <w:p>
      <w:pPr>
        <w:ind w:left="9876"/>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6"/>
        <w:spacing w:after="0" w:line="274" w:lineRule="auto"/>
        <w:rPr>
          <w:sz w:val="20"/>
          <w:szCs w:val="20"/>
          <w:color w:val="auto"/>
        </w:rPr>
      </w:pPr>
      <w:r>
        <w:rPr>
          <w:rFonts w:ascii="Times New Roman" w:cs="Times New Roman" w:eastAsia="Times New Roman" w:hAnsi="Times New Roman"/>
          <w:sz w:val="18"/>
          <w:szCs w:val="18"/>
          <w:color w:val="auto"/>
        </w:rPr>
        <w:t>reported on the Nasdaq Global Select Market on March 14, 2025, which date is within five business days prior to the filing of this Registration Statement.</w:t>
      </w:r>
    </w:p>
    <w:p>
      <w:pPr>
        <w:spacing w:after="0" w:line="190" w:lineRule="exact"/>
        <w:rPr>
          <w:sz w:val="20"/>
          <w:szCs w:val="20"/>
          <w:color w:val="auto"/>
        </w:rPr>
      </w:pPr>
    </w:p>
    <w:p>
      <w:pPr>
        <w:jc w:val="both"/>
        <w:ind w:left="316" w:hanging="316"/>
        <w:spacing w:after="0" w:line="252" w:lineRule="auto"/>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March 14, 2025, which date is within five business days prior to the filing of this Registration Statement, multiplied by 85%, which is the percentage of the price per share applicable to purchases under the 2021 ESPP. Under the 2021 ESPP, the purchase price of a share of common stock is equal to 85% of the fair market value of the Registrant’s common stock on the offering date or the purchase date, whichever is less.</w:t>
      </w:r>
    </w:p>
    <w:p>
      <w:pPr>
        <w:spacing w:after="0" w:line="211" w:lineRule="exact"/>
        <w:rPr>
          <w:rFonts w:ascii="Times New Roman" w:cs="Times New Roman" w:eastAsia="Times New Roman" w:hAnsi="Times New Roman"/>
          <w:sz w:val="18"/>
          <w:szCs w:val="18"/>
          <w:color w:val="auto"/>
        </w:rPr>
      </w:pPr>
    </w:p>
    <w:p>
      <w:pPr>
        <w:ind w:left="316" w:hanging="316"/>
        <w:spacing w:after="0" w:line="274" w:lineRule="auto"/>
        <w:tabs>
          <w:tab w:leader="none" w:pos="3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 of the Securities Act by calculating the product of (i) the proposed maximum aggregate offering price and (ii) 0.00015310.</w:t>
      </w:r>
    </w:p>
    <w:p>
      <w:pPr>
        <w:sectPr>
          <w:pgSz w:w="11900" w:h="16838" w:orient="portrait"/>
          <w:cols w:equalWidth="0" w:num="1">
            <w:col w:w="10916"/>
          </w:cols>
          <w:pgMar w:left="644" w:top="121" w:right="339" w:bottom="1440" w:gutter="0" w:footer="0" w:header="0"/>
        </w:sectPr>
      </w:pPr>
    </w:p>
    <w:bookmarkStart w:id="7" w:name="page8"/>
    <w:bookmarkEnd w:id="7"/>
    <w:p>
      <w:pPr>
        <w:ind w:left="1026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967740" cy="319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David G. Peinsipp</w:t>
      </w:r>
    </w:p>
    <w:p>
      <w:pPr>
        <w:spacing w:after="0" w:line="21" w:lineRule="exact"/>
        <w:rPr>
          <w:sz w:val="20"/>
          <w:szCs w:val="20"/>
          <w:color w:val="auto"/>
        </w:rPr>
      </w:pPr>
    </w:p>
    <w:p>
      <w:pPr>
        <w:ind w:right="9420" w:firstLine="6"/>
        <w:spacing w:after="0" w:line="269" w:lineRule="auto"/>
        <w:tabs>
          <w:tab w:leader="none" w:pos="186" w:val="left"/>
        </w:tabs>
        <w:numPr>
          <w:ilvl w:val="0"/>
          <w:numId w:val="5"/>
        </w:numPr>
        <w:rPr>
          <w:rFonts w:ascii="Arial" w:cs="Arial" w:eastAsia="Arial" w:hAnsi="Arial"/>
          <w:sz w:val="17"/>
          <w:szCs w:val="17"/>
          <w:color w:val="auto"/>
        </w:rPr>
      </w:pPr>
      <w:r>
        <w:rPr>
          <w:rFonts w:ascii="Arial" w:cs="Arial" w:eastAsia="Arial" w:hAnsi="Arial"/>
          <w:sz w:val="17"/>
          <w:szCs w:val="17"/>
          <w:color w:val="auto"/>
        </w:rPr>
        <w:t>+1 415-693-2177 dpeinsipp@cooley.com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March 20, 2025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rPr>
          <w:sz w:val="20"/>
          <w:szCs w:val="20"/>
          <w:color w:val="auto"/>
        </w:rPr>
      </w:pPr>
      <w:r>
        <w:rPr>
          <w:rFonts w:ascii="Arial" w:cs="Arial" w:eastAsia="Arial" w:hAnsi="Arial"/>
          <w:sz w:val="18"/>
          <w:szCs w:val="18"/>
          <w:color w:val="auto"/>
        </w:rPr>
        <w:t>41 Discovery</w:t>
      </w:r>
    </w:p>
    <w:p>
      <w:pPr>
        <w:spacing w:after="0"/>
        <w:rPr>
          <w:sz w:val="20"/>
          <w:szCs w:val="20"/>
          <w:color w:val="auto"/>
        </w:rPr>
      </w:pPr>
      <w:r>
        <w:rPr>
          <w:rFonts w:ascii="Arial" w:cs="Arial" w:eastAsia="Arial" w:hAnsi="Arial"/>
          <w:sz w:val="18"/>
          <w:szCs w:val="18"/>
          <w:color w:val="auto"/>
        </w:rPr>
        <w:t>Irvine, California 92618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acted as counsel to WM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covering the offering of up to 9,201,158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consisting of (i) 7,667,632 shares of Class A Common Stock issuable pursuant to the Company’s 2021 Equity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and (ii) 1,533,526 shares of Class A Common Stock issuable pursuant to the Company’s 2021 Employee Stock Purchase Plan (together with the 2021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note that the Company was initially incorporated under the laws of the Cayman Islands and was domesticated (the “</w:t>
      </w:r>
      <w:r>
        <w:rPr>
          <w:rFonts w:ascii="Arial" w:cs="Arial" w:eastAsia="Arial" w:hAnsi="Arial"/>
          <w:sz w:val="17"/>
          <w:szCs w:val="17"/>
          <w:b w:val="1"/>
          <w:bCs w:val="1"/>
          <w:i w:val="1"/>
          <w:iCs w:val="1"/>
          <w:color w:val="auto"/>
        </w:rPr>
        <w:t>Domestication</w:t>
      </w:r>
      <w:r>
        <w:rPr>
          <w:rFonts w:ascii="Arial" w:cs="Arial" w:eastAsia="Arial" w:hAnsi="Arial"/>
          <w:sz w:val="17"/>
          <w:szCs w:val="17"/>
          <w:color w:val="auto"/>
        </w:rPr>
        <w:t>”) as a</w:t>
      </w: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corporation in the State of Delaware in accordance with Section 388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We have assumed all matters determinable under the laws of the Cayman Islands, including without limitation that the approval of the Plans by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board of directors and shareholders of the Company as a Cayman Islands exempted company prior to the Domestication was done in accordance with the applicable governing documents of the Company and the laws of the Cayman Islands.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basis of the foregoing, and in reliance thereon, and subject to the qualifications stated herein,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21" w:right="339" w:bottom="1440" w:gutter="0" w:footer="0" w:header="0"/>
        </w:sectPr>
      </w:pPr>
    </w:p>
    <w:bookmarkStart w:id="8" w:name="page9"/>
    <w:bookmarkEnd w:id="8"/>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967740" cy="319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 Peinsipp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this Registration Statement on Form S-8 of WM Technology, Inc. (the “Company”) , of our report dated March 13, 2025, relating to the consolidated financial statements of the Company and the effectiveness of internal control over financial reporting of the Company, (which report expresses an unqualified opinion on the consolidated financial statements and an adverse opinion on the effectiveness of internal control over financial reporting due to material weaknesses) appearing in the Annual Report on Form 10-K of the Company for the year ended December 31, 2024, filed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20, 2025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jpeg"/><Relationship Id="rId11" Type="http://schemas.openxmlformats.org/officeDocument/2006/relationships/hyperlink" Target="https://www.sec.gov/ix?doc=/Archives/edgar/data/0001779474/000177947425000007/maps-20241231.htm" TargetMode="External"/><Relationship Id="rId12" Type="http://schemas.openxmlformats.org/officeDocument/2006/relationships/hyperlink" Target="https://www.sec.gov/Archives/edgar/data/1779474/000095010319010568/dp110898_8a12b.htm" TargetMode="External"/><Relationship Id="rId13" Type="http://schemas.openxmlformats.org/officeDocument/2006/relationships/hyperlink" Target="https://www.sec.gov/Archives/edgar/data/1779474/000114036121021785/brhc10025756_ex3-1.htm" TargetMode="External"/><Relationship Id="rId14" Type="http://schemas.openxmlformats.org/officeDocument/2006/relationships/hyperlink" Target="https://www.sec.gov/Archives/edgar/data/1779474/000114036121021785/brhc10025756_ex3-2.htm" TargetMode="External"/><Relationship Id="rId15" Type="http://schemas.openxmlformats.org/officeDocument/2006/relationships/hyperlink" Target="https://www.sec.gov/Archives/edgar/data/1779474/000114036121021785/brhc10025756_ex4-1.htm" TargetMode="External"/><Relationship Id="rId16" Type="http://schemas.openxmlformats.org/officeDocument/2006/relationships/hyperlink" Target="https://www.sec.gov/Archives/edgar/data/1779474/000114036121021785/brhc10025756_ex10-7.htm" TargetMode="External"/><Relationship Id="rId17" Type="http://schemas.openxmlformats.org/officeDocument/2006/relationships/hyperlink" Target="https://www.sec.gov/Archives/edgar/data/1779474/000114036121021785/brhc10025756_ex10-8.htm" TargetMode="External"/><Relationship Id="rId18" Type="http://schemas.openxmlformats.org/officeDocument/2006/relationships/hyperlink" Target="https://www.sec.gov/Archives/edgar/data/1779474/000114036121021785/brhc10025756_ex10-7a.htm" TargetMode="External"/><Relationship Id="rId19" Type="http://schemas.openxmlformats.org/officeDocument/2006/relationships/hyperlink" Target="https://www.sec.gov/Archives/edgar/data/1779474/000114036121021785/brhc10025756_ex10-7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2025-03-20T15:45:34Z</dcterms:created>
  <dcterms:modified xsi:type="dcterms:W3CDTF">2025-03-20T15:45:34Z</dcterms:modified>
</cp:coreProperties>
</file>