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Ibbott William Glen</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WM TECHNOLOGY,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MAPS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Borders>
              <w:bottom w:val="single" w:sz="8" w:color="0000EE"/>
            </w:tcBorders>
          </w:tcPr>
          <w:p>
            <w:pPr>
              <w:spacing w:after="0"/>
              <w:rPr>
                <w:sz w:val="6"/>
                <w:szCs w:val="6"/>
                <w:color w:val="auto"/>
              </w:rPr>
            </w:pPr>
          </w:p>
        </w:tc>
        <w:tc>
          <w:tcPr>
            <w:tcW w:w="13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2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06/24/2025</w:t>
            </w:r>
          </w:p>
        </w:tc>
        <w:tc>
          <w:tcPr>
            <w:tcW w:w="13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280" w:type="dxa"/>
            <w:vAlign w:val="bottom"/>
          </w:tcPr>
          <w:p>
            <w:pPr>
              <w:spacing w:after="0"/>
              <w:rPr>
                <w:sz w:val="11"/>
                <w:szCs w:val="11"/>
                <w:color w:val="auto"/>
              </w:rPr>
            </w:pPr>
          </w:p>
        </w:tc>
        <w:tc>
          <w:tcPr>
            <w:tcW w:w="2560" w:type="dxa"/>
            <w:vAlign w:val="bottom"/>
            <w:gridSpan w:val="3"/>
            <w:vMerge w:val="continue"/>
          </w:tcPr>
          <w:p>
            <w:pPr>
              <w:spacing w:after="0"/>
              <w:rPr>
                <w:sz w:val="11"/>
                <w:szCs w:val="11"/>
                <w:color w:val="auto"/>
              </w:rPr>
            </w:pPr>
          </w:p>
        </w:tc>
        <w:tc>
          <w:tcPr>
            <w:tcW w:w="13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4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06/24/2025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80" w:type="dxa"/>
            <w:vAlign w:val="bottom"/>
            <w:tcBorders>
              <w:bottom w:val="single" w:sz="8" w:color="2C2C2C"/>
            </w:tcBorders>
          </w:tcPr>
          <w:p>
            <w:pPr>
              <w:jc w:val="right"/>
              <w:ind w:right="151"/>
              <w:spacing w:after="0"/>
              <w:rPr>
                <w:sz w:val="20"/>
                <w:szCs w:val="20"/>
                <w:color w:val="auto"/>
              </w:rPr>
            </w:pPr>
            <w:r>
              <w:rPr>
                <w:rFonts w:ascii="Times New Roman" w:cs="Times New Roman" w:eastAsia="Times New Roman" w:hAnsi="Times New Roman"/>
                <w:sz w:val="17"/>
                <w:szCs w:val="17"/>
                <w:color w:val="0000FF"/>
              </w:rPr>
              <w:t>50,505</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0.9116</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117,845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06/24/2025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tcBorders>
              <w:bottom w:val="single" w:sz="8" w:color="2C2C2C"/>
            </w:tcBorders>
          </w:tcPr>
          <w:p>
            <w:pPr>
              <w:jc w:val="center"/>
              <w:ind w:right="11"/>
              <w:spacing w:after="0"/>
              <w:rPr>
                <w:sz w:val="20"/>
                <w:szCs w:val="20"/>
                <w:color w:val="auto"/>
              </w:rPr>
            </w:pPr>
            <w:r>
              <w:rPr>
                <w:rFonts w:ascii="Times New Roman" w:cs="Times New Roman" w:eastAsia="Times New Roman" w:hAnsi="Times New Roman"/>
                <w:sz w:val="17"/>
                <w:szCs w:val="17"/>
                <w:color w:val="0000FF"/>
              </w:rPr>
              <w:t>545,454</w:t>
            </w:r>
            <w:r>
              <w:rPr>
                <w:rFonts w:ascii="Times New Roman" w:cs="Times New Roman" w:eastAsia="Times New Roman" w:hAnsi="Times New Roman"/>
                <w:sz w:val="22"/>
                <w:szCs w:val="22"/>
                <w:color w:val="008000"/>
                <w:vertAlign w:val="superscript"/>
              </w:rPr>
              <w:t>(4)</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663,299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sold the number of shares of Class A common stock necessary to cover applicable tax obligations realized upon the vesting of restricted stock units, as well as any related brokerage commission fees.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pursuant to a 10b5-1 trading plan adopted by the Reporting Person on November 18, 2024.</w:t>
      </w:r>
    </w:p>
    <w:p>
      <w:pPr>
        <w:spacing w:after="0" w:line="50"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$0.9101 to $0.9208. The Reporting Person will provide upon request to the SEC, the Issuer or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Class A Common Stock underlying restricted stock units ("RSUs"). Each RSU represents the contingent right to receive one share of the Issuer's Class A Common Stock. The RSUs will fully vest in three equal annual installments on the date of the next three annual meeting of stockholders, beginning with the Issuer's next annual meeting of stockholders subsequent to the effectiveness of this RSU grant, subject to acceleration, and subject to the Reporting Person's Continuous Service (as defined in the Issuer's 2021 Equity Incentive Plan) through such vesting date.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William Glen Ibbott,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84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8427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Brian Camire, Attorney-in-</w:t>
      </w:r>
      <w:r>
        <w:rPr>
          <w:sz w:val="20"/>
          <w:szCs w:val="20"/>
          <w:color w:val="auto"/>
        </w:rPr>
        <w:tab/>
      </w:r>
      <w:r>
        <w:rPr>
          <w:rFonts w:ascii="Times New Roman" w:cs="Times New Roman" w:eastAsia="Times New Roman" w:hAnsi="Times New Roman"/>
          <w:sz w:val="17"/>
          <w:szCs w:val="17"/>
          <w:color w:val="0000FF"/>
        </w:rPr>
        <w:t>06/26/2025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31103" TargetMode="External"/><Relationship Id="rId14"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2025-06-26T19:23:11Z</dcterms:created>
  <dcterms:modified xsi:type="dcterms:W3CDTF">2025-06-26T19:23:11Z</dcterms:modified>
</cp:coreProperties>
</file>