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3"/>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2822575</wp:posOffset>
            </wp:positionH>
            <wp:positionV relativeFrom="page">
              <wp:posOffset>525780</wp:posOffset>
            </wp:positionV>
            <wp:extent cx="191135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11350" cy="8255"/>
                    </a:xfrm>
                    <a:prstGeom prst="rect">
                      <a:avLst/>
                    </a:prstGeom>
                    <a:noFill/>
                  </pic:spPr>
                </pic:pic>
              </a:graphicData>
            </a:graphic>
          </wp:anchor>
        </w:drawing>
        <w:drawing>
          <wp:anchor simplePos="0" relativeHeight="251657728" behindDoc="1" locked="0" layoutInCell="0" allowOverlap="1">
            <wp:simplePos x="0" y="0"/>
            <wp:positionH relativeFrom="page">
              <wp:posOffset>2822575</wp:posOffset>
            </wp:positionH>
            <wp:positionV relativeFrom="page">
              <wp:posOffset>405765</wp:posOffset>
            </wp:positionV>
            <wp:extent cx="191135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11350" cy="34290"/>
                    </a:xfrm>
                    <a:prstGeom prst="rect">
                      <a:avLst/>
                    </a:prstGeom>
                    <a:noFill/>
                  </pic:spPr>
                </pic:pic>
              </a:graphicData>
            </a:graphic>
          </wp:anchor>
        </w:drawing>
        <w:t>UNITED STATES</w:t>
      </w:r>
    </w:p>
    <w:p>
      <w:pPr>
        <w:spacing w:after="0" w:line="47"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3"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18"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78"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61"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18"/>
          <w:szCs w:val="18"/>
          <w:color w:val="auto"/>
        </w:rPr>
        <w:t>Date of Report (Date of earliest event reported): October 9,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2011680</wp:posOffset>
            </wp:positionH>
            <wp:positionV relativeFrom="paragraph">
              <wp:posOffset>248920</wp:posOffset>
            </wp:positionV>
            <wp:extent cx="30943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09435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9"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40"/>
          <w:szCs w:val="40"/>
          <w:b w:val="1"/>
          <w:bCs w:val="1"/>
          <w:color w:val="auto"/>
        </w:rPr>
        <w:t>WM TECHNOLOGY, INC.</w:t>
      </w:r>
    </w:p>
    <w:p>
      <w:pPr>
        <w:spacing w:after="0" w:line="65"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2011680</wp:posOffset>
            </wp:positionH>
            <wp:positionV relativeFrom="paragraph">
              <wp:posOffset>152400</wp:posOffset>
            </wp:positionV>
            <wp:extent cx="30943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200" w:lineRule="exact"/>
        <w:rPr>
          <w:sz w:val="24"/>
          <w:szCs w:val="24"/>
          <w:color w:val="auto"/>
        </w:rPr>
      </w:pPr>
    </w:p>
    <w:p>
      <w:pPr>
        <w:spacing w:after="0" w:line="389" w:lineRule="exact"/>
        <w:rPr>
          <w:sz w:val="24"/>
          <w:szCs w:val="24"/>
          <w:color w:val="auto"/>
        </w:rPr>
      </w:pPr>
    </w:p>
    <w:p>
      <w:pPr>
        <w:ind w:left="2674"/>
        <w:spacing w:after="0"/>
        <w:tabs>
          <w:tab w:leader="none" w:pos="5334" w:val="left"/>
          <w:tab w:leader="none" w:pos="7854" w:val="left"/>
        </w:tabs>
        <w:rPr>
          <w:sz w:val="20"/>
          <w:szCs w:val="20"/>
          <w:color w:val="auto"/>
        </w:rPr>
      </w:pPr>
      <w:r>
        <w:rPr>
          <w:rFonts w:ascii="Times New Roman" w:cs="Times New Roman" w:eastAsia="Times New Roman" w:hAnsi="Times New Roman"/>
          <w:sz w:val="18"/>
          <w:szCs w:val="18"/>
          <w:b w:val="1"/>
          <w:bCs w:val="1"/>
          <w:color w:val="auto"/>
        </w:rPr>
        <w:t>Delaware</w:t>
      </w:r>
      <w:r>
        <w:rPr>
          <w:sz w:val="20"/>
          <w:szCs w:val="20"/>
          <w:color w:val="auto"/>
        </w:rPr>
        <w:tab/>
      </w:r>
      <w:r>
        <w:rPr>
          <w:rFonts w:ascii="Times New Roman" w:cs="Times New Roman" w:eastAsia="Times New Roman" w:hAnsi="Times New Roman"/>
          <w:sz w:val="18"/>
          <w:szCs w:val="18"/>
          <w:b w:val="1"/>
          <w:bCs w:val="1"/>
          <w:color w:val="auto"/>
        </w:rPr>
        <w:t>001-39021</w:t>
      </w:r>
      <w:r>
        <w:rPr>
          <w:sz w:val="20"/>
          <w:szCs w:val="20"/>
          <w:color w:val="auto"/>
        </w:rPr>
        <w:tab/>
      </w:r>
      <w:r>
        <w:rPr>
          <w:rFonts w:ascii="Times New Roman" w:cs="Times New Roman" w:eastAsia="Times New Roman" w:hAnsi="Times New Roman"/>
          <w:sz w:val="18"/>
          <w:szCs w:val="18"/>
          <w:b w:val="1"/>
          <w:bCs w:val="1"/>
          <w:color w:val="auto"/>
        </w:rPr>
        <w:t>98-1605615</w:t>
      </w:r>
    </w:p>
    <w:p>
      <w:pPr>
        <w:spacing w:after="0" w:line="67" w:lineRule="exact"/>
        <w:rPr>
          <w:sz w:val="24"/>
          <w:szCs w:val="24"/>
          <w:color w:val="auto"/>
        </w:rPr>
      </w:pPr>
    </w:p>
    <w:p>
      <w:pPr>
        <w:ind w:left="1954"/>
        <w:spacing w:after="0"/>
        <w:tabs>
          <w:tab w:leader="none" w:pos="4734" w:val="left"/>
          <w:tab w:leader="none" w:pos="7174" w:val="left"/>
        </w:tabs>
        <w:rPr>
          <w:sz w:val="20"/>
          <w:szCs w:val="20"/>
          <w:color w:val="auto"/>
        </w:rPr>
      </w:pPr>
      <w:r>
        <w:rPr>
          <w:rFonts w:ascii="Times New Roman" w:cs="Times New Roman" w:eastAsia="Times New Roman" w:hAnsi="Times New Roman"/>
          <w:sz w:val="18"/>
          <w:szCs w:val="18"/>
          <w:color w:val="auto"/>
        </w:rPr>
        <w:t>(State or Other Jurisdiction of</w:t>
      </w:r>
      <w:r>
        <w:rPr>
          <w:sz w:val="20"/>
          <w:szCs w:val="20"/>
          <w:color w:val="auto"/>
        </w:rPr>
        <w:tab/>
      </w:r>
      <w:r>
        <w:rPr>
          <w:rFonts w:ascii="Times New Roman" w:cs="Times New Roman" w:eastAsia="Times New Roman" w:hAnsi="Times New Roman"/>
          <w:sz w:val="18"/>
          <w:szCs w:val="18"/>
          <w:color w:val="auto"/>
        </w:rPr>
        <w:t>(Commission File Number)</w:t>
      </w:r>
      <w:r>
        <w:rPr>
          <w:sz w:val="20"/>
          <w:szCs w:val="20"/>
          <w:color w:val="auto"/>
        </w:rPr>
        <w:tab/>
      </w:r>
      <w:r>
        <w:rPr>
          <w:rFonts w:ascii="Times New Roman" w:cs="Times New Roman" w:eastAsia="Times New Roman" w:hAnsi="Times New Roman"/>
          <w:sz w:val="17"/>
          <w:szCs w:val="17"/>
          <w:color w:val="auto"/>
        </w:rPr>
        <w:t>(I.R.S. Employer Identification</w:t>
      </w:r>
    </w:p>
    <w:p>
      <w:pPr>
        <w:spacing w:after="0" w:line="27" w:lineRule="exact"/>
        <w:rPr>
          <w:sz w:val="24"/>
          <w:szCs w:val="24"/>
          <w:color w:val="auto"/>
        </w:rPr>
      </w:pPr>
    </w:p>
    <w:p>
      <w:pPr>
        <w:ind w:left="2514"/>
        <w:spacing w:after="0"/>
        <w:tabs>
          <w:tab w:leader="none" w:pos="8134" w:val="left"/>
        </w:tabs>
        <w:rPr>
          <w:sz w:val="20"/>
          <w:szCs w:val="20"/>
          <w:color w:val="auto"/>
        </w:rPr>
      </w:pPr>
      <w:r>
        <w:rPr>
          <w:rFonts w:ascii="Times New Roman" w:cs="Times New Roman" w:eastAsia="Times New Roman" w:hAnsi="Times New Roman"/>
          <w:sz w:val="18"/>
          <w:szCs w:val="18"/>
          <w:color w:val="auto"/>
        </w:rPr>
        <w:t>Incorporation)</w:t>
      </w:r>
      <w:r>
        <w:rPr>
          <w:sz w:val="20"/>
          <w:szCs w:val="20"/>
          <w:color w:val="auto"/>
        </w:rPr>
        <w:tab/>
      </w:r>
      <w:r>
        <w:rPr>
          <w:rFonts w:ascii="Times New Roman" w:cs="Times New Roman" w:eastAsia="Times New Roman" w:hAnsi="Times New Roman"/>
          <w:sz w:val="18"/>
          <w:szCs w:val="18"/>
          <w:color w:val="auto"/>
        </w:rPr>
        <w:t>No.)</w:t>
      </w:r>
    </w:p>
    <w:p>
      <w:pPr>
        <w:spacing w:after="0" w:line="200" w:lineRule="exact"/>
        <w:rPr>
          <w:sz w:val="24"/>
          <w:szCs w:val="24"/>
          <w:color w:val="auto"/>
        </w:rPr>
      </w:pPr>
    </w:p>
    <w:p>
      <w:pPr>
        <w:spacing w:after="0" w:line="205" w:lineRule="exact"/>
        <w:rPr>
          <w:sz w:val="24"/>
          <w:szCs w:val="24"/>
          <w:color w:val="auto"/>
        </w:rPr>
      </w:pPr>
    </w:p>
    <w:p>
      <w:pPr>
        <w:ind w:left="2234"/>
        <w:spacing w:after="0"/>
        <w:rPr>
          <w:sz w:val="20"/>
          <w:szCs w:val="20"/>
          <w:color w:val="auto"/>
        </w:rPr>
      </w:pPr>
      <w:r>
        <w:rPr>
          <w:rFonts w:ascii="Times New Roman" w:cs="Times New Roman" w:eastAsia="Times New Roman" w:hAnsi="Times New Roman"/>
          <w:sz w:val="18"/>
          <w:szCs w:val="18"/>
          <w:b w:val="1"/>
          <w:bCs w:val="1"/>
          <w:color w:val="auto"/>
        </w:rPr>
        <w:t>41 Discovery</w:t>
      </w:r>
    </w:p>
    <w:p>
      <w:pPr>
        <w:spacing w:after="0" w:line="31" w:lineRule="exact"/>
        <w:rPr>
          <w:sz w:val="24"/>
          <w:szCs w:val="24"/>
          <w:color w:val="auto"/>
        </w:rPr>
      </w:pPr>
    </w:p>
    <w:p>
      <w:pPr>
        <w:ind w:left="2054"/>
        <w:spacing w:after="0"/>
        <w:tabs>
          <w:tab w:leader="none" w:pos="8194" w:val="left"/>
        </w:tabs>
        <w:rPr>
          <w:sz w:val="20"/>
          <w:szCs w:val="20"/>
          <w:color w:val="auto"/>
        </w:rPr>
      </w:pPr>
      <w:r>
        <w:rPr>
          <w:rFonts w:ascii="Times New Roman" w:cs="Times New Roman" w:eastAsia="Times New Roman" w:hAnsi="Times New Roman"/>
          <w:sz w:val="18"/>
          <w:szCs w:val="18"/>
          <w:b w:val="1"/>
          <w:bCs w:val="1"/>
          <w:color w:val="auto"/>
        </w:rPr>
        <w:t>Irvine, California</w:t>
      </w:r>
      <w:r>
        <w:rPr>
          <w:sz w:val="20"/>
          <w:szCs w:val="20"/>
          <w:color w:val="auto"/>
        </w:rPr>
        <w:tab/>
      </w:r>
      <w:r>
        <w:rPr>
          <w:rFonts w:ascii="Times New Roman" w:cs="Times New Roman" w:eastAsia="Times New Roman" w:hAnsi="Times New Roman"/>
          <w:sz w:val="18"/>
          <w:szCs w:val="18"/>
          <w:b w:val="1"/>
          <w:bCs w:val="1"/>
          <w:color w:val="auto"/>
        </w:rPr>
        <w:t>92618</w:t>
      </w:r>
    </w:p>
    <w:p>
      <w:pPr>
        <w:spacing w:after="0" w:line="45" w:lineRule="exact"/>
        <w:rPr>
          <w:sz w:val="24"/>
          <w:szCs w:val="24"/>
          <w:color w:val="auto"/>
        </w:rPr>
      </w:pPr>
    </w:p>
    <w:p>
      <w:pPr>
        <w:ind w:left="1294"/>
        <w:spacing w:after="0"/>
        <w:tabs>
          <w:tab w:leader="none" w:pos="8014" w:val="left"/>
        </w:tabs>
        <w:rPr>
          <w:sz w:val="20"/>
          <w:szCs w:val="20"/>
          <w:color w:val="auto"/>
        </w:rPr>
      </w:pPr>
      <w:r>
        <w:rPr>
          <w:rFonts w:ascii="Times New Roman" w:cs="Times New Roman" w:eastAsia="Times New Roman" w:hAnsi="Times New Roman"/>
          <w:sz w:val="18"/>
          <w:szCs w:val="18"/>
          <w:color w:val="auto"/>
        </w:rPr>
        <w:t>(Address of principal executive offices)</w:t>
      </w:r>
      <w:r>
        <w:rPr>
          <w:sz w:val="20"/>
          <w:szCs w:val="20"/>
          <w:color w:val="auto"/>
        </w:rPr>
        <w:tab/>
      </w:r>
      <w:r>
        <w:rPr>
          <w:rFonts w:ascii="Times New Roman" w:cs="Times New Roman" w:eastAsia="Times New Roman" w:hAnsi="Times New Roman"/>
          <w:sz w:val="18"/>
          <w:szCs w:val="18"/>
          <w:color w:val="auto"/>
        </w:rPr>
        <w:t>(Zip Code)</w:t>
      </w:r>
    </w:p>
    <w:p>
      <w:pPr>
        <w:spacing w:after="0" w:line="235"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18"/>
          <w:szCs w:val="18"/>
          <w:b w:val="1"/>
          <w:bCs w:val="1"/>
          <w:color w:val="auto"/>
        </w:rPr>
        <w:t>(844) 933-3627</w:t>
      </w:r>
    </w:p>
    <w:p>
      <w:pPr>
        <w:spacing w:after="0" w:line="31"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9"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3"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47" w:lineRule="exact"/>
        <w:rPr>
          <w:sz w:val="24"/>
          <w:szCs w:val="24"/>
          <w:color w:val="auto"/>
        </w:rPr>
      </w:pPr>
    </w:p>
    <w:p>
      <w:pPr>
        <w:ind w:left="234"/>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obligations of the registrant under any of the following provisions:</w:t>
      </w:r>
    </w:p>
    <w:p>
      <w:pPr>
        <w:spacing w:after="0" w:line="256" w:lineRule="exact"/>
        <w:rPr>
          <w:sz w:val="24"/>
          <w:szCs w:val="24"/>
          <w:color w:val="auto"/>
        </w:rPr>
      </w:pPr>
    </w:p>
    <w:p>
      <w:pPr>
        <w:ind w:left="454" w:hanging="454"/>
        <w:spacing w:after="0"/>
        <w:tabs>
          <w:tab w:leader="none" w:pos="45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454" w:hanging="454"/>
        <w:spacing w:after="0"/>
        <w:tabs>
          <w:tab w:leader="none" w:pos="45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454" w:hanging="454"/>
        <w:spacing w:after="0"/>
        <w:tabs>
          <w:tab w:leader="none" w:pos="45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454" w:hanging="454"/>
        <w:spacing w:after="0"/>
        <w:tabs>
          <w:tab w:leader="none" w:pos="45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60" w:lineRule="exact"/>
        <w:rPr>
          <w:sz w:val="24"/>
          <w:szCs w:val="24"/>
          <w:color w:val="auto"/>
        </w:rPr>
      </w:pPr>
    </w:p>
    <w:p>
      <w:pPr>
        <w:ind w:left="23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302" w:lineRule="exact"/>
        <w:rPr>
          <w:sz w:val="24"/>
          <w:szCs w:val="24"/>
          <w:color w:val="auto"/>
        </w:rPr>
      </w:pPr>
    </w:p>
    <w:p>
      <w:pPr>
        <w:ind w:left="1834"/>
        <w:spacing w:after="0"/>
        <w:tabs>
          <w:tab w:leader="none" w:pos="5254" w:val="left"/>
          <w:tab w:leader="none" w:pos="7354" w:val="left"/>
        </w:tabs>
        <w:rPr>
          <w:sz w:val="20"/>
          <w:szCs w:val="20"/>
          <w:color w:val="auto"/>
        </w:rPr>
      </w:pPr>
      <w:r>
        <w:rPr>
          <w:rFonts w:ascii="Times New Roman" w:cs="Times New Roman" w:eastAsia="Times New Roman" w:hAnsi="Times New Roman"/>
          <w:sz w:val="18"/>
          <w:szCs w:val="18"/>
          <w:b w:val="1"/>
          <w:bCs w:val="1"/>
          <w:color w:val="auto"/>
        </w:rPr>
        <w:t>Title of each class</w:t>
      </w:r>
      <w:r>
        <w:rPr>
          <w:sz w:val="20"/>
          <w:szCs w:val="20"/>
          <w:color w:val="auto"/>
        </w:rPr>
        <w:tab/>
      </w:r>
      <w:r>
        <w:rPr>
          <w:rFonts w:ascii="Times New Roman" w:cs="Times New Roman" w:eastAsia="Times New Roman" w:hAnsi="Times New Roman"/>
          <w:sz w:val="18"/>
          <w:szCs w:val="18"/>
          <w:b w:val="1"/>
          <w:bCs w:val="1"/>
          <w:color w:val="auto"/>
        </w:rPr>
        <w:t>Trading symbol(s)</w:t>
      </w:r>
      <w:r>
        <w:rPr>
          <w:sz w:val="20"/>
          <w:szCs w:val="20"/>
          <w:color w:val="auto"/>
        </w:rPr>
        <w:tab/>
      </w:r>
      <w:r>
        <w:rPr>
          <w:rFonts w:ascii="Times New Roman" w:cs="Times New Roman" w:eastAsia="Times New Roman" w:hAnsi="Times New Roman"/>
          <w:sz w:val="17"/>
          <w:szCs w:val="17"/>
          <w:b w:val="1"/>
          <w:bCs w:val="1"/>
          <w:color w:val="auto"/>
        </w:rPr>
        <w:t>Name of each exchange on which registered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151130</wp:posOffset>
            </wp:positionH>
            <wp:positionV relativeFrom="paragraph">
              <wp:posOffset>36830</wp:posOffset>
            </wp:positionV>
            <wp:extent cx="67805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80530" cy="8890"/>
                    </a:xfrm>
                    <a:prstGeom prst="rect">
                      <a:avLst/>
                    </a:prstGeom>
                    <a:noFill/>
                  </pic:spPr>
                </pic:pic>
              </a:graphicData>
            </a:graphic>
          </wp:anchor>
        </w:drawing>
      </w:r>
    </w:p>
    <w:p>
      <w:pPr>
        <w:sectPr>
          <w:pgSz w:w="11900" w:h="16838" w:orient="portrait"/>
          <w:cols w:equalWidth="0" w:num="1">
            <w:col w:w="11014"/>
          </w:cols>
          <w:pgMar w:left="346" w:top="907" w:right="539" w:bottom="1440" w:gutter="0" w:footer="0" w:header="0"/>
        </w:sectPr>
      </w:pPr>
    </w:p>
    <w:p>
      <w:pPr>
        <w:spacing w:after="0" w:line="81" w:lineRule="exact"/>
        <w:rPr>
          <w:sz w:val="24"/>
          <w:szCs w:val="24"/>
          <w:color w:val="auto"/>
        </w:rPr>
      </w:pPr>
    </w:p>
    <w:p>
      <w:pPr>
        <w:ind w:left="254"/>
        <w:spacing w:after="0"/>
        <w:rPr>
          <w:sz w:val="20"/>
          <w:szCs w:val="20"/>
          <w:color w:val="auto"/>
        </w:rPr>
      </w:pPr>
      <w:r>
        <w:rPr>
          <w:rFonts w:ascii="Times New Roman" w:cs="Times New Roman" w:eastAsia="Times New Roman" w:hAnsi="Times New Roman"/>
          <w:sz w:val="18"/>
          <w:szCs w:val="18"/>
          <w:color w:val="auto"/>
        </w:rPr>
        <w:t>Class A Common Stock, $0.0001 par value per share</w:t>
      </w:r>
    </w:p>
    <w:p>
      <w:pPr>
        <w:spacing w:after="0" w:line="63" w:lineRule="exact"/>
        <w:rPr>
          <w:sz w:val="24"/>
          <w:szCs w:val="24"/>
          <w:color w:val="auto"/>
        </w:rPr>
      </w:pPr>
    </w:p>
    <w:p>
      <w:pPr>
        <w:jc w:val="both"/>
        <w:ind w:left="254" w:right="500"/>
        <w:spacing w:after="0" w:line="266" w:lineRule="auto"/>
        <w:rPr>
          <w:sz w:val="20"/>
          <w:szCs w:val="20"/>
          <w:color w:val="auto"/>
        </w:rPr>
      </w:pPr>
      <w:r>
        <w:rPr>
          <w:rFonts w:ascii="Times New Roman" w:cs="Times New Roman" w:eastAsia="Times New Roman" w:hAnsi="Times New Roman"/>
          <w:sz w:val="18"/>
          <w:szCs w:val="18"/>
          <w:color w:val="auto"/>
        </w:rPr>
        <w:t>Warrants, each whole warrant exercisable for one share of Class A Common Stock at an exercise price of $11.50 per share</w:t>
      </w:r>
    </w:p>
    <w:p>
      <w:pPr>
        <w:spacing w:after="0" w:line="20" w:lineRule="exact"/>
        <w:rPr>
          <w:sz w:val="24"/>
          <w:szCs w:val="24"/>
          <w:color w:val="auto"/>
        </w:rPr>
      </w:pPr>
      <w:r>
        <w:rPr>
          <w:sz w:val="24"/>
          <w:szCs w:val="24"/>
          <w:color w:val="auto"/>
        </w:rPr>
        <w:br w:type="column"/>
      </w:r>
    </w:p>
    <w:p>
      <w:pPr>
        <w:spacing w:after="0" w:line="47" w:lineRule="exact"/>
        <w:rPr>
          <w:sz w:val="24"/>
          <w:szCs w:val="24"/>
          <w:color w:val="auto"/>
        </w:rPr>
      </w:pPr>
    </w:p>
    <w:p>
      <w:pPr>
        <w:ind w:left="80"/>
        <w:spacing w:after="0"/>
        <w:tabs>
          <w:tab w:leader="none" w:pos="1860" w:val="left"/>
        </w:tabs>
        <w:rPr>
          <w:sz w:val="20"/>
          <w:szCs w:val="20"/>
          <w:color w:val="auto"/>
        </w:rPr>
      </w:pPr>
      <w:r>
        <w:rPr>
          <w:rFonts w:ascii="Times New Roman" w:cs="Times New Roman" w:eastAsia="Times New Roman" w:hAnsi="Times New Roman"/>
          <w:sz w:val="17"/>
          <w:szCs w:val="17"/>
          <w:color w:val="auto"/>
        </w:rPr>
        <w:t>MAPS</w:t>
      </w:r>
      <w:r>
        <w:rPr>
          <w:sz w:val="20"/>
          <w:szCs w:val="20"/>
          <w:color w:val="auto"/>
        </w:rPr>
        <w:tab/>
      </w:r>
      <w:r>
        <w:rPr>
          <w:rFonts w:ascii="Times New Roman" w:cs="Times New Roman" w:eastAsia="Times New Roman" w:hAnsi="Times New Roman"/>
          <w:sz w:val="17"/>
          <w:szCs w:val="17"/>
          <w:color w:val="auto"/>
        </w:rPr>
        <w:t>The Nasdaq Global Select Market</w:t>
      </w:r>
    </w:p>
    <w:p>
      <w:pPr>
        <w:spacing w:after="0" w:line="75" w:lineRule="exact"/>
        <w:rPr>
          <w:sz w:val="24"/>
          <w:szCs w:val="24"/>
          <w:color w:val="auto"/>
        </w:rPr>
      </w:pPr>
    </w:p>
    <w:p>
      <w:pPr>
        <w:spacing w:after="0"/>
        <w:tabs>
          <w:tab w:leader="none" w:pos="1860" w:val="left"/>
        </w:tabs>
        <w:rPr>
          <w:sz w:val="20"/>
          <w:szCs w:val="20"/>
          <w:color w:val="auto"/>
        </w:rPr>
      </w:pPr>
      <w:r>
        <w:rPr>
          <w:rFonts w:ascii="Times New Roman" w:cs="Times New Roman" w:eastAsia="Times New Roman" w:hAnsi="Times New Roman"/>
          <w:sz w:val="17"/>
          <w:szCs w:val="17"/>
          <w:color w:val="auto"/>
        </w:rPr>
        <w:t>MAPSW</w:t>
      </w:r>
      <w:r>
        <w:rPr>
          <w:sz w:val="20"/>
          <w:szCs w:val="20"/>
          <w:color w:val="auto"/>
        </w:rPr>
        <w:tab/>
      </w:r>
      <w:r>
        <w:rPr>
          <w:rFonts w:ascii="Times New Roman" w:cs="Times New Roman" w:eastAsia="Times New Roman" w:hAnsi="Times New Roman"/>
          <w:sz w:val="17"/>
          <w:szCs w:val="17"/>
          <w:color w:val="auto"/>
        </w:rPr>
        <w:t>The Nasdaq Global Select Market</w:t>
      </w:r>
    </w:p>
    <w:p>
      <w:pPr>
        <w:spacing w:after="0" w:line="706" w:lineRule="exact"/>
        <w:rPr>
          <w:sz w:val="24"/>
          <w:szCs w:val="24"/>
          <w:color w:val="auto"/>
        </w:rPr>
      </w:pPr>
    </w:p>
    <w:p>
      <w:pPr>
        <w:sectPr>
          <w:pgSz w:w="11900" w:h="16838" w:orient="portrait"/>
          <w:cols w:equalWidth="0" w:num="2">
            <w:col w:w="4934" w:space="720"/>
            <w:col w:w="5360"/>
          </w:cols>
          <w:pgMar w:left="346" w:top="907" w:right="539" w:bottom="1440" w:gutter="0" w:footer="0" w:header="0"/>
          <w:type w:val="continuous"/>
        </w:sectPr>
      </w:pPr>
    </w:p>
    <w:p>
      <w:pPr>
        <w:spacing w:after="0" w:line="259" w:lineRule="exact"/>
        <w:rPr>
          <w:sz w:val="24"/>
          <w:szCs w:val="24"/>
          <w:color w:val="auto"/>
        </w:rPr>
      </w:pPr>
    </w:p>
    <w:p>
      <w:pPr>
        <w:ind w:left="234"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8" w:lineRule="exact"/>
        <w:rPr>
          <w:sz w:val="24"/>
          <w:szCs w:val="24"/>
          <w:color w:val="auto"/>
        </w:rPr>
      </w:pPr>
    </w:p>
    <w:p>
      <w:pPr>
        <w:ind w:left="8834"/>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304" w:lineRule="exact"/>
        <w:rPr>
          <w:sz w:val="24"/>
          <w:szCs w:val="24"/>
          <w:color w:val="auto"/>
        </w:rPr>
      </w:pPr>
    </w:p>
    <w:p>
      <w:pPr>
        <w:ind w:left="234" w:right="20"/>
        <w:spacing w:after="0" w:line="246"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-23495</wp:posOffset>
            </wp:positionH>
            <wp:positionV relativeFrom="paragraph">
              <wp:posOffset>612775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213995</wp:posOffset>
            </wp:positionV>
            <wp:extent cx="646366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63665" cy="171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102235</wp:posOffset>
            </wp:positionV>
            <wp:extent cx="6463665"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63665" cy="34290"/>
                    </a:xfrm>
                    <a:prstGeom prst="rect">
                      <a:avLst/>
                    </a:prstGeom>
                    <a:noFill/>
                  </pic:spPr>
                </pic:pic>
              </a:graphicData>
            </a:graphic>
          </wp:anchor>
        </w:drawing>
      </w:r>
    </w:p>
    <w:p>
      <w:pPr>
        <w:sectPr>
          <w:pgSz w:w="11900" w:h="16838" w:orient="portrait"/>
          <w:cols w:equalWidth="0" w:num="1">
            <w:col w:w="11014"/>
          </w:cols>
          <w:pgMar w:left="346" w:top="907" w:right="5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440690</wp:posOffset>
            </wp:positionV>
            <wp:extent cx="646366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63665"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6463665"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63665" cy="34290"/>
                    </a:xfrm>
                    <a:prstGeom prst="rect">
                      <a:avLst/>
                    </a:prstGeom>
                    <a:noFill/>
                  </pic:spPr>
                </pic:pic>
              </a:graphicData>
            </a:graphic>
          </wp:anchor>
        </w:drawing>
        <w:t>Item 3.01 Notice of Delisting or Failure to Satisfy a Continued Listing Rule or Standard; Transfer of Listing.</w:t>
      </w:r>
    </w:p>
    <w:p>
      <w:pPr>
        <w:spacing w:after="0" w:line="24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October 9, 2024, WM Technology, Inc. (the “Company”) received a letter from the Listing Qualifications Department of The Nasdaq Stock Market LLC (“Nasdaq”) notifying the Company that, for the last 30 consecutive business days, the closing bid price for the Company’s Class A common stock, par value $0.0001 per share (the “Common Stock”), was below $1.00 per share, which is the minimum closing bid price required for continued listing on the Nasdaq Global Market pursuant to Nasdaq Listing Rule 5450(a)(1) (the “Notice”). This Notice is a notice of deficiency, not delisting, and has no immediate effect on the listing of the Company’s Common Stock, and the Company’s Common Stock will continue to trade on The Nasdaq Global Select Market under the symbol “MAPS” at this time, subject to the Company’s compliance with the other Nasdaq listing requirements.</w:t>
      </w:r>
    </w:p>
    <w:p>
      <w:pPr>
        <w:spacing w:after="0" w:line="21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accordance with Nasdaq Listing Rule 5810(c)(3)(A), the Company is provided a compliance period of 180 calendar days from the date of the Notice, or until April 7, 2025, to regain compliance with the minimum closing bid price requirement. If at any time during the 180-calendar day grace period, the closing bid price of the Company’s Common Stock is at least $1.00 per share for a minimum of ten consecutive business days (unless the Nasdaq staff exercises its discretion to extend this ten business day period pursuant to Nasdaq Listing Rule 5810(c)(3)(H)), Nasdaq will provide the Company written confirmation of compliance, and the matter will be closed.</w:t>
      </w:r>
    </w:p>
    <w:p>
      <w:pPr>
        <w:spacing w:after="0" w:line="21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the Company does not regain compliance during the compliance period, the Company may be provided a second 180 calendar day period to regain compliance if it applies to transfer the listing of the Company’s Common Stock to the Nasdaq Capital Market. To qualify, the Company must meet the continued listing requirement for market value of publicly-held shares and all other initial listing standards for the Nasdaq Capital Market (with the exception of the minimum bid price requirement), based on the Company’s most recent public filings and market information and notify Nasdaq of its intent to cure the deficiency by effecting a reverse stock split, if necessary. If the Company does not regain compliance within the allotted compliance periods, including any extensions that may be granted by Nasdaq, the Company’s stock will be subject to delisting. The Company would have the right to appeal a determination to delist the Company’s Common Stock, and the Company’s Common Stock would remain listed on the Nasdaq Global Select Market until the completion of the appeal process.</w:t>
      </w:r>
    </w:p>
    <w:p>
      <w:pPr>
        <w:spacing w:after="0" w:line="21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intends to monitor the closing bid price of its stock and assess potential actions to regain compliance. While the Company plans to review all available options, there can be no assurance that the Company will regain compliance with the minimum bid price requirement during the 180-day compliance period, secure a second 180-day period to regain compliance, or maintain compliance with the other Nasdaq listing requirements.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Forward-Looking Statements</w:t>
      </w:r>
    </w:p>
    <w:p>
      <w:pPr>
        <w:spacing w:after="0" w:line="23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within the meaning of Section 27A of the Securities Act of 1933, as amended, and Section 21E of the Securities Exchange Act of 1934, as amended, about the Company that involve substantial risks and uncertainties. All statements other than statements of historical facts contained in this Current Report on Form 8-K are forward-looking statements. In some cases, you can identify forward-looking statements because they contain words such as “anticipate,” “believe,” “intend,” “may,” “plan,” “should,” “will,” or the negative of these words or other similar terms or expressions. Forward-looking statements in this Current Report on Form 8-K include, but are not limited to, statements regarding the Company’s intent or ability to regain compliance with Nasdaq’s minimum bid price requirement, including initiating a reverse stock split, Nasdaq granting the Company any relief from delisting as necessary, and whether the Company can ultimately meet applicable Nasdaq requirements for any such relief. The forward-looking statements contained in this report are based on management’s current expectations, which are subject to uncertainty, risks and changes in circumstances that are difficult to predict and many of which are outside of the Company’s control. Important factors that could cause the Company’s actual results to differ materially from those indicated in the forward-looking statements are more fully discussed in the Company’s periodic filings with the Securities and Exchange Commission (“SEC”), including the risk factors described under the heading “Risk Factors” in the Company’s annual report on Form 10-K for the year ended December 31, 2023 filed with the SEC on May 24, 2024, and other documents subsequently filed with the SEC. The forward-looking statements in this Current Report on Form 8-K are based upon information available to the Company as of the date of this Current Report on Form 8-K, and while the Company believes such information forms a reasonable basis for such statements, such information may be limited or incomplete, and its statements should not be read to indicate that the Company has conducted an exhaustive inquiry into, or review of, all potentially available relevant information. These statements are inherently uncertain and investors are cautioned not to unduly rely upon these statements. Except as required by law, the Company assumes no obligation to update these forward-looking statements, or to update the reasons if actual results differ materially from those anticipated in the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943610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2" w:name="page3"/>
    <w:bookmarkEnd w:id="2"/>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SIGNATURE</w:t>
      </w:r>
    </w:p>
    <w:p>
      <w:pPr>
        <w:spacing w:after="0" w:line="270" w:lineRule="exact"/>
        <w:rPr>
          <w:sz w:val="20"/>
          <w:szCs w:val="20"/>
          <w:color w:val="auto"/>
        </w:rPr>
      </w:pPr>
    </w:p>
    <w:p>
      <w:pPr>
        <w:ind w:left="24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October 11, 2024</w:t>
      </w:r>
    </w:p>
    <w:p>
      <w:pPr>
        <w:spacing w:after="0" w:line="200" w:lineRule="exact"/>
        <w:rPr>
          <w:sz w:val="20"/>
          <w:szCs w:val="20"/>
          <w:color w:val="auto"/>
        </w:rPr>
      </w:pPr>
    </w:p>
    <w:p>
      <w:pPr>
        <w:spacing w:after="0" w:line="291"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b w:val="1"/>
          <w:bCs w:val="1"/>
          <w:color w:val="auto"/>
        </w:rPr>
        <w:t>WM TECHNOLOGY, INC.</w:t>
      </w:r>
    </w:p>
    <w:p>
      <w:pPr>
        <w:spacing w:after="0" w:line="337" w:lineRule="exact"/>
        <w:rPr>
          <w:sz w:val="20"/>
          <w:szCs w:val="20"/>
          <w:color w:val="auto"/>
        </w:rPr>
      </w:pPr>
    </w:p>
    <w:p>
      <w:pPr>
        <w:ind w:left="7440"/>
        <w:spacing w:after="0"/>
        <w:tabs>
          <w:tab w:leader="none" w:pos="8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Susan Echard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5101590</wp:posOffset>
            </wp:positionH>
            <wp:positionV relativeFrom="paragraph">
              <wp:posOffset>34290</wp:posOffset>
            </wp:positionV>
            <wp:extent cx="188595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57" w:lineRule="exact"/>
        <w:rPr>
          <w:sz w:val="20"/>
          <w:szCs w:val="20"/>
          <w:color w:val="auto"/>
        </w:rPr>
      </w:pPr>
    </w:p>
    <w:p>
      <w:pPr>
        <w:ind w:left="8060"/>
        <w:spacing w:after="0"/>
        <w:rPr>
          <w:sz w:val="20"/>
          <w:szCs w:val="20"/>
          <w:color w:val="auto"/>
        </w:rPr>
      </w:pPr>
      <w:r>
        <w:rPr>
          <w:rFonts w:ascii="Times New Roman" w:cs="Times New Roman" w:eastAsia="Times New Roman" w:hAnsi="Times New Roman"/>
          <w:sz w:val="18"/>
          <w:szCs w:val="18"/>
          <w:color w:val="auto"/>
        </w:rPr>
        <w:t>Susan Echard</w:t>
      </w:r>
    </w:p>
    <w:p>
      <w:pPr>
        <w:spacing w:after="0" w:line="63" w:lineRule="exact"/>
        <w:rPr>
          <w:sz w:val="20"/>
          <w:szCs w:val="20"/>
          <w:color w:val="auto"/>
        </w:rPr>
      </w:pPr>
    </w:p>
    <w:p>
      <w:pPr>
        <w:ind w:left="8060"/>
        <w:spacing w:after="0"/>
        <w:rPr>
          <w:sz w:val="20"/>
          <w:szCs w:val="20"/>
          <w:color w:val="auto"/>
        </w:rPr>
      </w:pPr>
      <w:r>
        <w:rPr>
          <w:rFonts w:ascii="Times New Roman" w:cs="Times New Roman" w:eastAsia="Times New Roman" w:hAnsi="Times New Roman"/>
          <w:sz w:val="18"/>
          <w:szCs w:val="18"/>
          <w:color w:val="auto"/>
        </w:rPr>
        <w:t>Interim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137160</wp:posOffset>
            </wp:positionV>
            <wp:extent cx="69951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sectPr>
      <w:pgSz w:w="11900" w:h="16838" w:orient="portrait"/>
      <w:cols w:equalWidth="0" w:num="1">
        <w:col w:w="11000"/>
      </w:cols>
      <w:pgMar w:left="340" w:top="657"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2024-10-11T15:19:11Z</dcterms:created>
  <dcterms:modified xsi:type="dcterms:W3CDTF">2024-10-11T15:19:11Z</dcterms:modified>
</cp:coreProperties>
</file>