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19685</wp:posOffset>
            </wp:positionV>
            <wp:extent cx="6997700" cy="9431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943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69" w:orient="portrait"/>
          <w:cols w:equalWidth="0" w:num="2">
            <w:col w:w="2180" w:space="460"/>
            <w:col w:w="8440"/>
          </w:cols>
          <w:pgMar w:left="460" w:top="214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Francis Douglas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WM TECHNOLOGY,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41 DISCOVERY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129"/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WM TECHNOLOGY,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MAPS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04/15/2022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1"/>
        <w:spacing w:after="0"/>
        <w:tabs>
          <w:tab w:leader="none" w:pos="511" w:val="left"/>
          <w:tab w:leader="none" w:pos="1751" w:val="left"/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31" w:lineRule="exact"/>
        <w:rPr>
          <w:sz w:val="24"/>
          <w:szCs w:val="24"/>
          <w:color w:val="auto"/>
        </w:rPr>
      </w:pPr>
    </w:p>
    <w:p>
      <w:pPr>
        <w:sectPr>
          <w:pgSz w:w="11900" w:h="16869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IRVINE</w:t>
            </w: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04/15/2022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2,912,485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2,942,765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V Common 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04/15/2022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2,912,485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14,250,000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V Common 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8,469,191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0"/>
                <w:szCs w:val="30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V Common 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1,468,555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V Common Stock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600,618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Post-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Merger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2,912,485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2,912,485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14,250,000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Post-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Merger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8,469,191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LLC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8,469,191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Post-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Merger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1,468,555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LLC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1,468,555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Post-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Merger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600,618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600,618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LLC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Francis Douglas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WM TECHNOLOGY,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41 DISCOVERY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IRVINE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Ghost Media Group, LLC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-5294630</wp:posOffset>
            </wp:positionV>
            <wp:extent cx="28575" cy="3011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011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9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WM TECHNOLOGY, INC.</w:t>
      </w:r>
    </w:p>
    <w:p>
      <w:pPr>
        <w:sectPr>
          <w:pgSz w:w="11900" w:h="16869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279400</wp:posOffset>
            </wp:positionH>
            <wp:positionV relativeFrom="page">
              <wp:posOffset>88900</wp:posOffset>
            </wp:positionV>
            <wp:extent cx="2812415" cy="42691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415" cy="4269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41 DISCOVERY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IRVINE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37"/>
        </w:trPr>
        <w:tc>
          <w:tcPr>
            <w:tcW w:w="27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7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WM Founders Legacy I, LLC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5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WM TECHNOLOGY, INC.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41 DISCOVERY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3"/>
        </w:trPr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IRVINE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78"/>
        </w:trPr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37"/>
        </w:trPr>
        <w:tc>
          <w:tcPr>
            <w:tcW w:w="27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8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Genco Incentives, LLC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5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WM TECHNOLOGY, INC.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41 DISCOVERY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3"/>
        </w:trPr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IRVINE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20" w:right="100" w:hanging="2"/>
        <w:spacing w:after="0" w:line="234" w:lineRule="auto"/>
        <w:tabs>
          <w:tab w:leader="none" w:pos="14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Class V common stock ("Class V Common Stock") of the Issuer (as defined below) provide no economic rights in the Issuer to the holder thereof. However, each holder of Class V Common Stock will be entitled to vote with the holders of Class A common stock ("Class A Common Stock") of the Issuer, with each share of Class V Common Stock entitling the holder to a number of votes equal to the number of Post-Merger Class A Units (as described below) held by such Class V Common Stock holder at the time of such vote.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Shares are held directly by Ghost Media Group, LLC ("Ghost Media") is controlled by Mr. Francis. Accordingly, Mr. Francis may be deemed to be a beneficial owner of the shares held by Ghost Media Group, LLC.</w:t>
      </w:r>
    </w:p>
    <w:p>
      <w:pPr>
        <w:spacing w:after="0" w:line="61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Shares are held directly by WM Founders Legacy I, LLC ("WM Founders") is controlled by Mr. Francis. Accordingly, Mr. Francis may be deemed to be a beneficial owner of the shares held by WM Founders.</w:t>
      </w:r>
    </w:p>
    <w:p>
      <w:pPr>
        <w:spacing w:after="0" w:line="61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directly by Genco Incentives, LLC ("Genco") is controlled by Mr. Francis. Accordingly, Mr. Francis may be deemed to be a beneficial owner of the shares held by Genco.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40" w:hanging="2"/>
        <w:spacing w:after="0" w:line="243" w:lineRule="auto"/>
        <w:tabs>
          <w:tab w:leader="none" w:pos="14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Post-Merger Class A Units represent non-voting limited liability company interests of WMH. Pursuant to the terms of an exchange agreement, these Class A units and an equivalent number of shares of Class V Common Stock are exchangeable on a one-for-one basis for shares of Class A Common Stock. These exchange rights do not expire.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Douglas Francis, by /s/ Ron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04/19/2022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-6350</wp:posOffset>
            </wp:positionV>
            <wp:extent cx="12757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Metzger,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-16510</wp:posOffset>
            </wp:positionV>
            <wp:extent cx="10852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5569585</wp:posOffset>
            </wp:positionH>
            <wp:positionV relativeFrom="paragraph">
              <wp:posOffset>-80010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Ghost Media Group, LLC,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-5080</wp:posOffset>
            </wp:positionV>
            <wp:extent cx="12274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203" w:lineRule="auto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Douglas Francis, Manager, by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04/19/2022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-26035</wp:posOffset>
            </wp:positionV>
            <wp:extent cx="124269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Ron A. Metzger,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-16510</wp:posOffset>
            </wp:positionV>
            <wp:extent cx="135509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5569585</wp:posOffset>
            </wp:positionH>
            <wp:positionV relativeFrom="paragraph">
              <wp:posOffset>-80010</wp:posOffset>
            </wp:positionV>
            <wp:extent cx="470535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-11430</wp:posOffset>
            </wp:positionV>
            <wp:extent cx="177800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WM Founders Legacy I, LLC,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-5080</wp:posOffset>
            </wp:positionV>
            <wp:extent cx="1261110" cy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203" w:lineRule="auto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by Douglas Francis, Manager,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04/19/2022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-26035</wp:posOffset>
            </wp:positionV>
            <wp:extent cx="1242695" cy="825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by /s/ Ron A. Metzger,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-16510</wp:posOffset>
            </wp:positionV>
            <wp:extent cx="941705" cy="825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5569585</wp:posOffset>
            </wp:positionH>
            <wp:positionV relativeFrom="paragraph">
              <wp:posOffset>-80010</wp:posOffset>
            </wp:positionV>
            <wp:extent cx="470535" cy="82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-11430</wp:posOffset>
            </wp:positionV>
            <wp:extent cx="693420" cy="825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Genco Incentives, LLC,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-5080</wp:posOffset>
            </wp:positionV>
            <wp:extent cx="1120775" cy="82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203" w:lineRule="auto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Douglas Francis, Manager, by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0000FF"/>
          <w:vertAlign w:val="subscript"/>
        </w:rPr>
        <w:t>04/19/2022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-26035</wp:posOffset>
            </wp:positionV>
            <wp:extent cx="1242695" cy="825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Ron A. Metzger,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-16510</wp:posOffset>
            </wp:positionV>
            <wp:extent cx="1355090" cy="825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5569585</wp:posOffset>
            </wp:positionH>
            <wp:positionV relativeFrom="paragraph">
              <wp:posOffset>-80010</wp:posOffset>
            </wp:positionV>
            <wp:extent cx="470535" cy="825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-11430</wp:posOffset>
            </wp:positionV>
            <wp:extent cx="177800" cy="825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Date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20" w:right="3640" w:hanging="2"/>
        <w:spacing w:after="0" w:line="355" w:lineRule="auto"/>
        <w:tabs>
          <w:tab w:leader="none" w:pos="15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480" w:top="164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9" Type="http://schemas.openxmlformats.org/officeDocument/2006/relationships/image" Target="media/image7.png"/><Relationship Id="rId20" Type="http://schemas.openxmlformats.org/officeDocument/2006/relationships/image" Target="media/image8.png"/><Relationship Id="rId21" Type="http://schemas.openxmlformats.org/officeDocument/2006/relationships/image" Target="media/image9.png"/><Relationship Id="rId22" Type="http://schemas.openxmlformats.org/officeDocument/2006/relationships/image" Target="media/image10.png"/><Relationship Id="rId23" Type="http://schemas.openxmlformats.org/officeDocument/2006/relationships/image" Target="media/image11.png"/><Relationship Id="rId24" Type="http://schemas.openxmlformats.org/officeDocument/2006/relationships/image" Target="media/image12.png"/><Relationship Id="rId25" Type="http://schemas.openxmlformats.org/officeDocument/2006/relationships/image" Target="media/image13.png"/><Relationship Id="rId26" Type="http://schemas.openxmlformats.org/officeDocument/2006/relationships/image" Target="media/image14.png"/><Relationship Id="rId27" Type="http://schemas.openxmlformats.org/officeDocument/2006/relationships/image" Target="media/image15.png"/><Relationship Id="rId28" Type="http://schemas.openxmlformats.org/officeDocument/2006/relationships/image" Target="media/image16.png"/><Relationship Id="rId29" Type="http://schemas.openxmlformats.org/officeDocument/2006/relationships/image" Target="media/image17.png"/><Relationship Id="rId30" Type="http://schemas.openxmlformats.org/officeDocument/2006/relationships/image" Target="media/image18.png"/><Relationship Id="rId31" Type="http://schemas.openxmlformats.org/officeDocument/2006/relationships/image" Target="media/image19.png"/><Relationship Id="rId32" Type="http://schemas.openxmlformats.org/officeDocument/2006/relationships/image" Target="media/image20.png"/><Relationship Id="rId33" Type="http://schemas.openxmlformats.org/officeDocument/2006/relationships/image" Target="media/image21.png"/><Relationship Id="rId34" Type="http://schemas.openxmlformats.org/officeDocument/2006/relationships/image" Target="media/image22.png"/><Relationship Id="rId35" Type="http://schemas.openxmlformats.org/officeDocument/2006/relationships/image" Target="media/image23.png"/><Relationship Id="rId36" Type="http://schemas.openxmlformats.org/officeDocument/2006/relationships/image" Target="media/image24.png"/><Relationship Id="rId12" Type="http://schemas.openxmlformats.org/officeDocument/2006/relationships/hyperlink" Target="http://www.sec.gov/cgi-bin/browse-edgar?action=getcompany&amp;CIK=0001519966" TargetMode="External"/><Relationship Id="rId13" Type="http://schemas.openxmlformats.org/officeDocument/2006/relationships/hyperlink" Target="http://www.sec.gov/cgi-bin/browse-edgar?action=getcompany&amp;CIK=0001779474" TargetMode="External"/><Relationship Id="rId14" Type="http://schemas.openxmlformats.org/officeDocument/2006/relationships/hyperlink" Target="http://www.sec.gov/cgi-bin/browse-edgar?action=getcompany&amp;CIK=0001859722" TargetMode="External"/><Relationship Id="rId17" Type="http://schemas.openxmlformats.org/officeDocument/2006/relationships/hyperlink" Target="http://www.sec.gov/cgi-bin/browse-edgar?action=getcompany&amp;CIK=0001859724" TargetMode="External"/><Relationship Id="rId18" Type="http://schemas.openxmlformats.org/officeDocument/2006/relationships/hyperlink" Target="http://www.sec.gov/cgi-bin/browse-edgar?action=getcompany&amp;CIK=00018597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2022-04-19T16:06:43Z</dcterms:created>
  <dcterms:modified xsi:type="dcterms:W3CDTF">2022-04-19T16:06:43Z</dcterms:modified>
</cp:coreProperties>
</file>