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9089x2_def14a_100-regcov_pg1"/>
        <w:bookmarkStart w:id="1" w:name="ny20069089x2_def14a.htm"/>
        <w:bookmarkStart w:id="2" w:name="ksny20069089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5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tbl>
      <w:tblPr>
        <w:tblW w:w="8135" w:type="dxa"/>
        <w:jc w:val="left"/>
        <w:tblInd w:w="0" w:type="dxa"/>
        <w:tblLayout w:type="fixed"/>
        <w:tblCellMar>
          <w:top w:w="0" w:type="dxa"/>
          <w:left w:w="0" w:type="dxa"/>
          <w:bottom w:w="0" w:type="dxa"/>
          <w:right w:w="0" w:type="dxa"/>
        </w:tblCellMar>
      </w:tblPr>
      <w:tblGrid>
        <w:gridCol w:w="320"/>
        <w:gridCol w:w="170"/>
        <w:gridCol w:w="170"/>
        <w:gridCol w:w="7475"/>
      </w:tblGrid>
      <w:tr>
        <w:trPr/>
        <w:tc>
          <w:tcPr>
            <w:tcW w:w="8135" w:type="dxa"/>
            <w:gridSpan w:val="4"/>
            <w:tcBorders/>
            <w:vAlign w:val="center"/>
          </w:tcPr>
          <w:p>
            <w:pPr>
              <w:pStyle w:val="TableContents"/>
              <w:bidi w:val="0"/>
              <w:spacing w:before="0" w:after="0"/>
              <w:jc w:val="left"/>
              <w:rPr/>
            </w:pPr>
            <w:r>
              <w:rPr/>
              <w:t>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Registrant ☒  Filed by a Party other than the Registrant  ☐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under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bl>
    <w:p>
      <w:pPr>
        <w:pStyle w:val="TextBody"/>
        <w:bidi w:val="0"/>
        <w:spacing w:before="210" w:after="283"/>
        <w:jc w:val="center"/>
        <w:rPr>
          <w:rFonts w:ascii="Arial;Helvetica;sans-serif" w:hAnsi="Arial;Helvetica;sans-serif"/>
          <w:b/>
          <w:color w:val="000000"/>
          <w:sz w:val="48"/>
        </w:rPr>
      </w:pPr>
      <w:r>
        <w:rPr>
          <w:rFonts w:ascii="Arial;Helvetica;sans-serif" w:hAnsi="Arial;Helvetica;sans-serif"/>
          <w:b/>
          <w:color w:val="000000"/>
          <w:sz w:val="48"/>
        </w:rPr>
        <w:t xml:space="preserve">WM Technology,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Person(s) Filing Proxy Statement, if other than the Registrant)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9470" w:type="dxa"/>
            <w:gridSpan w:val="4"/>
            <w:tcBorders/>
            <w:vAlign w:val="center"/>
          </w:tcPr>
          <w:p>
            <w:pPr>
              <w:pStyle w:val="TableContents"/>
              <w:bidi w:val="0"/>
              <w:spacing w:before="0" w:after="0"/>
              <w:jc w:val="left"/>
              <w:rPr/>
            </w:pPr>
            <w:r>
              <w:rPr/>
              <w:t> </w:t>
            </w:r>
          </w:p>
        </w:tc>
      </w:tr>
      <w:tr>
        <w:trPr/>
        <w:tc>
          <w:tcPr>
            <w:tcW w:w="9470"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9089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WM Technology, Inc. </w:t>
      </w:r>
    </w:p>
    <w:p>
      <w:pPr>
        <w:pStyle w:val="TextBody"/>
        <w:bidi w:val="0"/>
        <w:spacing w:before="360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Notice of Annual Meeting of Stockholders </w:t>
      </w:r>
    </w:p>
    <w:p>
      <w:pPr>
        <w:pStyle w:val="TextBody"/>
        <w:bidi w:val="0"/>
        <w:spacing w:before="37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be Held on Wednesday, June 24, 2026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10:00 a.m. Pacific Time </w:t>
      </w:r>
    </w:p>
    <w:p>
      <w:pPr>
        <w:pStyle w:val="TextBody"/>
        <w:bidi w:val="0"/>
        <w:spacing w:before="2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WM Technology, Inc. </w:t>
      </w:r>
    </w:p>
    <w:p>
      <w:pPr>
        <w:pStyle w:val="TextBody"/>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41 Discovery </w:t>
      </w:r>
    </w:p>
    <w:p>
      <w:pPr>
        <w:pStyle w:val="TextBody"/>
        <w:bidi w:val="0"/>
        <w:spacing w:before="0" w:after="2800"/>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Irvine, California 92618 </w:t>
      </w:r>
    </w:p>
    <w:p>
      <w:pPr>
        <w:pStyle w:val="HorizontalLine"/>
        <w:bidi w:val="0"/>
        <w:spacing w:before="200" w:after="200"/>
        <w:jc w:val="left"/>
        <w:rPr/>
      </w:pPr>
      <w:r>
        <w:rPr/>
      </w:r>
    </w:p>
    <w:p>
      <w:pPr>
        <w:pStyle w:val="TextBody"/>
        <w:bidi w:val="0"/>
        <w:jc w:val="left"/>
        <w:rPr/>
      </w:pPr>
      <w:hyperlink w:anchor="TOC">
        <w:bookmarkStart w:id="4" w:name="ny20069089x2_def14a_101-notice_pg2"/>
        <w:bookmarkEnd w:id="4"/>
        <w:r>
          <w:rPr>
            <w:rStyle w:val="InternetLink"/>
            <w:rFonts w:ascii="Times New Roman;Times;Serif" w:hAnsi="Times New Roman;Times;Serif"/>
            <w:b/>
            <w:caps w:val="false"/>
            <w:smallCaps w:val="false"/>
            <w:color w:val="000000"/>
            <w:sz w:val="16"/>
          </w:rPr>
          <w:t>TABLE OF CONTENTS</w:t>
        </w:r>
      </w:hyperlink>
    </w:p>
    <w:tbl>
      <w:tblPr>
        <w:tblW w:w="2210" w:type="dxa"/>
        <w:jc w:val="left"/>
        <w:tblInd w:w="0" w:type="dxa"/>
        <w:tblLayout w:type="fixed"/>
        <w:tblCellMar>
          <w:top w:w="0" w:type="dxa"/>
          <w:left w:w="0" w:type="dxa"/>
          <w:bottom w:w="0" w:type="dxa"/>
          <w:right w:w="0" w:type="dxa"/>
        </w:tblCellMar>
      </w:tblPr>
      <w:tblGrid>
        <w:gridCol w:w="185"/>
        <w:gridCol w:w="1380"/>
        <w:gridCol w:w="170"/>
        <w:gridCol w:w="170"/>
        <w:gridCol w:w="90"/>
        <w:gridCol w:w="215"/>
      </w:tblGrid>
      <w:tr>
        <w:trPr/>
        <w:tc>
          <w:tcPr>
            <w:tcW w:w="185" w:type="dxa"/>
            <w:tcBorders/>
            <w:vAlign w:val="center"/>
          </w:tcPr>
          <w:p>
            <w:pPr>
              <w:pStyle w:val="TableContents"/>
              <w:bidi w:val="0"/>
              <w:spacing w:before="0" w:after="0"/>
              <w:jc w:val="left"/>
              <w:rPr/>
            </w:pPr>
            <w:r>
              <w:rPr/>
              <w:t> </w:t>
            </w:r>
          </w:p>
        </w:tc>
        <w:tc>
          <w:tcPr>
            <w:tcW w:w="1380" w:type="dxa"/>
            <w:tcBorders/>
            <w:vAlign w:val="center"/>
          </w:tcPr>
          <w:p>
            <w:pPr>
              <w:pStyle w:val="TableContents"/>
              <w:bidi w:val="0"/>
              <w:spacing w:before="0" w:after="283"/>
              <w:ind w:left="60" w:right="0" w:hanging="0"/>
              <w:jc w:val="left"/>
              <w:rPr>
                <w:color w:val="40C0C0"/>
              </w:rPr>
            </w:pPr>
            <w:r>
              <w:rPr>
                <w:color w:val="40C0C0"/>
              </w:rPr>
              <w:drawing>
                <wp:inline distT="0" distB="0" distL="0" distR="0">
                  <wp:extent cx="7810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428625"/>
                          </a:xfrm>
                          <a:prstGeom prst="rect">
                            <a:avLst/>
                          </a:prstGeom>
                        </pic:spPr>
                      </pic:pic>
                    </a:graphicData>
                  </a:graphic>
                </wp:inline>
              </w:drawing>
            </w:r>
          </w:p>
          <w:p>
            <w:pPr>
              <w:pStyle w:val="TableContents"/>
              <w:bidi w:val="0"/>
              <w:spacing w:before="0" w:after="283"/>
              <w:ind w:left="60" w:right="0" w:hanging="0"/>
              <w:jc w:val="left"/>
              <w:rPr>
                <w:color w:val="40C0C0"/>
              </w:rPr>
            </w:pPr>
            <w:r>
              <w:rPr>
                <w:color w:val="40C0C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524000" cy="9860915"/>
                <wp:effectExtent l="0" t="0" r="0" b="0"/>
                <wp:wrapSquare wrapText="right"/>
                <wp:docPr id="2" name="Frame1"/>
                <a:graphic xmlns:a="http://schemas.openxmlformats.org/drawingml/2006/main">
                  <a:graphicData uri="http://schemas.microsoft.com/office/word/2010/wordprocessingShape">
                    <wps:wsp>
                      <wps:cNvSpPr txBox="1"/>
                      <wps:spPr>
                        <a:xfrm>
                          <a:off x="0" y="0"/>
                          <a:ext cx="1524000" cy="9860915"/>
                        </a:xfrm>
                        <a:prstGeom prst="rect"/>
                        <a:solidFill>
                          <a:srgbClr val="FFFFFF"/>
                        </a:solidFill>
                      </wps:spPr>
                      <wps:txbx>
                        <w:txbxContent>
                          <w:p>
                            <w:pPr>
                              <w:pStyle w:val="TextBody"/>
                              <w:bidi w:val="0"/>
                              <w:spacing w:before="18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Notice of Annual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Meeting of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Stockholders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Wednesday, June 24, 2026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at 10:00 a.m. Pacific Time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www.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virtualshareholdermeeting.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u w:val="single"/>
                              </w:rPr>
                              <w:t>com/MAPS2026</w:t>
                            </w:r>
                            <w:r>
                              <w:rPr>
                                <w:rFonts w:ascii="Arial;Helvetica;sans-serif" w:hAnsi="Arial;Helvetica;sans-serif"/>
                                <w:b w:val="false"/>
                                <w:color w:val="000000"/>
                                <w:sz w:val="18"/>
                              </w:rPr>
                              <w:t xml:space="preserve"> </w:t>
                            </w:r>
                          </w:p>
                          <w:p>
                            <w:pPr>
                              <w:pStyle w:val="TextBody"/>
                              <w:bidi w:val="0"/>
                              <w:spacing w:before="150" w:after="283"/>
                              <w:ind w:left="0" w:right="0" w:hanging="0"/>
                              <w:jc w:val="left"/>
                              <w:rPr>
                                <w:rFonts w:ascii="Arial;Helvetica;sans-serif" w:hAnsi="Arial;Helvetica;sans-serif"/>
                                <w:color w:val="40C0C0"/>
                                <w:sz w:val="18"/>
                              </w:rPr>
                            </w:pPr>
                            <w:r>
                              <w:rPr>
                                <w:rFonts w:ascii="Arial;Helvetica;sans-serif" w:hAnsi="Arial;Helvetica;sans-serif"/>
                                <w:color w:val="40C0C0"/>
                                <w:sz w:val="18"/>
                              </w:rPr>
                            </w:r>
                          </w:p>
                          <w:p>
                            <w:pPr>
                              <w:pStyle w:val="TextBody"/>
                              <w:bidi w:val="0"/>
                              <w:spacing w:before="32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 xml:space="preserve">YOUR VOTE </w:t>
                            </w:r>
                          </w:p>
                          <w:p>
                            <w:pPr>
                              <w:pStyle w:val="TextBody"/>
                              <w:bidi w:val="0"/>
                              <w:spacing w:before="0" w:after="283"/>
                              <w:ind w:left="0" w:right="0" w:hanging="0"/>
                              <w:jc w:val="left"/>
                              <w:rPr>
                                <w:rFonts w:ascii="Arial;Helvetica;sans-serif" w:hAnsi="Arial;Helvetica;sans-serif"/>
                                <w:color w:val="40C0C0"/>
                                <w:sz w:val="18"/>
                              </w:rPr>
                            </w:pPr>
                            <w:r>
                              <w:rPr>
                                <w:rFonts w:ascii="Arial;Helvetica;sans-serif" w:hAnsi="Arial;Helvetica;sans-serif"/>
                                <w:b/>
                                <w:color w:val="40C0C0"/>
                                <w:sz w:val="18"/>
                              </w:rPr>
                              <w:t>IS IMPORTANT</w:t>
                            </w:r>
                            <w:r>
                              <w:rPr>
                                <w:rFonts w:ascii="Arial;Helvetica;sans-serif" w:hAnsi="Arial;Helvetica;sans-serif"/>
                                <w:color w:val="000000"/>
                                <w:sz w:val="18"/>
                              </w:rPr>
                              <w:t xml:space="preserve"> </w:t>
                            </w:r>
                          </w:p>
                          <w:p>
                            <w:pPr>
                              <w:pStyle w:val="TextBody"/>
                              <w:bidi w:val="0"/>
                              <w:spacing w:before="1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for the Stockholders’ Meeting to Be Held on Wednesday, June 24, 2026 at 10:00 a.m. Pacific Time online at www.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virtualshareholdermeeting.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com/MAPS2026. </w:t>
                            </w:r>
                          </w:p>
                          <w:p>
                            <w:pPr>
                              <w:pStyle w:val="TextBody"/>
                              <w:bidi w:val="0"/>
                              <w:spacing w:before="16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proxy statement and annual report to stockholders </w:t>
                            </w:r>
                          </w:p>
                          <w:p>
                            <w:pPr>
                              <w:pStyle w:val="TextBody"/>
                              <w:bidi w:val="0"/>
                              <w:spacing w:before="0" w:after="283"/>
                              <w:ind w:left="0" w:right="0" w:hanging="0"/>
                              <w:jc w:val="left"/>
                              <w:rPr>
                                <w:rFonts w:ascii="Arial;Helvetica;sans-serif" w:hAnsi="Arial;Helvetica;sans-serif"/>
                                <w:color w:val="40C0C0"/>
                                <w:sz w:val="20"/>
                              </w:rPr>
                            </w:pPr>
                            <w:r>
                              <w:rPr>
                                <w:rFonts w:ascii="Arial;Helvetica;sans-serif" w:hAnsi="Arial;Helvetica;sans-serif"/>
                                <w:b/>
                                <w:color w:val="000000"/>
                                <w:sz w:val="20"/>
                              </w:rPr>
                              <w:t xml:space="preserve">are available at </w:t>
                            </w:r>
                            <w:r>
                              <w:rPr>
                                <w:rFonts w:ascii="Arial;Helvetica;sans-serif" w:hAnsi="Arial;Helvetica;sans-serif"/>
                                <w:b/>
                                <w:color w:val="000000"/>
                                <w:sz w:val="20"/>
                                <w:u w:val="single"/>
                              </w:rPr>
                              <w:t>www.proxyvote.com</w:t>
                            </w:r>
                            <w:r>
                              <w:rPr>
                                <w:rFonts w:ascii="Arial;Helvetica;sans-serif" w:hAnsi="Arial;Helvetica;sans-serif"/>
                                <w:color w:val="000000"/>
                                <w:sz w:val="20"/>
                              </w:rPr>
                              <w:t xml:space="preserve"> </w:t>
                            </w:r>
                          </w:p>
                        </w:txbxContent>
                      </wps:txbx>
                      <wps:bodyPr anchor="t" lIns="0" tIns="0" rIns="0" bIns="0">
                        <a:noAutofit/>
                      </wps:bodyPr>
                    </wps:wsp>
                  </a:graphicData>
                </a:graphic>
              </wp:anchor>
            </w:drawing>
          </mc:Choice>
          <mc:Fallback>
            <w:pict>
              <v:rect style="position:absolute;rotation:-0;width:120pt;height:77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Notice of Annual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Meeting of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Stockholders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Wednesday, June 24, 2026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at 10:00 a.m. Pacific Time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www.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virtualshareholdermeeting.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u w:val="single"/>
                        </w:rPr>
                        <w:t>com/MAPS2026</w:t>
                      </w:r>
                      <w:r>
                        <w:rPr>
                          <w:rFonts w:ascii="Arial;Helvetica;sans-serif" w:hAnsi="Arial;Helvetica;sans-serif"/>
                          <w:b w:val="false"/>
                          <w:color w:val="000000"/>
                          <w:sz w:val="18"/>
                        </w:rPr>
                        <w:t xml:space="preserve"> </w:t>
                      </w:r>
                    </w:p>
                    <w:p>
                      <w:pPr>
                        <w:pStyle w:val="TextBody"/>
                        <w:bidi w:val="0"/>
                        <w:spacing w:before="150" w:after="283"/>
                        <w:ind w:left="0" w:right="0" w:hanging="0"/>
                        <w:jc w:val="left"/>
                        <w:rPr>
                          <w:rFonts w:ascii="Arial;Helvetica;sans-serif" w:hAnsi="Arial;Helvetica;sans-serif"/>
                          <w:color w:val="40C0C0"/>
                          <w:sz w:val="18"/>
                        </w:rPr>
                      </w:pPr>
                      <w:r>
                        <w:rPr>
                          <w:rFonts w:ascii="Arial;Helvetica;sans-serif" w:hAnsi="Arial;Helvetica;sans-serif"/>
                          <w:color w:val="40C0C0"/>
                          <w:sz w:val="18"/>
                        </w:rPr>
                      </w:r>
                    </w:p>
                    <w:p>
                      <w:pPr>
                        <w:pStyle w:val="TextBody"/>
                        <w:bidi w:val="0"/>
                        <w:spacing w:before="32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 xml:space="preserve">YOUR VOTE </w:t>
                      </w:r>
                    </w:p>
                    <w:p>
                      <w:pPr>
                        <w:pStyle w:val="TextBody"/>
                        <w:bidi w:val="0"/>
                        <w:spacing w:before="0" w:after="283"/>
                        <w:ind w:left="0" w:right="0" w:hanging="0"/>
                        <w:jc w:val="left"/>
                        <w:rPr>
                          <w:rFonts w:ascii="Arial;Helvetica;sans-serif" w:hAnsi="Arial;Helvetica;sans-serif"/>
                          <w:color w:val="40C0C0"/>
                          <w:sz w:val="18"/>
                        </w:rPr>
                      </w:pPr>
                      <w:r>
                        <w:rPr>
                          <w:rFonts w:ascii="Arial;Helvetica;sans-serif" w:hAnsi="Arial;Helvetica;sans-serif"/>
                          <w:b/>
                          <w:color w:val="40C0C0"/>
                          <w:sz w:val="18"/>
                        </w:rPr>
                        <w:t>IS IMPORTANT</w:t>
                      </w:r>
                      <w:r>
                        <w:rPr>
                          <w:rFonts w:ascii="Arial;Helvetica;sans-serif" w:hAnsi="Arial;Helvetica;sans-serif"/>
                          <w:color w:val="000000"/>
                          <w:sz w:val="18"/>
                        </w:rPr>
                        <w:t xml:space="preserve"> </w:t>
                      </w:r>
                    </w:p>
                    <w:p>
                      <w:pPr>
                        <w:pStyle w:val="TextBody"/>
                        <w:bidi w:val="0"/>
                        <w:spacing w:before="1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for the Stockholders’ Meeting to Be Held on Wednesday, June 24, 2026 at 10:00 a.m. Pacific Time online at www.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virtualshareholdermeeting.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com/MAPS2026. </w:t>
                      </w:r>
                    </w:p>
                    <w:p>
                      <w:pPr>
                        <w:pStyle w:val="TextBody"/>
                        <w:bidi w:val="0"/>
                        <w:spacing w:before="16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proxy statement and annual report to stockholders </w:t>
                      </w:r>
                    </w:p>
                    <w:p>
                      <w:pPr>
                        <w:pStyle w:val="TextBody"/>
                        <w:bidi w:val="0"/>
                        <w:spacing w:before="0" w:after="283"/>
                        <w:ind w:left="0" w:right="0" w:hanging="0"/>
                        <w:jc w:val="left"/>
                        <w:rPr>
                          <w:rFonts w:ascii="Arial;Helvetica;sans-serif" w:hAnsi="Arial;Helvetica;sans-serif"/>
                          <w:color w:val="40C0C0"/>
                          <w:sz w:val="20"/>
                        </w:rPr>
                      </w:pPr>
                      <w:r>
                        <w:rPr>
                          <w:rFonts w:ascii="Arial;Helvetica;sans-serif" w:hAnsi="Arial;Helvetica;sans-serif"/>
                          <w:b/>
                          <w:color w:val="000000"/>
                          <w:sz w:val="20"/>
                        </w:rPr>
                        <w:t xml:space="preserve">are available at </w:t>
                      </w:r>
                      <w:r>
                        <w:rPr>
                          <w:rFonts w:ascii="Arial;Helvetica;sans-serif" w:hAnsi="Arial;Helvetica;sans-serif"/>
                          <w:b/>
                          <w:color w:val="000000"/>
                          <w:sz w:val="20"/>
                          <w:u w:val="single"/>
                        </w:rPr>
                        <w:t>www.proxyvote.com</w:t>
                      </w:r>
                      <w:r>
                        <w:rPr>
                          <w:rFonts w:ascii="Arial;Helvetica;sans-serif" w:hAnsi="Arial;Helvetica;sans-serif"/>
                          <w:color w:val="000000"/>
                          <w:sz w:val="20"/>
                        </w:rPr>
                        <w:t xml:space="preserve"> </w:t>
                      </w:r>
                    </w:p>
                  </w:txbxContent>
                </v:textbox>
                <w10:wrap type="square" side="right"/>
              </v:rect>
            </w:pict>
          </mc:Fallback>
        </mc:AlternateContent>
      </w:r>
      <w:r>
        <mc:AlternateContent>
          <mc:Choice Requires="wps">
            <w:drawing>
              <wp:anchor behindDoc="0" distT="0" distB="0" distL="190500" distR="0" simplePos="0" locked="0" layoutInCell="1" allowOverlap="1" relativeHeight="12">
                <wp:simplePos x="0" y="0"/>
                <wp:positionH relativeFrom="column">
                  <wp:align>left</wp:align>
                </wp:positionH>
                <wp:positionV relativeFrom="line">
                  <wp:posOffset>635</wp:posOffset>
                </wp:positionV>
                <wp:extent cx="4914900" cy="9972040"/>
                <wp:effectExtent l="0" t="0" r="0" b="0"/>
                <wp:wrapSquare wrapText="right"/>
                <wp:docPr id="3" name="Frame2"/>
                <a:graphic xmlns:a="http://schemas.openxmlformats.org/drawingml/2006/main">
                  <a:graphicData uri="http://schemas.microsoft.com/office/word/2010/wordprocessingShape">
                    <wps:wsp>
                      <wps:cNvSpPr txBox="1"/>
                      <wps:spPr>
                        <a:xfrm>
                          <a:off x="0" y="0"/>
                          <a:ext cx="4914900" cy="9972040"/>
                        </a:xfrm>
                        <a:prstGeom prst="rect"/>
                        <a:solidFill>
                          <a:srgbClr val="FFFFFF"/>
                        </a:solidFill>
                      </wps:spPr>
                      <wps:txb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Dear Stockholders of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WM Technology, Inc. </w:t>
                            </w:r>
                          </w:p>
                          <w:p>
                            <w:pPr>
                              <w:pStyle w:val="TextBody"/>
                              <w:bidi w:val="0"/>
                              <w:spacing w:lineRule="atLeast" w:line="240"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are cordially invited to attend the Annual Meeting of Stockholders (the “Annual Meeting”) of WM Technology, Inc., a Delaware corporation (the “Company”). The meeting will be held on Wednesday, June 24, 2026 at 10:00 a.m. Pacific Time. The Annual Meeting will be a virtual meeting of stockholders, which will be conducted only via a live audio webcast. You will be able to attend the Annual Meeting, submit your questions and vote online during the meeting by visiting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We believe a virtual meeting provides expanded access, improves communication, enables increased stockholder attendance and participation, allows our stockholders, including our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 </w:t>
                            </w:r>
                          </w:p>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holding the Annual Meeting for the following purposes, as more fully described in the accompanying proxy statement (“Proxy Statement”): </w:t>
                            </w:r>
                          </w:p>
                          <w:tbl>
                            <w:tblPr>
                              <w:tblW w:w="10205" w:type="dxa"/>
                              <w:jc w:val="left"/>
                              <w:tblInd w:w="0" w:type="dxa"/>
                              <w:tblLayout w:type="fixed"/>
                              <w:tblCellMar>
                                <w:top w:w="0" w:type="dxa"/>
                                <w:left w:w="0" w:type="dxa"/>
                                <w:bottom w:w="0" w:type="dxa"/>
                                <w:right w:w="0" w:type="dxa"/>
                              </w:tblCellMar>
                            </w:tblPr>
                            <w:tblGrid>
                              <w:gridCol w:w="185"/>
                              <w:gridCol w:w="467"/>
                              <w:gridCol w:w="170"/>
                              <w:gridCol w:w="170"/>
                              <w:gridCol w:w="8997"/>
                              <w:gridCol w:w="216"/>
                            </w:tblGrid>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lineRule="atLeast" w:line="244"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an amendment to our Certificate of Incorporation to declassify the Board of Directors and to provide for the immediate annual election of all directors.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on a non-binding advisory basis, the compensation as disclosed in the Proxy Statement of our principal executive officer and our two most highly compensated executive officers (other than our principal executive officer) who were serving as our executive officers at the end of the last completed fiscal year for the year ended December 31, 2025;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ratify the selection by the audit committee of the Board of Directors of Macias Gini &amp; O’Connell LLP as our independent registered public accounting firm for the year ending December 31, 2026;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approved, to elect the seven director nominees named in the accompanying Proxy Statement, each to serve until the 2027 annual meeting of stockholders, or until their successors are duly elected and qualified or until such director’s earlier death, disqualification, resignation or removal; </w:t>
                                  </w:r>
                                </w:p>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not approved, to elect the three nominees for Class II directors named in the accompanying Proxy Statement, each to serve until the 2029 annual meeting of stockholders, or until their successors are duly elected and qualified or until such director’s earlier death, disqualification, resignation or removal; and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40" w:after="283"/>
                                    <w:jc w:val="center"/>
                                    <w:rPr>
                                      <w:color w:val="40C0C0"/>
                                    </w:rPr>
                                  </w:pPr>
                                  <w:r>
                                    <w:rPr>
                                      <w:color w:val="40C0C0"/>
                                    </w:rPr>
                                    <w:drawing>
                                      <wp:inline distT="0" distB="0" distL="0" distR="0">
                                        <wp:extent cx="257175" cy="2381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conduct any other business properly brought before the meeting.</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items of business are more fully described in the Proxy Statement accompanying this Notice of Annual Meeting of Stockholders. The record date for the Annual Meeting is Monday, April 27, 2026. Only stockholders of record at the close of business on that date may vote at the meeting or any adjournment or postponement thereof. A complete list of the stockholders entitled to vote at the Annual Meeting will be made available to stockholders during the meeting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387pt;height:785.2pt;mso-wrap-distance-left:15pt;mso-wrap-distance-right:0pt;mso-wrap-distance-top:0pt;mso-wrap-distance-bottom:0pt;margin-top:0pt;mso-position-vertical:top;mso-position-vertical-relative:text;margin-left:135pt;mso-position-horizontal:left;mso-position-horizontal-relative:text">
                <v:textbo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Dear Stockholders of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WM Technology, Inc. </w:t>
                      </w:r>
                    </w:p>
                    <w:p>
                      <w:pPr>
                        <w:pStyle w:val="TextBody"/>
                        <w:bidi w:val="0"/>
                        <w:spacing w:lineRule="atLeast" w:line="240"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are cordially invited to attend the Annual Meeting of Stockholders (the “Annual Meeting”) of WM Technology, Inc., a Delaware corporation (the “Company”). The meeting will be held on Wednesday, June 24, 2026 at 10:00 a.m. Pacific Time. The Annual Meeting will be a virtual meeting of stockholders, which will be conducted only via a live audio webcast. You will be able to attend the Annual Meeting, submit your questions and vote online during the meeting by visiting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We believe a virtual meeting provides expanded access, improves communication, enables increased stockholder attendance and participation, allows our stockholders, including our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 </w:t>
                      </w:r>
                    </w:p>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holding the Annual Meeting for the following purposes, as more fully described in the accompanying proxy statement (“Proxy Statement”): </w:t>
                      </w:r>
                    </w:p>
                    <w:tbl>
                      <w:tblPr>
                        <w:tblW w:w="10205" w:type="dxa"/>
                        <w:jc w:val="left"/>
                        <w:tblInd w:w="0" w:type="dxa"/>
                        <w:tblLayout w:type="fixed"/>
                        <w:tblCellMar>
                          <w:top w:w="0" w:type="dxa"/>
                          <w:left w:w="0" w:type="dxa"/>
                          <w:bottom w:w="0" w:type="dxa"/>
                          <w:right w:w="0" w:type="dxa"/>
                        </w:tblCellMar>
                      </w:tblPr>
                      <w:tblGrid>
                        <w:gridCol w:w="185"/>
                        <w:gridCol w:w="467"/>
                        <w:gridCol w:w="170"/>
                        <w:gridCol w:w="170"/>
                        <w:gridCol w:w="8997"/>
                        <w:gridCol w:w="216"/>
                      </w:tblGrid>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8"/>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lineRule="atLeast" w:line="244"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an amendment to our Certificate of Incorporation to declassify the Board of Directors and to provide for the immediate annual election of all directors.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9"/>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on a non-binding advisory basis, the compensation as disclosed in the Proxy Statement of our principal executive officer and our two most highly compensated executive officers (other than our principal executive officer) who were serving as our executive officers at the end of the last completed fiscal year for the year ended December 31, 2025;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10"/>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ratify the selection by the audit committee of the Board of Directors of Macias Gini &amp; O’Connell LLP as our independent registered public accounting firm for the year ending December 31, 2026;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11"/>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approved, to elect the seven director nominees named in the accompanying Proxy Statement, each to serve until the 2027 annual meeting of stockholders, or until their successors are duly elected and qualified or until such director’s earlier death, disqualification, resignation or removal; </w:t>
                            </w:r>
                          </w:p>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not approved, to elect the three nominees for Class II directors named in the accompanying Proxy Statement, each to serve until the 2029 annual meeting of stockholders, or until their successors are duly elected and qualified or until such director’s earlier death, disqualification, resignation or removal; and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40" w:after="283"/>
                              <w:jc w:val="center"/>
                              <w:rPr>
                                <w:color w:val="40C0C0"/>
                              </w:rPr>
                            </w:pPr>
                            <w:r>
                              <w:rPr>
                                <w:color w:val="40C0C0"/>
                              </w:rPr>
                              <w:drawing>
                                <wp:inline distT="0" distB="0" distL="0" distR="0">
                                  <wp:extent cx="257175" cy="2381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2"/>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conduct any other business properly brought before the meeting.</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items of business are more fully described in the Proxy Statement accompanying this Notice of Annual Meeting of Stockholders. The record date for the Annual Meeting is Monday, April 27, 2026. Only stockholders of record at the close of business on that date may vote at the meeting or any adjournment or postponement thereof. A complete list of the stockholders entitled to vote at the Annual Meeting will be made available to stockholders during the meeting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xbxContent>
                </v:textbox>
                <w10:wrap type="square" side="right"/>
              </v:rect>
            </w:pict>
          </mc:Fallback>
        </mc:AlternateContent>
      </w:r>
    </w:p>
    <w:p>
      <w:pPr>
        <w:pStyle w:val="TextBody"/>
        <w:bidi w:val="0"/>
        <w:jc w:val="left"/>
        <w:rPr/>
      </w:pPr>
      <w:hyperlink w:anchor="TOC">
        <w:bookmarkStart w:id="5" w:name="ny20069089x2_def14a_101-notice_pg3"/>
        <w:bookmarkEnd w:id="5"/>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524000" cy="251460"/>
                <wp:effectExtent l="0" t="0" r="0" b="0"/>
                <wp:wrapSquare wrapText="right"/>
                <wp:docPr id="14" name="Frame3"/>
                <a:graphic xmlns:a="http://schemas.openxmlformats.org/drawingml/2006/main">
                  <a:graphicData uri="http://schemas.microsoft.com/office/word/2010/wordprocessingShape">
                    <wps:wsp>
                      <wps:cNvSpPr txBox="1"/>
                      <wps:spPr>
                        <a:xfrm>
                          <a:off x="0" y="0"/>
                          <a:ext cx="1524000" cy="251460"/>
                        </a:xfrm>
                        <a:prstGeom prst="rect"/>
                        <a:solidFill>
                          <a:srgbClr val="FFFFFF"/>
                        </a:solidFill>
                      </wps:spPr>
                      <wps:txbx>
                        <w:txbxContent>
                          <w:p>
                            <w:pPr>
                              <w:pStyle w:val="TextBody"/>
                              <w:bidi w:val="0"/>
                              <w:spacing w:before="120" w:after="283"/>
                              <w:ind w:left="0" w:right="0" w:hanging="0"/>
                              <w:jc w:val="left"/>
                              <w:rPr>
                                <w:color w:val="000000"/>
                              </w:rPr>
                            </w:pPr>
                            <w:r>
                              <w:rPr>
                                <w:color w:val="000000"/>
                              </w:rPr>
                              <w:t xml:space="preserve">  </w:t>
                            </w:r>
                          </w:p>
                        </w:txbxContent>
                      </wps:txbx>
                      <wps:bodyPr anchor="t" lIns="0" tIns="0" rIns="0" bIns="0">
                        <a:noAutofit/>
                      </wps:bodyPr>
                    </wps:wsp>
                  </a:graphicData>
                </a:graphic>
              </wp:anchor>
            </w:drawing>
          </mc:Choice>
          <mc:Fallback>
            <w:pict>
              <v:rect style="position:absolute;rotation:-0;width:120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000000"/>
                        </w:rPr>
                      </w:pPr>
                      <w:r>
                        <w:rPr>
                          <w:color w:val="000000"/>
                        </w:rPr>
                        <w:t xml:space="preserve">  </w:t>
                      </w:r>
                    </w:p>
                  </w:txbxContent>
                </v:textbox>
                <w10:wrap type="square" side="right"/>
              </v:rect>
            </w:pict>
          </mc:Fallback>
        </mc:AlternateContent>
      </w:r>
      <w:r>
        <mc:AlternateContent>
          <mc:Choice Requires="wps">
            <w:drawing>
              <wp:anchor behindDoc="0" distT="0" distB="0" distL="190500" distR="0" simplePos="0" locked="0" layoutInCell="1" allowOverlap="1" relativeHeight="20">
                <wp:simplePos x="0" y="0"/>
                <wp:positionH relativeFrom="column">
                  <wp:align>left</wp:align>
                </wp:positionH>
                <wp:positionV relativeFrom="line">
                  <wp:posOffset>635</wp:posOffset>
                </wp:positionV>
                <wp:extent cx="4914900" cy="3999865"/>
                <wp:effectExtent l="0" t="0" r="0" b="0"/>
                <wp:wrapSquare wrapText="right"/>
                <wp:docPr id="15" name="Frame4"/>
                <a:graphic xmlns:a="http://schemas.openxmlformats.org/drawingml/2006/main">
                  <a:graphicData uri="http://schemas.microsoft.com/office/word/2010/wordprocessingShape">
                    <wps:wsp>
                      <wps:cNvSpPr txBox="1"/>
                      <wps:spPr>
                        <a:xfrm>
                          <a:off x="0" y="0"/>
                          <a:ext cx="4914900" cy="399986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2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 Brian Camire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Brian Camire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 Counsel and Secretary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Irvine, California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April 28, 2026 </w:t>
                            </w:r>
                          </w:p>
                          <w:p>
                            <w:pPr>
                              <w:pStyle w:val="TextBody"/>
                              <w:bidi w:val="0"/>
                              <w:spacing w:lineRule="atLeast" w:line="250"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You are cordially invited to attend the Annual Meeting, which will be held virtually via a live audio webcast. Whether or not you expect to attend the Annual Meeting, please vote your shares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w:t>
                            </w:r>
                          </w:p>
                        </w:txbxContent>
                      </wps:txbx>
                      <wps:bodyPr anchor="t" lIns="0" tIns="0" rIns="0" bIns="0">
                        <a:noAutofit/>
                      </wps:bodyPr>
                    </wps:wsp>
                  </a:graphicData>
                </a:graphic>
              </wp:anchor>
            </w:drawing>
          </mc:Choice>
          <mc:Fallback>
            <w:pict>
              <v:rect style="position:absolute;rotation:-0;width:387pt;height:314.95pt;mso-wrap-distance-left:15pt;mso-wrap-distance-right:0pt;mso-wrap-distance-top:0pt;mso-wrap-distance-bottom:0pt;margin-top:0pt;mso-position-vertical:top;mso-position-vertical-relative:text;margin-left:135pt;mso-position-horizontal:left;mso-position-horizontal-relative:text">
                <v:textbox>
                  <w:txbxContent>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2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 Brian Camire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Brian Camire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 Counsel and Secretary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Irvine, California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April 28, 2026 </w:t>
                      </w:r>
                    </w:p>
                    <w:p>
                      <w:pPr>
                        <w:pStyle w:val="TextBody"/>
                        <w:bidi w:val="0"/>
                        <w:spacing w:lineRule="atLeast" w:line="250"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You are cordially invited to attend the Annual Meeting, which will be held virtually via a live audio webcast. Whether or not you expect to attend the Annual Meeting, please vote your shares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w:t>
                      </w:r>
                    </w:p>
                  </w:txbxContent>
                </v:textbox>
                <w10:wrap type="square" side="right"/>
              </v:rect>
            </w:pict>
          </mc:Fallback>
        </mc:AlternateContent>
      </w:r>
    </w:p>
    <w:p>
      <w:pPr>
        <w:pStyle w:val="TextBody"/>
        <w:bidi w:val="0"/>
        <w:jc w:val="left"/>
        <w:rPr/>
      </w:pPr>
      <w:hyperlink w:anchor="TOC">
        <w:bookmarkStart w:id="6" w:name="ny20069089x2_def14a_102-toc_pg1"/>
        <w:bookmarkEnd w:id="6"/>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524000" cy="859790"/>
                <wp:effectExtent l="0" t="0" r="0" b="0"/>
                <wp:wrapSquare wrapText="right"/>
                <wp:docPr id="16" name="Frame5"/>
                <a:graphic xmlns:a="http://schemas.openxmlformats.org/drawingml/2006/main">
                  <a:graphicData uri="http://schemas.microsoft.com/office/word/2010/wordprocessingShape">
                    <wps:wsp>
                      <wps:cNvSpPr txBox="1"/>
                      <wps:spPr>
                        <a:xfrm>
                          <a:off x="0" y="0"/>
                          <a:ext cx="1524000" cy="859790"/>
                        </a:xfrm>
                        <a:prstGeom prst="rect"/>
                        <a:solidFill>
                          <a:srgbClr val="FFFFFF"/>
                        </a:solidFill>
                      </wps:spPr>
                      <wps:txbx>
                        <w:txbxContent>
                          <w:p>
                            <w:pPr>
                              <w:pStyle w:val="TextBody"/>
                              <w:bidi w:val="0"/>
                              <w:spacing w:before="120" w:after="283"/>
                              <w:ind w:left="0" w:right="0" w:hanging="0"/>
                              <w:jc w:val="left"/>
                              <w:rPr>
                                <w:color w:val="000000"/>
                              </w:rPr>
                            </w:pPr>
                            <w:r>
                              <w:rPr>
                                <w:color w:val="000000"/>
                              </w:rPr>
                              <w:drawing>
                                <wp:inline distT="0" distB="0" distL="0" distR="0">
                                  <wp:extent cx="781050" cy="42862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13"/>
                                          <a:stretch>
                                            <a:fillRect/>
                                          </a:stretch>
                                        </pic:blipFill>
                                        <pic:spPr bwMode="auto">
                                          <a:xfrm>
                                            <a:off x="0" y="0"/>
                                            <a:ext cx="781050" cy="428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120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000000"/>
                        </w:rPr>
                      </w:pPr>
                      <w:r>
                        <w:rPr>
                          <w:color w:val="000000"/>
                        </w:rPr>
                        <w:drawing>
                          <wp:inline distT="0" distB="0" distL="0" distR="0">
                            <wp:extent cx="781050" cy="42862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4"/>
                                    <a:stretch>
                                      <a:fillRect/>
                                    </a:stretch>
                                  </pic:blipFill>
                                  <pic:spPr bwMode="auto">
                                    <a:xfrm>
                                      <a:off x="0" y="0"/>
                                      <a:ext cx="781050" cy="428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xbxContent>
                </v:textbox>
                <w10:wrap type="square" side="right"/>
              </v:rect>
            </w:pict>
          </mc:Fallback>
        </mc:AlternateContent>
      </w:r>
      <w:r>
        <mc:AlternateContent>
          <mc:Choice Requires="wps">
            <w:drawing>
              <wp:anchor behindDoc="0" distT="0" distB="0" distL="190500" distR="0" simplePos="0" locked="0" layoutInCell="1" allowOverlap="1" relativeHeight="21">
                <wp:simplePos x="0" y="0"/>
                <wp:positionH relativeFrom="column">
                  <wp:align>left</wp:align>
                </wp:positionH>
                <wp:positionV relativeFrom="line">
                  <wp:posOffset>635</wp:posOffset>
                </wp:positionV>
                <wp:extent cx="4914900" cy="9972040"/>
                <wp:effectExtent l="0" t="0" r="0" b="0"/>
                <wp:wrapSquare wrapText="right"/>
                <wp:docPr id="19" name="Frame6"/>
                <a:graphic xmlns:a="http://schemas.openxmlformats.org/drawingml/2006/main">
                  <a:graphicData uri="http://schemas.microsoft.com/office/word/2010/wordprocessingShape">
                    <wps:wsp>
                      <wps:cNvSpPr txBox="1"/>
                      <wps:spPr>
                        <a:xfrm>
                          <a:off x="0" y="0"/>
                          <a:ext cx="4914900" cy="9972040"/>
                        </a:xfrm>
                        <a:prstGeom prst="rect"/>
                        <a:solidFill>
                          <a:srgbClr val="FFFFFF"/>
                        </a:solidFill>
                      </wps:spPr>
                      <wps:txb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Table of Contents </w:t>
                            </w:r>
                          </w:p>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350"/>
                              <w:gridCol w:w="170"/>
                              <w:gridCol w:w="170"/>
                              <w:gridCol w:w="515"/>
                            </w:tblGrid>
                            <w:tr>
                              <w:trPr/>
                              <w:tc>
                                <w:tcPr>
                                  <w:tcW w:w="9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Page </w:t>
                                  </w:r>
                                </w:p>
                              </w:tc>
                            </w:tr>
                            <w:tr>
                              <w:trPr/>
                              <w:tc>
                                <w:tcPr>
                                  <w:tcW w:w="9350" w:type="dxa"/>
                                  <w:tcBorders/>
                                  <w:vAlign w:val="center"/>
                                </w:tcPr>
                                <w:p>
                                  <w:pPr>
                                    <w:pStyle w:val="TableContents"/>
                                    <w:bidi w:val="0"/>
                                    <w:spacing w:before="0" w:after="283"/>
                                    <w:ind w:left="0" w:right="0" w:hanging="0"/>
                                    <w:jc w:val="left"/>
                                    <w:rPr/>
                                  </w:pPr>
                                  <w:hyperlink w:anchor="tQAAM">
                                    <w:r>
                                      <w:rPr>
                                        <w:rStyle w:val="InternetLink"/>
                                        <w:rFonts w:ascii="Arial;Helvetica;sans-serif" w:hAnsi="Arial;Helvetica;sans-serif"/>
                                        <w:b/>
                                        <w:color w:val="000000"/>
                                        <w:sz w:val="18"/>
                                      </w:rPr>
                                      <w:t>Questions and Answers About These Proxy Materials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QAAM">
                                    <w:r>
                                      <w:rPr>
                                        <w:rStyle w:val="InternetLink"/>
                                        <w:rFonts w:ascii="Arial;Helvetica;sans-serif" w:hAnsi="Arial;Helvetica;sans-serif"/>
                                        <w:b/>
                                        <w:color w:val="000000"/>
                                        <w:sz w:val="18"/>
                                      </w:rPr>
                                      <w:t>2</w:t>
                                    </w:r>
                                  </w:hyperlink>
                                </w:p>
                              </w:tc>
                            </w:tr>
                            <w:tr>
                              <w:trPr/>
                              <w:tc>
                                <w:tcPr>
                                  <w:tcW w:w="9350" w:type="dxa"/>
                                  <w:tcBorders/>
                                  <w:vAlign w:val="center"/>
                                </w:tcPr>
                                <w:p>
                                  <w:pPr>
                                    <w:pStyle w:val="TableContents"/>
                                    <w:bidi w:val="0"/>
                                    <w:spacing w:before="0" w:after="283"/>
                                    <w:ind w:left="0" w:right="0" w:hanging="0"/>
                                    <w:jc w:val="left"/>
                                    <w:rPr/>
                                  </w:pPr>
                                  <w:hyperlink w:anchor="tIRT">
                                    <w:r>
                                      <w:rPr>
                                        <w:rStyle w:val="InternetLink"/>
                                        <w:rFonts w:ascii="Arial;Helvetica;sans-serif" w:hAnsi="Arial;Helvetica;sans-serif"/>
                                        <w:b/>
                                        <w:color w:val="000000"/>
                                        <w:sz w:val="18"/>
                                      </w:rPr>
                                      <w:t>Information Regarding the 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T">
                                    <w:r>
                                      <w:rPr>
                                        <w:rStyle w:val="InternetLink"/>
                                        <w:rFonts w:ascii="Arial;Helvetica;sans-serif" w:hAnsi="Arial;Helvetica;sans-serif"/>
                                        <w:b/>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DIN">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N">
                                    <w:r>
                                      <w:rPr>
                                        <w:rStyle w:val="InternetLink"/>
                                        <w:rFonts w:ascii="Arial;Helvetica;sans-serif" w:hAnsi="Arial;Helvetica;sans-serif"/>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BLS">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BLS">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ROT">
                                    <w:r>
                                      <w:rPr>
                                        <w:rStyle w:val="InternetLink"/>
                                        <w:rFonts w:ascii="Arial;Helvetica;sans-serif" w:hAnsi="Arial;Helvetica;sans-serif"/>
                                        <w:color w:val="000000"/>
                                        <w:sz w:val="18"/>
                                      </w:rPr>
                                      <w:t>Role of the Board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MOT">
                                    <w:r>
                                      <w:rPr>
                                        <w:rStyle w:val="InternetLink"/>
                                        <w:rFonts w:ascii="Arial;Helvetica;sans-serif" w:hAnsi="Arial;Helvetica;sans-serif"/>
                                        <w:color w:val="000000"/>
                                        <w:sz w:val="18"/>
                                      </w:rPr>
                                      <w:t>Meetings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MOT">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IRC">
                                    <w:r>
                                      <w:rPr>
                                        <w:rStyle w:val="InternetLink"/>
                                        <w:rFonts w:ascii="Arial;Helvetica;sans-serif" w:hAnsi="Arial;Helvetica;sans-serif"/>
                                        <w:color w:val="000000"/>
                                        <w:sz w:val="18"/>
                                      </w:rPr>
                                      <w:t>Information Regarding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C">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AUC">
                                    <w:r>
                                      <w:rPr>
                                        <w:rStyle w:val="InternetLink"/>
                                        <w:rFonts w:ascii="Arial;Helvetica;sans-serif" w:hAnsi="Arial;Helvetica;sans-serif"/>
                                        <w:color w:val="000000"/>
                                        <w:sz w:val="18"/>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UC">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ROTA">
                                    <w:r>
                                      <w:rPr>
                                        <w:rStyle w:val="InternetLink"/>
                                        <w:rFonts w:ascii="Arial;Helvetica;sans-serif" w:hAnsi="Arial;Helvetica;sans-serif"/>
                                        <w:color w:val="000000"/>
                                        <w:sz w:val="18"/>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A">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COC">
                                    <w:r>
                                      <w:rPr>
                                        <w:rStyle w:val="InternetLink"/>
                                        <w:rFonts w:ascii="Arial;Helvetica;sans-serif" w:hAnsi="Arial;Helvetica;sans-serif"/>
                                        <w:color w:val="000000"/>
                                        <w:sz w:val="18"/>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C">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COP">
                                    <w:r>
                                      <w:rPr>
                                        <w:rStyle w:val="InternetLink"/>
                                        <w:rFonts w:ascii="Arial;Helvetica;sans-serif" w:hAnsi="Arial;Helvetica;sans-serif"/>
                                        <w:color w:val="000000"/>
                                        <w:sz w:val="18"/>
                                      </w:rPr>
                                      <w:t>Compensation Committee Processes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P">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NAC">
                                    <w:r>
                                      <w:rPr>
                                        <w:rStyle w:val="InternetLink"/>
                                        <w:rFonts w:ascii="Arial;Helvetica;sans-serif" w:hAnsi="Arial;Helvetica;sans-serif"/>
                                        <w:color w:val="000000"/>
                                        <w:sz w:val="18"/>
                                      </w:rPr>
                                      <w:t>Nominating and 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NAC">
                                    <w:r>
                                      <w:rPr>
                                        <w:rStyle w:val="InternetLink"/>
                                        <w:rFonts w:ascii="Arial;Helvetica;sans-serif" w:hAnsi="Arial;Helvetica;sans-serif"/>
                                        <w:color w:val="000000"/>
                                        <w:sz w:val="18"/>
                                      </w:rPr>
                                      <w:t>19</w:t>
                                    </w:r>
                                  </w:hyperlink>
                                </w:p>
                              </w:tc>
                            </w:tr>
                            <w:tr>
                              <w:trPr/>
                              <w:tc>
                                <w:tcPr>
                                  <w:tcW w:w="9350" w:type="dxa"/>
                                  <w:tcBorders/>
                                  <w:vAlign w:val="center"/>
                                </w:tcPr>
                                <w:p>
                                  <w:pPr>
                                    <w:pStyle w:val="TableContents"/>
                                    <w:bidi w:val="0"/>
                                    <w:spacing w:before="0" w:after="283"/>
                                    <w:ind w:left="280" w:right="0" w:hanging="0"/>
                                    <w:jc w:val="left"/>
                                    <w:rPr/>
                                  </w:pPr>
                                  <w:hyperlink w:anchor="tTC">
                                    <w:r>
                                      <w:rPr>
                                        <w:rStyle w:val="InternetLink"/>
                                        <w:rFonts w:ascii="Arial;Helvetica;sans-serif" w:hAnsi="Arial;Helvetica;sans-serif"/>
                                        <w:color w:val="000000"/>
                                        <w:sz w:val="18"/>
                                      </w:rPr>
                                      <w:t>Technology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TC">
                                    <w:r>
                                      <w:rPr>
                                        <w:rStyle w:val="InternetLink"/>
                                        <w:rFonts w:ascii="Arial;Helvetica;sans-serif" w:hAnsi="Arial;Helvetica;sans-serif"/>
                                        <w:color w:val="000000"/>
                                        <w:sz w:val="18"/>
                                      </w:rPr>
                                      <w:t>20</w:t>
                                    </w:r>
                                  </w:hyperlink>
                                </w:p>
                              </w:tc>
                            </w:tr>
                            <w:tr>
                              <w:trPr/>
                              <w:tc>
                                <w:tcPr>
                                  <w:tcW w:w="9350" w:type="dxa"/>
                                  <w:tcBorders/>
                                  <w:vAlign w:val="center"/>
                                </w:tcPr>
                                <w:p>
                                  <w:pPr>
                                    <w:pStyle w:val="TableContents"/>
                                    <w:bidi w:val="0"/>
                                    <w:spacing w:before="0" w:after="283"/>
                                    <w:ind w:left="280" w:right="0" w:hanging="0"/>
                                    <w:jc w:val="left"/>
                                    <w:rPr/>
                                  </w:pPr>
                                  <w:hyperlink w:anchor="tSCW">
                                    <w:r>
                                      <w:rPr>
                                        <w:rStyle w:val="InternetLink"/>
                                        <w:rFonts w:ascii="Arial;Helvetica;sans-serif" w:hAnsi="Arial;Helvetica;sans-serif"/>
                                        <w:color w:val="000000"/>
                                        <w:sz w:val="18"/>
                                      </w:rPr>
                                      <w:t>Stockholder Communications with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W">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OF">
                                    <w:r>
                                      <w:rPr>
                                        <w:rStyle w:val="InternetLink"/>
                                        <w:rFonts w:ascii="Arial;Helvetica;sans-serif" w:hAnsi="Arial;Helvetica;sans-serif"/>
                                        <w:color w:val="000000"/>
                                        <w:sz w:val="18"/>
                                      </w:rPr>
                                      <w:t>Code of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F">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GG">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GG">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TP">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HEP">
                                    <w:r>
                                      <w:rPr>
                                        <w:rStyle w:val="InternetLink"/>
                                        <w:rFonts w:ascii="Arial;Helvetica;sans-serif" w:hAnsi="Arial;Helvetica;sans-serif"/>
                                        <w:color w:val="000000"/>
                                        <w:sz w:val="18"/>
                                      </w:rPr>
                                      <w:t>Hedging and Pledging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EP">
                                    <w:r>
                                      <w:rPr>
                                        <w:rStyle w:val="InternetLink"/>
                                        <w:rFonts w:ascii="Arial;Helvetica;sans-serif" w:hAnsi="Arial;Helvetica;sans-serif"/>
                                        <w:color w:val="000000"/>
                                        <w:sz w:val="18"/>
                                      </w:rPr>
                                      <w:t>22</w:t>
                                    </w:r>
                                  </w:hyperlink>
                                </w:p>
                              </w:tc>
                            </w:tr>
                            <w:tr>
                              <w:trPr/>
                              <w:tc>
                                <w:tcPr>
                                  <w:tcW w:w="9350" w:type="dxa"/>
                                  <w:tcBorders/>
                                  <w:vAlign w:val="center"/>
                                </w:tcPr>
                                <w:p>
                                  <w:pPr>
                                    <w:pStyle w:val="TableContents"/>
                                    <w:bidi w:val="0"/>
                                    <w:spacing w:before="0" w:after="283"/>
                                    <w:ind w:left="0" w:right="0" w:hanging="0"/>
                                    <w:jc w:val="left"/>
                                    <w:rPr/>
                                  </w:pPr>
                                  <w:hyperlink w:anchor="tP1E">
                                    <w:r>
                                      <w:rPr>
                                        <w:rStyle w:val="InternetLink"/>
                                        <w:rFonts w:ascii="Arial;Helvetica;sans-serif" w:hAnsi="Arial;Helvetica;sans-serif"/>
                                        <w:b/>
                                        <w:color w:val="40C0C0"/>
                                        <w:sz w:val="18"/>
                                      </w:rPr>
                                      <w:t xml:space="preserve">Proposal No. 1 Amendment to Certificate of Incorporation to Declassify the Board of Directors and Provide for the Immediate Annual Election of All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1E">
                                    <w:r>
                                      <w:rPr>
                                        <w:rStyle w:val="InternetLink"/>
                                        <w:rFonts w:ascii="Arial;Helvetica;sans-serif" w:hAnsi="Arial;Helvetica;sans-serif"/>
                                        <w:b/>
                                        <w:color w:val="40C0C0"/>
                                        <w:sz w:val="18"/>
                                      </w:rPr>
                                      <w:t>23</w:t>
                                    </w:r>
                                  </w:hyperlink>
                                </w:p>
                              </w:tc>
                            </w:tr>
                            <w:tr>
                              <w:trPr/>
                              <w:tc>
                                <w:tcPr>
                                  <w:tcW w:w="9350" w:type="dxa"/>
                                  <w:tcBorders/>
                                  <w:vAlign w:val="center"/>
                                </w:tcPr>
                                <w:p>
                                  <w:pPr>
                                    <w:pStyle w:val="TableContents"/>
                                    <w:bidi w:val="0"/>
                                    <w:spacing w:before="0" w:after="283"/>
                                    <w:ind w:left="0" w:right="0" w:hanging="0"/>
                                    <w:jc w:val="left"/>
                                    <w:rPr/>
                                  </w:pPr>
                                  <w:hyperlink w:anchor="tPN2">
                                    <w:r>
                                      <w:rPr>
                                        <w:rStyle w:val="InternetLink"/>
                                        <w:rFonts w:ascii="Arial;Helvetica;sans-serif" w:hAnsi="Arial;Helvetica;sans-serif"/>
                                        <w:b/>
                                        <w:color w:val="40C0C0"/>
                                        <w:sz w:val="18"/>
                                      </w:rPr>
                                      <w:t>Proposal No. 2 Advisory Vote, on a Non-Binding Basis, to Approve the Compensation of Our Named Executive Officers for the Year Ended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N2">
                                    <w:r>
                                      <w:rPr>
                                        <w:rStyle w:val="InternetLink"/>
                                        <w:rFonts w:ascii="Arial;Helvetica;sans-serif" w:hAnsi="Arial;Helvetica;sans-serif"/>
                                        <w:b/>
                                        <w:color w:val="40C0C0"/>
                                        <w:sz w:val="18"/>
                                      </w:rPr>
                                      <w:t>25</w:t>
                                    </w:r>
                                  </w:hyperlink>
                                </w:p>
                              </w:tc>
                            </w:tr>
                            <w:tr>
                              <w:trPr/>
                              <w:tc>
                                <w:tcPr>
                                  <w:tcW w:w="9350" w:type="dxa"/>
                                  <w:tcBorders/>
                                  <w:vAlign w:val="center"/>
                                </w:tcPr>
                                <w:p>
                                  <w:pPr>
                                    <w:pStyle w:val="TableContents"/>
                                    <w:bidi w:val="0"/>
                                    <w:spacing w:before="0" w:after="283"/>
                                    <w:ind w:left="0" w:right="0" w:hanging="0"/>
                                    <w:jc w:val="left"/>
                                    <w:rPr/>
                                  </w:pPr>
                                  <w:hyperlink w:anchor="tP3R">
                                    <w:r>
                                      <w:rPr>
                                        <w:rStyle w:val="InternetLink"/>
                                        <w:rFonts w:ascii="Arial;Helvetica;sans-serif" w:hAnsi="Arial;Helvetica;sans-serif"/>
                                        <w:b/>
                                        <w:color w:val="40C0C0"/>
                                        <w:sz w:val="18"/>
                                      </w:rPr>
                                      <w:t>Proposal No. 3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3R">
                                    <w:r>
                                      <w:rPr>
                                        <w:rStyle w:val="InternetLink"/>
                                        <w:rFonts w:ascii="Arial;Helvetica;sans-serif" w:hAnsi="Arial;Helvetica;sans-serif"/>
                                        <w:b/>
                                        <w:color w:val="40C0C0"/>
                                        <w:sz w:val="18"/>
                                      </w:rPr>
                                      <w:t>26</w:t>
                                    </w:r>
                                  </w:hyperlink>
                                </w:p>
                              </w:tc>
                            </w:tr>
                            <w:tr>
                              <w:trPr/>
                              <w:tc>
                                <w:tcPr>
                                  <w:tcW w:w="9350" w:type="dxa"/>
                                  <w:tcBorders/>
                                  <w:vAlign w:val="center"/>
                                </w:tcPr>
                                <w:p>
                                  <w:pPr>
                                    <w:pStyle w:val="TableContents"/>
                                    <w:bidi w:val="0"/>
                                    <w:spacing w:before="0" w:after="283"/>
                                    <w:ind w:left="0" w:right="0" w:hanging="0"/>
                                    <w:jc w:val="left"/>
                                    <w:rPr/>
                                  </w:pPr>
                                  <w:hyperlink w:anchor="tP4A">
                                    <w:r>
                                      <w:rPr>
                                        <w:rStyle w:val="InternetLink"/>
                                        <w:rFonts w:ascii="Arial;Helvetica;sans-serif" w:hAnsi="Arial;Helvetica;sans-serif"/>
                                        <w:b/>
                                        <w:color w:val="40C0C0"/>
                                        <w:sz w:val="18"/>
                                      </w:rPr>
                                      <w:t>Proposal No. 4a Election of Directors if Proposal No. 1 is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4A">
                                    <w:r>
                                      <w:rPr>
                                        <w:rStyle w:val="InternetLink"/>
                                        <w:rFonts w:ascii="Arial;Helvetica;sans-serif" w:hAnsi="Arial;Helvetica;sans-serif"/>
                                        <w:b/>
                                        <w:color w:val="40C0C0"/>
                                        <w:sz w:val="18"/>
                                      </w:rPr>
                                      <w:t>29</w:t>
                                    </w:r>
                                  </w:hyperlink>
                                </w:p>
                              </w:tc>
                            </w:tr>
                            <w:tr>
                              <w:trPr/>
                              <w:tc>
                                <w:tcPr>
                                  <w:tcW w:w="9350" w:type="dxa"/>
                                  <w:tcBorders/>
                                  <w:vAlign w:val="center"/>
                                </w:tcPr>
                                <w:p>
                                  <w:pPr>
                                    <w:pStyle w:val="TableContents"/>
                                    <w:bidi w:val="0"/>
                                    <w:spacing w:before="0" w:after="283"/>
                                    <w:ind w:left="0" w:right="0" w:hanging="0"/>
                                    <w:jc w:val="left"/>
                                    <w:rPr/>
                                  </w:pPr>
                                  <w:hyperlink w:anchor="tPROP4b">
                                    <w:r>
                                      <w:rPr>
                                        <w:rStyle w:val="InternetLink"/>
                                        <w:rFonts w:ascii="Arial;Helvetica;sans-serif" w:hAnsi="Arial;Helvetica;sans-serif"/>
                                        <w:b/>
                                        <w:color w:val="40C0C0"/>
                                        <w:sz w:val="18"/>
                                      </w:rPr>
                                      <w:t>Proposal No. 4b Election of Directors if Proposal No. 1 is not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ROP4b">
                                    <w:r>
                                      <w:rPr>
                                        <w:rStyle w:val="InternetLink"/>
                                        <w:rFonts w:ascii="Arial;Helvetica;sans-serif" w:hAnsi="Arial;Helvetica;sans-serif"/>
                                        <w:b/>
                                        <w:color w:val="40C0C0"/>
                                        <w:sz w:val="18"/>
                                      </w:rPr>
                                      <w:t>30</w:t>
                                    </w:r>
                                  </w:hyperlink>
                                </w:p>
                              </w:tc>
                            </w:tr>
                            <w:tr>
                              <w:trPr/>
                              <w:tc>
                                <w:tcPr>
                                  <w:tcW w:w="9350" w:type="dxa"/>
                                  <w:tcBorders/>
                                  <w:vAlign w:val="center"/>
                                </w:tcPr>
                                <w:p>
                                  <w:pPr>
                                    <w:pStyle w:val="TableContents"/>
                                    <w:bidi w:val="0"/>
                                    <w:spacing w:before="0" w:after="283"/>
                                    <w:ind w:left="280" w:right="0" w:hanging="0"/>
                                    <w:jc w:val="left"/>
                                    <w:rPr/>
                                  </w:pPr>
                                  <w:hyperlink w:anchor="tPAF">
                                    <w:r>
                                      <w:rPr>
                                        <w:rStyle w:val="InternetLink"/>
                                        <w:rFonts w:ascii="Arial;Helvetica;sans-serif" w:hAnsi="Arial;Helvetica;sans-serif"/>
                                        <w:color w:val="000000"/>
                                        <w:sz w:val="18"/>
                                      </w:rPr>
                                      <w:t>Principal Accountant Fees and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F">
                                    <w:r>
                                      <w:rPr>
                                        <w:rStyle w:val="InternetLink"/>
                                        <w:rFonts w:ascii="Arial;Helvetica;sans-serif" w:hAnsi="Arial;Helvetica;sans-serif"/>
                                        <w:color w:val="000000"/>
                                        <w:sz w:val="18"/>
                                      </w:rPr>
                                      <w:t>27</w:t>
                                    </w:r>
                                  </w:hyperlink>
                                </w:p>
                              </w:tc>
                            </w:tr>
                            <w:tr>
                              <w:trPr/>
                              <w:tc>
                                <w:tcPr>
                                  <w:tcW w:w="9350" w:type="dxa"/>
                                  <w:tcBorders/>
                                  <w:vAlign w:val="center"/>
                                </w:tcPr>
                                <w:p>
                                  <w:pPr>
                                    <w:pStyle w:val="TableContents"/>
                                    <w:bidi w:val="0"/>
                                    <w:spacing w:before="0" w:after="283"/>
                                    <w:ind w:left="280" w:right="0" w:hanging="0"/>
                                    <w:jc w:val="left"/>
                                    <w:rPr/>
                                  </w:pPr>
                                  <w:hyperlink w:anchor="tPAP">
                                    <w:r>
                                      <w:rPr>
                                        <w:rStyle w:val="InternetLink"/>
                                        <w:rFonts w:ascii="Arial;Helvetica;sans-serif" w:hAnsi="Arial;Helvetica;sans-serif"/>
                                        <w:color w:val="000000"/>
                                        <w:sz w:val="18"/>
                                      </w:rPr>
                                      <w:t>Pre-Approval Policies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P">
                                    <w:r>
                                      <w:rPr>
                                        <w:rStyle w:val="InternetLink"/>
                                        <w:rFonts w:ascii="Arial;Helvetica;sans-serif" w:hAnsi="Arial;Helvetica;sans-serif"/>
                                        <w:color w:val="000000"/>
                                        <w:sz w:val="18"/>
                                      </w:rPr>
                                      <w:t>28</w:t>
                                    </w:r>
                                  </w:hyperlink>
                                </w:p>
                              </w:tc>
                            </w:tr>
                            <w:tr>
                              <w:trPr/>
                              <w:tc>
                                <w:tcPr>
                                  <w:tcW w:w="9350" w:type="dxa"/>
                                  <w:tcBorders/>
                                  <w:vAlign w:val="center"/>
                                </w:tcPr>
                                <w:p>
                                  <w:pPr>
                                    <w:pStyle w:val="TableContents"/>
                                    <w:bidi w:val="0"/>
                                    <w:spacing w:before="0" w:after="283"/>
                                    <w:ind w:left="0" w:right="0" w:hanging="0"/>
                                    <w:jc w:val="left"/>
                                    <w:rPr/>
                                  </w:pPr>
                                  <w:hyperlink w:anchor="tEXO">
                                    <w:r>
                                      <w:rPr>
                                        <w:rStyle w:val="InternetLink"/>
                                        <w:rFonts w:ascii="Arial;Helvetica;sans-serif" w:hAnsi="Arial;Helvetica;sans-serif"/>
                                        <w:b/>
                                        <w:color w:val="000000"/>
                                        <w:sz w:val="18"/>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O">
                                    <w:r>
                                      <w:rPr>
                                        <w:rStyle w:val="InternetLink"/>
                                        <w:rFonts w:ascii="Arial;Helvetica;sans-serif" w:hAnsi="Arial;Helvetica;sans-serif"/>
                                        <w:b/>
                                        <w:color w:val="000000"/>
                                        <w:sz w:val="18"/>
                                      </w:rPr>
                                      <w:t>34</w:t>
                                    </w:r>
                                  </w:hyperlink>
                                </w:p>
                              </w:tc>
                            </w:tr>
                            <w:tr>
                              <w:trPr/>
                              <w:tc>
                                <w:tcPr>
                                  <w:tcW w:w="9350"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b/>
                                        <w:color w:val="000000"/>
                                        <w:sz w:val="18"/>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OO">
                                    <w:r>
                                      <w:rPr>
                                        <w:rStyle w:val="InternetLink"/>
                                        <w:rFonts w:ascii="Arial;Helvetica;sans-serif" w:hAnsi="Arial;Helvetica;sans-serif"/>
                                        <w:b/>
                                        <w:color w:val="000000"/>
                                        <w:sz w:val="18"/>
                                      </w:rPr>
                                      <w:t>35</w:t>
                                    </w:r>
                                  </w:hyperlink>
                                </w:p>
                              </w:tc>
                            </w:tr>
                            <w:tr>
                              <w:trPr/>
                              <w:tc>
                                <w:tcPr>
                                  <w:tcW w:w="9350" w:type="dxa"/>
                                  <w:tcBorders/>
                                  <w:vAlign w:val="center"/>
                                </w:tcPr>
                                <w:p>
                                  <w:pPr>
                                    <w:pStyle w:val="TableContents"/>
                                    <w:bidi w:val="0"/>
                                    <w:spacing w:before="0" w:after="283"/>
                                    <w:ind w:left="0" w:right="0" w:hanging="0"/>
                                    <w:jc w:val="left"/>
                                    <w:rPr/>
                                  </w:pPr>
                                  <w:hyperlink w:anchor="tEXC">
                                    <w:r>
                                      <w:rPr>
                                        <w:rStyle w:val="InternetLink"/>
                                        <w:rFonts w:ascii="Arial;Helvetica;sans-serif" w:hAnsi="Arial;Helvetica;sans-serif"/>
                                        <w:b/>
                                        <w:color w:val="000000"/>
                                        <w:sz w:val="18"/>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C">
                                    <w:r>
                                      <w:rPr>
                                        <w:rStyle w:val="InternetLink"/>
                                        <w:rFonts w:ascii="Arial;Helvetica;sans-serif" w:hAnsi="Arial;Helvetica;sans-serif"/>
                                        <w:b/>
                                        <w:color w:val="000000"/>
                                        <w:sz w:val="18"/>
                                      </w:rPr>
                                      <w:t>38</w:t>
                                    </w:r>
                                  </w:hyperlink>
                                </w:p>
                              </w:tc>
                            </w:tr>
                            <w:tr>
                              <w:trPr/>
                              <w:tc>
                                <w:tcPr>
                                  <w:tcW w:w="9350" w:type="dxa"/>
                                  <w:tcBorders/>
                                  <w:vAlign w:val="center"/>
                                </w:tcPr>
                                <w:p>
                                  <w:pPr>
                                    <w:pStyle w:val="TableContents"/>
                                    <w:bidi w:val="0"/>
                                    <w:spacing w:before="0" w:after="283"/>
                                    <w:ind w:left="280" w:right="0" w:hanging="0"/>
                                    <w:jc w:val="left"/>
                                    <w:rPr/>
                                  </w:pPr>
                                  <w:hyperlink w:anchor="tSCT">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T">
                                    <w:r>
                                      <w:rPr>
                                        <w:rStyle w:val="InternetLink"/>
                                        <w:rFonts w:ascii="Arial;Helvetica;sans-serif" w:hAnsi="Arial;Helvetica;sans-serif"/>
                                        <w:color w:val="000000"/>
                                        <w:sz w:val="18"/>
                                      </w:rPr>
                                      <w:t>47</w:t>
                                    </w:r>
                                  </w:hyperlink>
                                </w:p>
                              </w:tc>
                            </w:tr>
                            <w:tr>
                              <w:trPr/>
                              <w:tc>
                                <w:tcPr>
                                  <w:tcW w:w="9350" w:type="dxa"/>
                                  <w:tcBorders/>
                                  <w:vAlign w:val="center"/>
                                </w:tcPr>
                                <w:p>
                                  <w:pPr>
                                    <w:pStyle w:val="TableContents"/>
                                    <w:bidi w:val="0"/>
                                    <w:spacing w:before="0" w:after="283"/>
                                    <w:ind w:left="280" w:right="0" w:hanging="0"/>
                                    <w:jc w:val="left"/>
                                    <w:rPr/>
                                  </w:pPr>
                                  <w:hyperlink w:anchor="tOEA">
                                    <w:r>
                                      <w:rPr>
                                        <w:rStyle w:val="InternetLink"/>
                                        <w:rFonts w:ascii="Arial;Helvetica;sans-serif" w:hAnsi="Arial;Helvetica;sans-serif"/>
                                        <w:color w:val="000000"/>
                                        <w:sz w:val="18"/>
                                      </w:rPr>
                                      <w:t>Outstanding Equity Awards at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EA">
                                    <w:r>
                                      <w:rPr>
                                        <w:rStyle w:val="InternetLink"/>
                                        <w:rFonts w:ascii="Arial;Helvetica;sans-serif" w:hAnsi="Arial;Helvetica;sans-serif"/>
                                        <w:color w:val="000000"/>
                                        <w:sz w:val="18"/>
                                      </w:rPr>
                                      <w:t>48</w:t>
                                    </w:r>
                                  </w:hyperlink>
                                </w:p>
                              </w:tc>
                            </w:tr>
                            <w:tr>
                              <w:trPr/>
                              <w:tc>
                                <w:tcPr>
                                  <w:tcW w:w="9350" w:type="dxa"/>
                                  <w:tcBorders/>
                                  <w:vAlign w:val="center"/>
                                </w:tcPr>
                                <w:p>
                                  <w:pPr>
                                    <w:pStyle w:val="TableContents"/>
                                    <w:bidi w:val="0"/>
                                    <w:spacing w:before="0" w:after="283"/>
                                    <w:ind w:left="280" w:right="0" w:hanging="0"/>
                                    <w:jc w:val="left"/>
                                    <w:rPr/>
                                  </w:pPr>
                                  <w:hyperlink w:anchor="tPPU">
                                    <w:r>
                                      <w:rPr>
                                        <w:rStyle w:val="InternetLink"/>
                                        <w:rFonts w:ascii="Arial;Helvetica;sans-serif" w:hAnsi="Arial;Helvetica;sans-serif"/>
                                        <w:color w:val="000000"/>
                                        <w:sz w:val="18"/>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PU">
                                    <w:r>
                                      <w:rPr>
                                        <w:rStyle w:val="InternetLink"/>
                                        <w:rFonts w:ascii="Arial;Helvetica;sans-serif" w:hAnsi="Arial;Helvetica;sans-serif"/>
                                        <w:color w:val="000000"/>
                                        <w:sz w:val="18"/>
                                      </w:rPr>
                                      <w:t>49</w:t>
                                    </w:r>
                                  </w:hyperlink>
                                </w:p>
                              </w:tc>
                            </w:tr>
                            <w:tr>
                              <w:trPr/>
                              <w:tc>
                                <w:tcPr>
                                  <w:tcW w:w="9350" w:type="dxa"/>
                                  <w:tcBorders/>
                                  <w:vAlign w:val="center"/>
                                </w:tcPr>
                                <w:p>
                                  <w:pPr>
                                    <w:pStyle w:val="TableContents"/>
                                    <w:bidi w:val="0"/>
                                    <w:spacing w:before="0" w:after="283"/>
                                    <w:ind w:left="280" w:right="0" w:hanging="0"/>
                                    <w:jc w:val="left"/>
                                    <w:rPr/>
                                  </w:pPr>
                                  <w:hyperlink w:anchor="tDIC">
                                    <w:r>
                                      <w:rPr>
                                        <w:rStyle w:val="InternetLink"/>
                                        <w:rFonts w:ascii="Arial;Helvetica;sans-serif" w:hAnsi="Arial;Helvetica;sans-serif"/>
                                        <w:color w:val="000000"/>
                                        <w:sz w:val="18"/>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C">
                                    <w:r>
                                      <w:rPr>
                                        <w:rStyle w:val="InternetLink"/>
                                        <w:rFonts w:ascii="Arial;Helvetica;sans-serif" w:hAnsi="Arial;Helvetica;sans-serif"/>
                                        <w:color w:val="000000"/>
                                        <w:sz w:val="18"/>
                                      </w:rPr>
                                      <w:t>51</w:t>
                                    </w:r>
                                  </w:hyperlink>
                                </w:p>
                              </w:tc>
                            </w:tr>
                            <w:tr>
                              <w:trPr/>
                              <w:tc>
                                <w:tcPr>
                                  <w:tcW w:w="9350"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b/>
                                        <w:color w:val="000000"/>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VP">
                                    <w:r>
                                      <w:rPr>
                                        <w:rStyle w:val="InternetLink"/>
                                        <w:rFonts w:ascii="Arial;Helvetica;sans-serif" w:hAnsi="Arial;Helvetica;sans-serif"/>
                                        <w:b/>
                                        <w:color w:val="000000"/>
                                        <w:sz w:val="18"/>
                                      </w:rPr>
                                      <w:t>54</w:t>
                                    </w:r>
                                  </w:hyperlink>
                                </w:p>
                              </w:tc>
                            </w:tr>
                            <w:tr>
                              <w:trPr/>
                              <w:tc>
                                <w:tcPr>
                                  <w:tcW w:w="935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b/>
                                        <w:color w:val="000000"/>
                                        <w:sz w:val="18"/>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RA">
                                    <w:r>
                                      <w:rPr>
                                        <w:rStyle w:val="InternetLink"/>
                                        <w:rFonts w:ascii="Arial;Helvetica;sans-serif" w:hAnsi="Arial;Helvetica;sans-serif"/>
                                        <w:b/>
                                        <w:color w:val="000000"/>
                                        <w:sz w:val="18"/>
                                      </w:rPr>
                                      <w:t>58</w:t>
                                    </w:r>
                                  </w:hyperlink>
                                </w:p>
                              </w:tc>
                            </w:tr>
                            <w:tr>
                              <w:trPr/>
                              <w:tc>
                                <w:tcPr>
                                  <w:tcW w:w="9350" w:type="dxa"/>
                                  <w:tcBorders/>
                                  <w:vAlign w:val="center"/>
                                </w:tcPr>
                                <w:p>
                                  <w:pPr>
                                    <w:pStyle w:val="TableContents"/>
                                    <w:bidi w:val="0"/>
                                    <w:spacing w:before="0" w:after="283"/>
                                    <w:ind w:left="0" w:right="0" w:hanging="0"/>
                                    <w:jc w:val="left"/>
                                    <w:rPr/>
                                  </w:pPr>
                                  <w:hyperlink w:anchor="tHOP">
                                    <w:r>
                                      <w:rPr>
                                        <w:rStyle w:val="InternetLink"/>
                                        <w:rFonts w:ascii="Arial;Helvetica;sans-serif" w:hAnsi="Arial;Helvetica;sans-serif"/>
                                        <w:b/>
                                        <w:color w:val="000000"/>
                                        <w:sz w:val="18"/>
                                      </w:rPr>
                                      <w:t>Householding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OP">
                                    <w:r>
                                      <w:rPr>
                                        <w:rStyle w:val="InternetLink"/>
                                        <w:rFonts w:ascii="Arial;Helvetica;sans-serif" w:hAnsi="Arial;Helvetica;sans-serif"/>
                                        <w:b/>
                                        <w:color w:val="000000"/>
                                        <w:sz w:val="18"/>
                                      </w:rPr>
                                      <w:t>64</w:t>
                                    </w:r>
                                  </w:hyperlink>
                                </w:p>
                              </w:tc>
                            </w:tr>
                            <w:tr>
                              <w:trPr/>
                              <w:tc>
                                <w:tcPr>
                                  <w:tcW w:w="9350" w:type="dxa"/>
                                  <w:tcBorders/>
                                  <w:vAlign w:val="center"/>
                                </w:tcPr>
                                <w:p>
                                  <w:pPr>
                                    <w:pStyle w:val="TableContents"/>
                                    <w:bidi w:val="0"/>
                                    <w:spacing w:before="0" w:after="283"/>
                                    <w:ind w:left="0" w:right="0" w:hanging="0"/>
                                    <w:jc w:val="left"/>
                                    <w:rPr/>
                                  </w:pPr>
                                  <w:hyperlink w:anchor="tOTM">
                                    <w:r>
                                      <w:rPr>
                                        <w:rStyle w:val="InternetLink"/>
                                        <w:rFonts w:ascii="Arial;Helvetica;sans-serif" w:hAnsi="Arial;Helvetica;sans-serif"/>
                                        <w:b/>
                                        <w:color w:val="000000"/>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TM">
                                    <w:r>
                                      <w:rPr>
                                        <w:rStyle w:val="InternetLink"/>
                                        <w:rFonts w:ascii="Arial;Helvetica;sans-serif" w:hAnsi="Arial;Helvetica;sans-serif"/>
                                        <w:b/>
                                        <w:color w:val="000000"/>
                                        <w:sz w:val="18"/>
                                      </w:rPr>
                                      <w:t>65</w:t>
                                    </w:r>
                                  </w:hyperlink>
                                </w:p>
                              </w:tc>
                            </w:tr>
                            <w:tr>
                              <w:trPr/>
                              <w:tc>
                                <w:tcPr>
                                  <w:tcW w:w="9350" w:type="dxa"/>
                                  <w:tcBorders/>
                                  <w:vAlign w:val="center"/>
                                </w:tcPr>
                                <w:p>
                                  <w:pPr>
                                    <w:pStyle w:val="TableContents"/>
                                    <w:bidi w:val="0"/>
                                    <w:spacing w:before="0" w:after="283"/>
                                    <w:ind w:left="0" w:right="0" w:hanging="0"/>
                                    <w:jc w:val="left"/>
                                    <w:rPr/>
                                  </w:pPr>
                                  <w:hyperlink w:anchor="tAPPA">
                                    <w:r>
                                      <w:rPr>
                                        <w:rStyle w:val="InternetLink"/>
                                        <w:rFonts w:ascii="Arial;Helvetica;sans-serif" w:hAnsi="Arial;Helvetica;sans-serif"/>
                                        <w:b/>
                                        <w:color w:val="000000"/>
                                        <w:sz w:val="18"/>
                                      </w:rPr>
                                      <w:t xml:space="preserve">Appendix A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PPA">
                                    <w:r>
                                      <w:rPr>
                                        <w:rStyle w:val="InternetLink"/>
                                        <w:rFonts w:ascii="Arial;Helvetica;sans-serif" w:hAnsi="Arial;Helvetica;sans-serif"/>
                                        <w:b/>
                                        <w:color w:val="000000"/>
                                        <w:sz w:val="18"/>
                                      </w:rPr>
                                      <w:t>A-1</w:t>
                                    </w:r>
                                  </w:hyperlink>
                                </w:p>
                              </w:tc>
                            </w:tr>
                            <w:tr>
                              <w:trPr/>
                              <w:tc>
                                <w:tcPr>
                                  <w:tcW w:w="9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87pt;height:785.2pt;mso-wrap-distance-left:15pt;mso-wrap-distance-right:0pt;mso-wrap-distance-top:0pt;mso-wrap-distance-bottom:0pt;margin-top:0pt;mso-position-vertical:top;mso-position-vertical-relative:text;margin-left:15pt;mso-position-horizontal:left;mso-position-horizontal-relative:text">
                <v:textbo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Table of Contents </w:t>
                      </w:r>
                    </w:p>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350"/>
                        <w:gridCol w:w="170"/>
                        <w:gridCol w:w="170"/>
                        <w:gridCol w:w="515"/>
                      </w:tblGrid>
                      <w:tr>
                        <w:trPr/>
                        <w:tc>
                          <w:tcPr>
                            <w:tcW w:w="9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Page </w:t>
                            </w:r>
                          </w:p>
                        </w:tc>
                      </w:tr>
                      <w:tr>
                        <w:trPr/>
                        <w:tc>
                          <w:tcPr>
                            <w:tcW w:w="9350" w:type="dxa"/>
                            <w:tcBorders/>
                            <w:vAlign w:val="center"/>
                          </w:tcPr>
                          <w:p>
                            <w:pPr>
                              <w:pStyle w:val="TableContents"/>
                              <w:bidi w:val="0"/>
                              <w:spacing w:before="0" w:after="283"/>
                              <w:ind w:left="0" w:right="0" w:hanging="0"/>
                              <w:jc w:val="left"/>
                              <w:rPr/>
                            </w:pPr>
                            <w:hyperlink w:anchor="tQAAM">
                              <w:r>
                                <w:rPr>
                                  <w:rStyle w:val="InternetLink"/>
                                  <w:rFonts w:ascii="Arial;Helvetica;sans-serif" w:hAnsi="Arial;Helvetica;sans-serif"/>
                                  <w:b/>
                                  <w:color w:val="000000"/>
                                  <w:sz w:val="18"/>
                                </w:rPr>
                                <w:t>Questions and Answers About These Proxy Materials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QAAM">
                              <w:r>
                                <w:rPr>
                                  <w:rStyle w:val="InternetLink"/>
                                  <w:rFonts w:ascii="Arial;Helvetica;sans-serif" w:hAnsi="Arial;Helvetica;sans-serif"/>
                                  <w:b/>
                                  <w:color w:val="000000"/>
                                  <w:sz w:val="18"/>
                                </w:rPr>
                                <w:t>2</w:t>
                              </w:r>
                            </w:hyperlink>
                          </w:p>
                        </w:tc>
                      </w:tr>
                      <w:tr>
                        <w:trPr/>
                        <w:tc>
                          <w:tcPr>
                            <w:tcW w:w="9350" w:type="dxa"/>
                            <w:tcBorders/>
                            <w:vAlign w:val="center"/>
                          </w:tcPr>
                          <w:p>
                            <w:pPr>
                              <w:pStyle w:val="TableContents"/>
                              <w:bidi w:val="0"/>
                              <w:spacing w:before="0" w:after="283"/>
                              <w:ind w:left="0" w:right="0" w:hanging="0"/>
                              <w:jc w:val="left"/>
                              <w:rPr/>
                            </w:pPr>
                            <w:hyperlink w:anchor="tIRT">
                              <w:r>
                                <w:rPr>
                                  <w:rStyle w:val="InternetLink"/>
                                  <w:rFonts w:ascii="Arial;Helvetica;sans-serif" w:hAnsi="Arial;Helvetica;sans-serif"/>
                                  <w:b/>
                                  <w:color w:val="000000"/>
                                  <w:sz w:val="18"/>
                                </w:rPr>
                                <w:t>Information Regarding the 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T">
                              <w:r>
                                <w:rPr>
                                  <w:rStyle w:val="InternetLink"/>
                                  <w:rFonts w:ascii="Arial;Helvetica;sans-serif" w:hAnsi="Arial;Helvetica;sans-serif"/>
                                  <w:b/>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DIN">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N">
                              <w:r>
                                <w:rPr>
                                  <w:rStyle w:val="InternetLink"/>
                                  <w:rFonts w:ascii="Arial;Helvetica;sans-serif" w:hAnsi="Arial;Helvetica;sans-serif"/>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BLS">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BLS">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ROT">
                              <w:r>
                                <w:rPr>
                                  <w:rStyle w:val="InternetLink"/>
                                  <w:rFonts w:ascii="Arial;Helvetica;sans-serif" w:hAnsi="Arial;Helvetica;sans-serif"/>
                                  <w:color w:val="000000"/>
                                  <w:sz w:val="18"/>
                                </w:rPr>
                                <w:t>Role of the Board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MOT">
                              <w:r>
                                <w:rPr>
                                  <w:rStyle w:val="InternetLink"/>
                                  <w:rFonts w:ascii="Arial;Helvetica;sans-serif" w:hAnsi="Arial;Helvetica;sans-serif"/>
                                  <w:color w:val="000000"/>
                                  <w:sz w:val="18"/>
                                </w:rPr>
                                <w:t>Meetings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MOT">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IRC">
                              <w:r>
                                <w:rPr>
                                  <w:rStyle w:val="InternetLink"/>
                                  <w:rFonts w:ascii="Arial;Helvetica;sans-serif" w:hAnsi="Arial;Helvetica;sans-serif"/>
                                  <w:color w:val="000000"/>
                                  <w:sz w:val="18"/>
                                </w:rPr>
                                <w:t>Information Regarding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C">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AUC">
                              <w:r>
                                <w:rPr>
                                  <w:rStyle w:val="InternetLink"/>
                                  <w:rFonts w:ascii="Arial;Helvetica;sans-serif" w:hAnsi="Arial;Helvetica;sans-serif"/>
                                  <w:color w:val="000000"/>
                                  <w:sz w:val="18"/>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UC">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ROTA">
                              <w:r>
                                <w:rPr>
                                  <w:rStyle w:val="InternetLink"/>
                                  <w:rFonts w:ascii="Arial;Helvetica;sans-serif" w:hAnsi="Arial;Helvetica;sans-serif"/>
                                  <w:color w:val="000000"/>
                                  <w:sz w:val="18"/>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A">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COC">
                              <w:r>
                                <w:rPr>
                                  <w:rStyle w:val="InternetLink"/>
                                  <w:rFonts w:ascii="Arial;Helvetica;sans-serif" w:hAnsi="Arial;Helvetica;sans-serif"/>
                                  <w:color w:val="000000"/>
                                  <w:sz w:val="18"/>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C">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COP">
                              <w:r>
                                <w:rPr>
                                  <w:rStyle w:val="InternetLink"/>
                                  <w:rFonts w:ascii="Arial;Helvetica;sans-serif" w:hAnsi="Arial;Helvetica;sans-serif"/>
                                  <w:color w:val="000000"/>
                                  <w:sz w:val="18"/>
                                </w:rPr>
                                <w:t>Compensation Committee Processes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P">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NAC">
                              <w:r>
                                <w:rPr>
                                  <w:rStyle w:val="InternetLink"/>
                                  <w:rFonts w:ascii="Arial;Helvetica;sans-serif" w:hAnsi="Arial;Helvetica;sans-serif"/>
                                  <w:color w:val="000000"/>
                                  <w:sz w:val="18"/>
                                </w:rPr>
                                <w:t>Nominating and 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NAC">
                              <w:r>
                                <w:rPr>
                                  <w:rStyle w:val="InternetLink"/>
                                  <w:rFonts w:ascii="Arial;Helvetica;sans-serif" w:hAnsi="Arial;Helvetica;sans-serif"/>
                                  <w:color w:val="000000"/>
                                  <w:sz w:val="18"/>
                                </w:rPr>
                                <w:t>19</w:t>
                              </w:r>
                            </w:hyperlink>
                          </w:p>
                        </w:tc>
                      </w:tr>
                      <w:tr>
                        <w:trPr/>
                        <w:tc>
                          <w:tcPr>
                            <w:tcW w:w="9350" w:type="dxa"/>
                            <w:tcBorders/>
                            <w:vAlign w:val="center"/>
                          </w:tcPr>
                          <w:p>
                            <w:pPr>
                              <w:pStyle w:val="TableContents"/>
                              <w:bidi w:val="0"/>
                              <w:spacing w:before="0" w:after="283"/>
                              <w:ind w:left="280" w:right="0" w:hanging="0"/>
                              <w:jc w:val="left"/>
                              <w:rPr/>
                            </w:pPr>
                            <w:hyperlink w:anchor="tTC">
                              <w:r>
                                <w:rPr>
                                  <w:rStyle w:val="InternetLink"/>
                                  <w:rFonts w:ascii="Arial;Helvetica;sans-serif" w:hAnsi="Arial;Helvetica;sans-serif"/>
                                  <w:color w:val="000000"/>
                                  <w:sz w:val="18"/>
                                </w:rPr>
                                <w:t>Technology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TC">
                              <w:r>
                                <w:rPr>
                                  <w:rStyle w:val="InternetLink"/>
                                  <w:rFonts w:ascii="Arial;Helvetica;sans-serif" w:hAnsi="Arial;Helvetica;sans-serif"/>
                                  <w:color w:val="000000"/>
                                  <w:sz w:val="18"/>
                                </w:rPr>
                                <w:t>20</w:t>
                              </w:r>
                            </w:hyperlink>
                          </w:p>
                        </w:tc>
                      </w:tr>
                      <w:tr>
                        <w:trPr/>
                        <w:tc>
                          <w:tcPr>
                            <w:tcW w:w="9350" w:type="dxa"/>
                            <w:tcBorders/>
                            <w:vAlign w:val="center"/>
                          </w:tcPr>
                          <w:p>
                            <w:pPr>
                              <w:pStyle w:val="TableContents"/>
                              <w:bidi w:val="0"/>
                              <w:spacing w:before="0" w:after="283"/>
                              <w:ind w:left="280" w:right="0" w:hanging="0"/>
                              <w:jc w:val="left"/>
                              <w:rPr/>
                            </w:pPr>
                            <w:hyperlink w:anchor="tSCW">
                              <w:r>
                                <w:rPr>
                                  <w:rStyle w:val="InternetLink"/>
                                  <w:rFonts w:ascii="Arial;Helvetica;sans-serif" w:hAnsi="Arial;Helvetica;sans-serif"/>
                                  <w:color w:val="000000"/>
                                  <w:sz w:val="18"/>
                                </w:rPr>
                                <w:t>Stockholder Communications with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W">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OF">
                              <w:r>
                                <w:rPr>
                                  <w:rStyle w:val="InternetLink"/>
                                  <w:rFonts w:ascii="Arial;Helvetica;sans-serif" w:hAnsi="Arial;Helvetica;sans-serif"/>
                                  <w:color w:val="000000"/>
                                  <w:sz w:val="18"/>
                                </w:rPr>
                                <w:t>Code of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F">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GG">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GG">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TP">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HEP">
                              <w:r>
                                <w:rPr>
                                  <w:rStyle w:val="InternetLink"/>
                                  <w:rFonts w:ascii="Arial;Helvetica;sans-serif" w:hAnsi="Arial;Helvetica;sans-serif"/>
                                  <w:color w:val="000000"/>
                                  <w:sz w:val="18"/>
                                </w:rPr>
                                <w:t>Hedging and Pledging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EP">
                              <w:r>
                                <w:rPr>
                                  <w:rStyle w:val="InternetLink"/>
                                  <w:rFonts w:ascii="Arial;Helvetica;sans-serif" w:hAnsi="Arial;Helvetica;sans-serif"/>
                                  <w:color w:val="000000"/>
                                  <w:sz w:val="18"/>
                                </w:rPr>
                                <w:t>22</w:t>
                              </w:r>
                            </w:hyperlink>
                          </w:p>
                        </w:tc>
                      </w:tr>
                      <w:tr>
                        <w:trPr/>
                        <w:tc>
                          <w:tcPr>
                            <w:tcW w:w="9350" w:type="dxa"/>
                            <w:tcBorders/>
                            <w:vAlign w:val="center"/>
                          </w:tcPr>
                          <w:p>
                            <w:pPr>
                              <w:pStyle w:val="TableContents"/>
                              <w:bidi w:val="0"/>
                              <w:spacing w:before="0" w:after="283"/>
                              <w:ind w:left="0" w:right="0" w:hanging="0"/>
                              <w:jc w:val="left"/>
                              <w:rPr/>
                            </w:pPr>
                            <w:hyperlink w:anchor="tP1E">
                              <w:r>
                                <w:rPr>
                                  <w:rStyle w:val="InternetLink"/>
                                  <w:rFonts w:ascii="Arial;Helvetica;sans-serif" w:hAnsi="Arial;Helvetica;sans-serif"/>
                                  <w:b/>
                                  <w:color w:val="40C0C0"/>
                                  <w:sz w:val="18"/>
                                </w:rPr>
                                <w:t xml:space="preserve">Proposal No. 1 Amendment to Certificate of Incorporation to Declassify the Board of Directors and Provide for the Immediate Annual Election of All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1E">
                              <w:r>
                                <w:rPr>
                                  <w:rStyle w:val="InternetLink"/>
                                  <w:rFonts w:ascii="Arial;Helvetica;sans-serif" w:hAnsi="Arial;Helvetica;sans-serif"/>
                                  <w:b/>
                                  <w:color w:val="40C0C0"/>
                                  <w:sz w:val="18"/>
                                </w:rPr>
                                <w:t>23</w:t>
                              </w:r>
                            </w:hyperlink>
                          </w:p>
                        </w:tc>
                      </w:tr>
                      <w:tr>
                        <w:trPr/>
                        <w:tc>
                          <w:tcPr>
                            <w:tcW w:w="9350" w:type="dxa"/>
                            <w:tcBorders/>
                            <w:vAlign w:val="center"/>
                          </w:tcPr>
                          <w:p>
                            <w:pPr>
                              <w:pStyle w:val="TableContents"/>
                              <w:bidi w:val="0"/>
                              <w:spacing w:before="0" w:after="283"/>
                              <w:ind w:left="0" w:right="0" w:hanging="0"/>
                              <w:jc w:val="left"/>
                              <w:rPr/>
                            </w:pPr>
                            <w:hyperlink w:anchor="tPN2">
                              <w:r>
                                <w:rPr>
                                  <w:rStyle w:val="InternetLink"/>
                                  <w:rFonts w:ascii="Arial;Helvetica;sans-serif" w:hAnsi="Arial;Helvetica;sans-serif"/>
                                  <w:b/>
                                  <w:color w:val="40C0C0"/>
                                  <w:sz w:val="18"/>
                                </w:rPr>
                                <w:t>Proposal No. 2 Advisory Vote, on a Non-Binding Basis, to Approve the Compensation of Our Named Executive Officers for the Year Ended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N2">
                              <w:r>
                                <w:rPr>
                                  <w:rStyle w:val="InternetLink"/>
                                  <w:rFonts w:ascii="Arial;Helvetica;sans-serif" w:hAnsi="Arial;Helvetica;sans-serif"/>
                                  <w:b/>
                                  <w:color w:val="40C0C0"/>
                                  <w:sz w:val="18"/>
                                </w:rPr>
                                <w:t>25</w:t>
                              </w:r>
                            </w:hyperlink>
                          </w:p>
                        </w:tc>
                      </w:tr>
                      <w:tr>
                        <w:trPr/>
                        <w:tc>
                          <w:tcPr>
                            <w:tcW w:w="9350" w:type="dxa"/>
                            <w:tcBorders/>
                            <w:vAlign w:val="center"/>
                          </w:tcPr>
                          <w:p>
                            <w:pPr>
                              <w:pStyle w:val="TableContents"/>
                              <w:bidi w:val="0"/>
                              <w:spacing w:before="0" w:after="283"/>
                              <w:ind w:left="0" w:right="0" w:hanging="0"/>
                              <w:jc w:val="left"/>
                              <w:rPr/>
                            </w:pPr>
                            <w:hyperlink w:anchor="tP3R">
                              <w:r>
                                <w:rPr>
                                  <w:rStyle w:val="InternetLink"/>
                                  <w:rFonts w:ascii="Arial;Helvetica;sans-serif" w:hAnsi="Arial;Helvetica;sans-serif"/>
                                  <w:b/>
                                  <w:color w:val="40C0C0"/>
                                  <w:sz w:val="18"/>
                                </w:rPr>
                                <w:t>Proposal No. 3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3R">
                              <w:r>
                                <w:rPr>
                                  <w:rStyle w:val="InternetLink"/>
                                  <w:rFonts w:ascii="Arial;Helvetica;sans-serif" w:hAnsi="Arial;Helvetica;sans-serif"/>
                                  <w:b/>
                                  <w:color w:val="40C0C0"/>
                                  <w:sz w:val="18"/>
                                </w:rPr>
                                <w:t>26</w:t>
                              </w:r>
                            </w:hyperlink>
                          </w:p>
                        </w:tc>
                      </w:tr>
                      <w:tr>
                        <w:trPr/>
                        <w:tc>
                          <w:tcPr>
                            <w:tcW w:w="9350" w:type="dxa"/>
                            <w:tcBorders/>
                            <w:vAlign w:val="center"/>
                          </w:tcPr>
                          <w:p>
                            <w:pPr>
                              <w:pStyle w:val="TableContents"/>
                              <w:bidi w:val="0"/>
                              <w:spacing w:before="0" w:after="283"/>
                              <w:ind w:left="0" w:right="0" w:hanging="0"/>
                              <w:jc w:val="left"/>
                              <w:rPr/>
                            </w:pPr>
                            <w:hyperlink w:anchor="tP4A">
                              <w:r>
                                <w:rPr>
                                  <w:rStyle w:val="InternetLink"/>
                                  <w:rFonts w:ascii="Arial;Helvetica;sans-serif" w:hAnsi="Arial;Helvetica;sans-serif"/>
                                  <w:b/>
                                  <w:color w:val="40C0C0"/>
                                  <w:sz w:val="18"/>
                                </w:rPr>
                                <w:t>Proposal No. 4a Election of Directors if Proposal No. 1 is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4A">
                              <w:r>
                                <w:rPr>
                                  <w:rStyle w:val="InternetLink"/>
                                  <w:rFonts w:ascii="Arial;Helvetica;sans-serif" w:hAnsi="Arial;Helvetica;sans-serif"/>
                                  <w:b/>
                                  <w:color w:val="40C0C0"/>
                                  <w:sz w:val="18"/>
                                </w:rPr>
                                <w:t>29</w:t>
                              </w:r>
                            </w:hyperlink>
                          </w:p>
                        </w:tc>
                      </w:tr>
                      <w:tr>
                        <w:trPr/>
                        <w:tc>
                          <w:tcPr>
                            <w:tcW w:w="9350" w:type="dxa"/>
                            <w:tcBorders/>
                            <w:vAlign w:val="center"/>
                          </w:tcPr>
                          <w:p>
                            <w:pPr>
                              <w:pStyle w:val="TableContents"/>
                              <w:bidi w:val="0"/>
                              <w:spacing w:before="0" w:after="283"/>
                              <w:ind w:left="0" w:right="0" w:hanging="0"/>
                              <w:jc w:val="left"/>
                              <w:rPr/>
                            </w:pPr>
                            <w:hyperlink w:anchor="tPROP4b">
                              <w:r>
                                <w:rPr>
                                  <w:rStyle w:val="InternetLink"/>
                                  <w:rFonts w:ascii="Arial;Helvetica;sans-serif" w:hAnsi="Arial;Helvetica;sans-serif"/>
                                  <w:b/>
                                  <w:color w:val="40C0C0"/>
                                  <w:sz w:val="18"/>
                                </w:rPr>
                                <w:t>Proposal No. 4b Election of Directors if Proposal No. 1 is not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ROP4b">
                              <w:r>
                                <w:rPr>
                                  <w:rStyle w:val="InternetLink"/>
                                  <w:rFonts w:ascii="Arial;Helvetica;sans-serif" w:hAnsi="Arial;Helvetica;sans-serif"/>
                                  <w:b/>
                                  <w:color w:val="40C0C0"/>
                                  <w:sz w:val="18"/>
                                </w:rPr>
                                <w:t>30</w:t>
                              </w:r>
                            </w:hyperlink>
                          </w:p>
                        </w:tc>
                      </w:tr>
                      <w:tr>
                        <w:trPr/>
                        <w:tc>
                          <w:tcPr>
                            <w:tcW w:w="9350" w:type="dxa"/>
                            <w:tcBorders/>
                            <w:vAlign w:val="center"/>
                          </w:tcPr>
                          <w:p>
                            <w:pPr>
                              <w:pStyle w:val="TableContents"/>
                              <w:bidi w:val="0"/>
                              <w:spacing w:before="0" w:after="283"/>
                              <w:ind w:left="280" w:right="0" w:hanging="0"/>
                              <w:jc w:val="left"/>
                              <w:rPr/>
                            </w:pPr>
                            <w:hyperlink w:anchor="tPAF">
                              <w:r>
                                <w:rPr>
                                  <w:rStyle w:val="InternetLink"/>
                                  <w:rFonts w:ascii="Arial;Helvetica;sans-serif" w:hAnsi="Arial;Helvetica;sans-serif"/>
                                  <w:color w:val="000000"/>
                                  <w:sz w:val="18"/>
                                </w:rPr>
                                <w:t>Principal Accountant Fees and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F">
                              <w:r>
                                <w:rPr>
                                  <w:rStyle w:val="InternetLink"/>
                                  <w:rFonts w:ascii="Arial;Helvetica;sans-serif" w:hAnsi="Arial;Helvetica;sans-serif"/>
                                  <w:color w:val="000000"/>
                                  <w:sz w:val="18"/>
                                </w:rPr>
                                <w:t>27</w:t>
                              </w:r>
                            </w:hyperlink>
                          </w:p>
                        </w:tc>
                      </w:tr>
                      <w:tr>
                        <w:trPr/>
                        <w:tc>
                          <w:tcPr>
                            <w:tcW w:w="9350" w:type="dxa"/>
                            <w:tcBorders/>
                            <w:vAlign w:val="center"/>
                          </w:tcPr>
                          <w:p>
                            <w:pPr>
                              <w:pStyle w:val="TableContents"/>
                              <w:bidi w:val="0"/>
                              <w:spacing w:before="0" w:after="283"/>
                              <w:ind w:left="280" w:right="0" w:hanging="0"/>
                              <w:jc w:val="left"/>
                              <w:rPr/>
                            </w:pPr>
                            <w:hyperlink w:anchor="tPAP">
                              <w:r>
                                <w:rPr>
                                  <w:rStyle w:val="InternetLink"/>
                                  <w:rFonts w:ascii="Arial;Helvetica;sans-serif" w:hAnsi="Arial;Helvetica;sans-serif"/>
                                  <w:color w:val="000000"/>
                                  <w:sz w:val="18"/>
                                </w:rPr>
                                <w:t>Pre-Approval Policies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P">
                              <w:r>
                                <w:rPr>
                                  <w:rStyle w:val="InternetLink"/>
                                  <w:rFonts w:ascii="Arial;Helvetica;sans-serif" w:hAnsi="Arial;Helvetica;sans-serif"/>
                                  <w:color w:val="000000"/>
                                  <w:sz w:val="18"/>
                                </w:rPr>
                                <w:t>28</w:t>
                              </w:r>
                            </w:hyperlink>
                          </w:p>
                        </w:tc>
                      </w:tr>
                      <w:tr>
                        <w:trPr/>
                        <w:tc>
                          <w:tcPr>
                            <w:tcW w:w="9350" w:type="dxa"/>
                            <w:tcBorders/>
                            <w:vAlign w:val="center"/>
                          </w:tcPr>
                          <w:p>
                            <w:pPr>
                              <w:pStyle w:val="TableContents"/>
                              <w:bidi w:val="0"/>
                              <w:spacing w:before="0" w:after="283"/>
                              <w:ind w:left="0" w:right="0" w:hanging="0"/>
                              <w:jc w:val="left"/>
                              <w:rPr/>
                            </w:pPr>
                            <w:hyperlink w:anchor="tEXO">
                              <w:r>
                                <w:rPr>
                                  <w:rStyle w:val="InternetLink"/>
                                  <w:rFonts w:ascii="Arial;Helvetica;sans-serif" w:hAnsi="Arial;Helvetica;sans-serif"/>
                                  <w:b/>
                                  <w:color w:val="000000"/>
                                  <w:sz w:val="18"/>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O">
                              <w:r>
                                <w:rPr>
                                  <w:rStyle w:val="InternetLink"/>
                                  <w:rFonts w:ascii="Arial;Helvetica;sans-serif" w:hAnsi="Arial;Helvetica;sans-serif"/>
                                  <w:b/>
                                  <w:color w:val="000000"/>
                                  <w:sz w:val="18"/>
                                </w:rPr>
                                <w:t>34</w:t>
                              </w:r>
                            </w:hyperlink>
                          </w:p>
                        </w:tc>
                      </w:tr>
                      <w:tr>
                        <w:trPr/>
                        <w:tc>
                          <w:tcPr>
                            <w:tcW w:w="9350"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b/>
                                  <w:color w:val="000000"/>
                                  <w:sz w:val="18"/>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OO">
                              <w:r>
                                <w:rPr>
                                  <w:rStyle w:val="InternetLink"/>
                                  <w:rFonts w:ascii="Arial;Helvetica;sans-serif" w:hAnsi="Arial;Helvetica;sans-serif"/>
                                  <w:b/>
                                  <w:color w:val="000000"/>
                                  <w:sz w:val="18"/>
                                </w:rPr>
                                <w:t>35</w:t>
                              </w:r>
                            </w:hyperlink>
                          </w:p>
                        </w:tc>
                      </w:tr>
                      <w:tr>
                        <w:trPr/>
                        <w:tc>
                          <w:tcPr>
                            <w:tcW w:w="9350" w:type="dxa"/>
                            <w:tcBorders/>
                            <w:vAlign w:val="center"/>
                          </w:tcPr>
                          <w:p>
                            <w:pPr>
                              <w:pStyle w:val="TableContents"/>
                              <w:bidi w:val="0"/>
                              <w:spacing w:before="0" w:after="283"/>
                              <w:ind w:left="0" w:right="0" w:hanging="0"/>
                              <w:jc w:val="left"/>
                              <w:rPr/>
                            </w:pPr>
                            <w:hyperlink w:anchor="tEXC">
                              <w:r>
                                <w:rPr>
                                  <w:rStyle w:val="InternetLink"/>
                                  <w:rFonts w:ascii="Arial;Helvetica;sans-serif" w:hAnsi="Arial;Helvetica;sans-serif"/>
                                  <w:b/>
                                  <w:color w:val="000000"/>
                                  <w:sz w:val="18"/>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C">
                              <w:r>
                                <w:rPr>
                                  <w:rStyle w:val="InternetLink"/>
                                  <w:rFonts w:ascii="Arial;Helvetica;sans-serif" w:hAnsi="Arial;Helvetica;sans-serif"/>
                                  <w:b/>
                                  <w:color w:val="000000"/>
                                  <w:sz w:val="18"/>
                                </w:rPr>
                                <w:t>38</w:t>
                              </w:r>
                            </w:hyperlink>
                          </w:p>
                        </w:tc>
                      </w:tr>
                      <w:tr>
                        <w:trPr/>
                        <w:tc>
                          <w:tcPr>
                            <w:tcW w:w="9350" w:type="dxa"/>
                            <w:tcBorders/>
                            <w:vAlign w:val="center"/>
                          </w:tcPr>
                          <w:p>
                            <w:pPr>
                              <w:pStyle w:val="TableContents"/>
                              <w:bidi w:val="0"/>
                              <w:spacing w:before="0" w:after="283"/>
                              <w:ind w:left="280" w:right="0" w:hanging="0"/>
                              <w:jc w:val="left"/>
                              <w:rPr/>
                            </w:pPr>
                            <w:hyperlink w:anchor="tSCT">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T">
                              <w:r>
                                <w:rPr>
                                  <w:rStyle w:val="InternetLink"/>
                                  <w:rFonts w:ascii="Arial;Helvetica;sans-serif" w:hAnsi="Arial;Helvetica;sans-serif"/>
                                  <w:color w:val="000000"/>
                                  <w:sz w:val="18"/>
                                </w:rPr>
                                <w:t>47</w:t>
                              </w:r>
                            </w:hyperlink>
                          </w:p>
                        </w:tc>
                      </w:tr>
                      <w:tr>
                        <w:trPr/>
                        <w:tc>
                          <w:tcPr>
                            <w:tcW w:w="9350" w:type="dxa"/>
                            <w:tcBorders/>
                            <w:vAlign w:val="center"/>
                          </w:tcPr>
                          <w:p>
                            <w:pPr>
                              <w:pStyle w:val="TableContents"/>
                              <w:bidi w:val="0"/>
                              <w:spacing w:before="0" w:after="283"/>
                              <w:ind w:left="280" w:right="0" w:hanging="0"/>
                              <w:jc w:val="left"/>
                              <w:rPr/>
                            </w:pPr>
                            <w:hyperlink w:anchor="tOEA">
                              <w:r>
                                <w:rPr>
                                  <w:rStyle w:val="InternetLink"/>
                                  <w:rFonts w:ascii="Arial;Helvetica;sans-serif" w:hAnsi="Arial;Helvetica;sans-serif"/>
                                  <w:color w:val="000000"/>
                                  <w:sz w:val="18"/>
                                </w:rPr>
                                <w:t>Outstanding Equity Awards at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EA">
                              <w:r>
                                <w:rPr>
                                  <w:rStyle w:val="InternetLink"/>
                                  <w:rFonts w:ascii="Arial;Helvetica;sans-serif" w:hAnsi="Arial;Helvetica;sans-serif"/>
                                  <w:color w:val="000000"/>
                                  <w:sz w:val="18"/>
                                </w:rPr>
                                <w:t>48</w:t>
                              </w:r>
                            </w:hyperlink>
                          </w:p>
                        </w:tc>
                      </w:tr>
                      <w:tr>
                        <w:trPr/>
                        <w:tc>
                          <w:tcPr>
                            <w:tcW w:w="9350" w:type="dxa"/>
                            <w:tcBorders/>
                            <w:vAlign w:val="center"/>
                          </w:tcPr>
                          <w:p>
                            <w:pPr>
                              <w:pStyle w:val="TableContents"/>
                              <w:bidi w:val="0"/>
                              <w:spacing w:before="0" w:after="283"/>
                              <w:ind w:left="280" w:right="0" w:hanging="0"/>
                              <w:jc w:val="left"/>
                              <w:rPr/>
                            </w:pPr>
                            <w:hyperlink w:anchor="tPPU">
                              <w:r>
                                <w:rPr>
                                  <w:rStyle w:val="InternetLink"/>
                                  <w:rFonts w:ascii="Arial;Helvetica;sans-serif" w:hAnsi="Arial;Helvetica;sans-serif"/>
                                  <w:color w:val="000000"/>
                                  <w:sz w:val="18"/>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PU">
                              <w:r>
                                <w:rPr>
                                  <w:rStyle w:val="InternetLink"/>
                                  <w:rFonts w:ascii="Arial;Helvetica;sans-serif" w:hAnsi="Arial;Helvetica;sans-serif"/>
                                  <w:color w:val="000000"/>
                                  <w:sz w:val="18"/>
                                </w:rPr>
                                <w:t>49</w:t>
                              </w:r>
                            </w:hyperlink>
                          </w:p>
                        </w:tc>
                      </w:tr>
                      <w:tr>
                        <w:trPr/>
                        <w:tc>
                          <w:tcPr>
                            <w:tcW w:w="9350" w:type="dxa"/>
                            <w:tcBorders/>
                            <w:vAlign w:val="center"/>
                          </w:tcPr>
                          <w:p>
                            <w:pPr>
                              <w:pStyle w:val="TableContents"/>
                              <w:bidi w:val="0"/>
                              <w:spacing w:before="0" w:after="283"/>
                              <w:ind w:left="280" w:right="0" w:hanging="0"/>
                              <w:jc w:val="left"/>
                              <w:rPr/>
                            </w:pPr>
                            <w:hyperlink w:anchor="tDIC">
                              <w:r>
                                <w:rPr>
                                  <w:rStyle w:val="InternetLink"/>
                                  <w:rFonts w:ascii="Arial;Helvetica;sans-serif" w:hAnsi="Arial;Helvetica;sans-serif"/>
                                  <w:color w:val="000000"/>
                                  <w:sz w:val="18"/>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C">
                              <w:r>
                                <w:rPr>
                                  <w:rStyle w:val="InternetLink"/>
                                  <w:rFonts w:ascii="Arial;Helvetica;sans-serif" w:hAnsi="Arial;Helvetica;sans-serif"/>
                                  <w:color w:val="000000"/>
                                  <w:sz w:val="18"/>
                                </w:rPr>
                                <w:t>51</w:t>
                              </w:r>
                            </w:hyperlink>
                          </w:p>
                        </w:tc>
                      </w:tr>
                      <w:tr>
                        <w:trPr/>
                        <w:tc>
                          <w:tcPr>
                            <w:tcW w:w="9350"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b/>
                                  <w:color w:val="000000"/>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VP">
                              <w:r>
                                <w:rPr>
                                  <w:rStyle w:val="InternetLink"/>
                                  <w:rFonts w:ascii="Arial;Helvetica;sans-serif" w:hAnsi="Arial;Helvetica;sans-serif"/>
                                  <w:b/>
                                  <w:color w:val="000000"/>
                                  <w:sz w:val="18"/>
                                </w:rPr>
                                <w:t>54</w:t>
                              </w:r>
                            </w:hyperlink>
                          </w:p>
                        </w:tc>
                      </w:tr>
                      <w:tr>
                        <w:trPr/>
                        <w:tc>
                          <w:tcPr>
                            <w:tcW w:w="935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b/>
                                  <w:color w:val="000000"/>
                                  <w:sz w:val="18"/>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RA">
                              <w:r>
                                <w:rPr>
                                  <w:rStyle w:val="InternetLink"/>
                                  <w:rFonts w:ascii="Arial;Helvetica;sans-serif" w:hAnsi="Arial;Helvetica;sans-serif"/>
                                  <w:b/>
                                  <w:color w:val="000000"/>
                                  <w:sz w:val="18"/>
                                </w:rPr>
                                <w:t>58</w:t>
                              </w:r>
                            </w:hyperlink>
                          </w:p>
                        </w:tc>
                      </w:tr>
                      <w:tr>
                        <w:trPr/>
                        <w:tc>
                          <w:tcPr>
                            <w:tcW w:w="9350" w:type="dxa"/>
                            <w:tcBorders/>
                            <w:vAlign w:val="center"/>
                          </w:tcPr>
                          <w:p>
                            <w:pPr>
                              <w:pStyle w:val="TableContents"/>
                              <w:bidi w:val="0"/>
                              <w:spacing w:before="0" w:after="283"/>
                              <w:ind w:left="0" w:right="0" w:hanging="0"/>
                              <w:jc w:val="left"/>
                              <w:rPr/>
                            </w:pPr>
                            <w:hyperlink w:anchor="tHOP">
                              <w:r>
                                <w:rPr>
                                  <w:rStyle w:val="InternetLink"/>
                                  <w:rFonts w:ascii="Arial;Helvetica;sans-serif" w:hAnsi="Arial;Helvetica;sans-serif"/>
                                  <w:b/>
                                  <w:color w:val="000000"/>
                                  <w:sz w:val="18"/>
                                </w:rPr>
                                <w:t>Householding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OP">
                              <w:r>
                                <w:rPr>
                                  <w:rStyle w:val="InternetLink"/>
                                  <w:rFonts w:ascii="Arial;Helvetica;sans-serif" w:hAnsi="Arial;Helvetica;sans-serif"/>
                                  <w:b/>
                                  <w:color w:val="000000"/>
                                  <w:sz w:val="18"/>
                                </w:rPr>
                                <w:t>64</w:t>
                              </w:r>
                            </w:hyperlink>
                          </w:p>
                        </w:tc>
                      </w:tr>
                      <w:tr>
                        <w:trPr/>
                        <w:tc>
                          <w:tcPr>
                            <w:tcW w:w="9350" w:type="dxa"/>
                            <w:tcBorders/>
                            <w:vAlign w:val="center"/>
                          </w:tcPr>
                          <w:p>
                            <w:pPr>
                              <w:pStyle w:val="TableContents"/>
                              <w:bidi w:val="0"/>
                              <w:spacing w:before="0" w:after="283"/>
                              <w:ind w:left="0" w:right="0" w:hanging="0"/>
                              <w:jc w:val="left"/>
                              <w:rPr/>
                            </w:pPr>
                            <w:hyperlink w:anchor="tOTM">
                              <w:r>
                                <w:rPr>
                                  <w:rStyle w:val="InternetLink"/>
                                  <w:rFonts w:ascii="Arial;Helvetica;sans-serif" w:hAnsi="Arial;Helvetica;sans-serif"/>
                                  <w:b/>
                                  <w:color w:val="000000"/>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TM">
                              <w:r>
                                <w:rPr>
                                  <w:rStyle w:val="InternetLink"/>
                                  <w:rFonts w:ascii="Arial;Helvetica;sans-serif" w:hAnsi="Arial;Helvetica;sans-serif"/>
                                  <w:b/>
                                  <w:color w:val="000000"/>
                                  <w:sz w:val="18"/>
                                </w:rPr>
                                <w:t>65</w:t>
                              </w:r>
                            </w:hyperlink>
                          </w:p>
                        </w:tc>
                      </w:tr>
                      <w:tr>
                        <w:trPr/>
                        <w:tc>
                          <w:tcPr>
                            <w:tcW w:w="9350" w:type="dxa"/>
                            <w:tcBorders/>
                            <w:vAlign w:val="center"/>
                          </w:tcPr>
                          <w:p>
                            <w:pPr>
                              <w:pStyle w:val="TableContents"/>
                              <w:bidi w:val="0"/>
                              <w:spacing w:before="0" w:after="283"/>
                              <w:ind w:left="0" w:right="0" w:hanging="0"/>
                              <w:jc w:val="left"/>
                              <w:rPr/>
                            </w:pPr>
                            <w:hyperlink w:anchor="tAPPA">
                              <w:r>
                                <w:rPr>
                                  <w:rStyle w:val="InternetLink"/>
                                  <w:rFonts w:ascii="Arial;Helvetica;sans-serif" w:hAnsi="Arial;Helvetica;sans-serif"/>
                                  <w:b/>
                                  <w:color w:val="000000"/>
                                  <w:sz w:val="18"/>
                                </w:rPr>
                                <w:t xml:space="preserve">Appendix A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PPA">
                              <w:r>
                                <w:rPr>
                                  <w:rStyle w:val="InternetLink"/>
                                  <w:rFonts w:ascii="Arial;Helvetica;sans-serif" w:hAnsi="Arial;Helvetica;sans-serif"/>
                                  <w:b/>
                                  <w:color w:val="000000"/>
                                  <w:sz w:val="18"/>
                                </w:rPr>
                                <w:t>A-1</w:t>
                              </w:r>
                            </w:hyperlink>
                          </w:p>
                        </w:tc>
                      </w:tr>
                      <w:tr>
                        <w:trPr/>
                        <w:tc>
                          <w:tcPr>
                            <w:tcW w:w="9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1" w:name="ny20069089x2_def14a_103-note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Explanatory Note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previously disclosed, on April 7, 2026, we provided notice of our voluntary intention to delist our Class A Common Stock (the “Class A Common Stock”) and warrants to purchase Class A Common Stock (the “Warrants”) from the Nasdaq Global Select Market (“Nasdaq”) and eventual deregistration of the Common Stock and Warrants under the Securities Exchange Act of 1934, as amended (the “Exchange Act”). On April 17, 2026, we filed a Form 25 with the U.S. Securities and Exchange Commission (the “SEC”) to effect the delisting of the Common Stock and Warrants from Nasdaq and to deregister the Common Stock and Warrants under Section 12(b) of the Exchange Act. The removal of the Common Stock and Warrants from Nasdaq became effective on April 24, 2026. The Common Stock and Warrants commenced trading on the OTCQX Best Market and OTCID Exchange, respectively, each operated by the OTC Markets Group Inc. (“OTC”), on April 27, 2026 under the tickers “MAPS” and “MAPSW”. Once permitted, we expect to file a Form 15 with the SEC to deregister the Common Stock and Warrants under the Exchange Act and suspend our duty to file any reports required under Section 13(a) and 15(d) of the Exchange Act. There is no guarantee a broker will continue to make a market in the Common Stock and Warrants on the OTC markets. As a result of the foregoing, the price of the Company’s Common Stock and Warrants will likely be adversely affected and there will likely be a decrease in the liquidity of the Company’s Common Stock and Warrants.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 used in this Proxy Statement, references to “we,” “us,” “our,” “WM Technology” and the “Company” refer to WM Technology, Inc. and its subsidiaries.</w:t>
      </w:r>
    </w:p>
    <w:p>
      <w:pPr>
        <w:pStyle w:val="HorizontalLine"/>
        <w:bidi w:val="0"/>
        <w:spacing w:before="200" w:after="200"/>
        <w:jc w:val="left"/>
        <w:rPr/>
      </w:pPr>
      <w:r>
        <w:rPr/>
      </w:r>
    </w:p>
    <w:p>
      <w:pPr>
        <w:pStyle w:val="TextBody"/>
        <w:bidi w:val="0"/>
        <w:jc w:val="left"/>
        <w:rPr/>
      </w:pPr>
      <w:hyperlink w:anchor="TOC">
        <w:bookmarkStart w:id="12" w:name="ny20069089x2_def14a_104-proxy_pg1"/>
        <w:bookmarkEnd w:id="1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3" w:name="tPRS"/>
      <w:bookmarkStart w:id="14" w:name="tPRS"/>
      <w:bookmarkEnd w:id="14"/>
    </w:p>
    <w:tbl>
      <w:tblPr>
        <w:tblW w:w="10205" w:type="dxa"/>
        <w:jc w:val="left"/>
        <w:tblInd w:w="0" w:type="dxa"/>
        <w:tblLayout w:type="fixed"/>
        <w:tblCellMar>
          <w:top w:w="0" w:type="dxa"/>
          <w:left w:w="0" w:type="dxa"/>
          <w:bottom w:w="0" w:type="dxa"/>
          <w:right w:w="0" w:type="dxa"/>
        </w:tblCellMar>
      </w:tblPr>
      <w:tblGrid>
        <w:gridCol w:w="2599"/>
        <w:gridCol w:w="170"/>
        <w:gridCol w:w="170"/>
        <w:gridCol w:w="7266"/>
      </w:tblGrid>
      <w:tr>
        <w:trPr/>
        <w:tc>
          <w:tcPr>
            <w:tcW w:w="25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0"/>
              <w:jc w:val="left"/>
              <w:rPr/>
            </w:pPr>
            <w:r>
              <w:rPr/>
              <w:t> </w:t>
            </w:r>
          </w:p>
        </w:tc>
      </w:tr>
      <w:tr>
        <w:trPr/>
        <w:tc>
          <w:tcPr>
            <w:tcW w:w="2599"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WM Technology, Inc. </w:t>
            </w:r>
          </w:p>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Proxy Statement </w:t>
            </w:r>
          </w:p>
        </w:tc>
      </w:tr>
      <w:tr>
        <w:trPr/>
        <w:tc>
          <w:tcPr>
            <w:tcW w:w="2599"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For the 2026 Annual Meeting of Stockholders to be Held at 10:00 a.m. Pacific Time on Wednesday, June 24,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sent you these proxy materials because the Board of Directors of WM Technology, Inc. (the “Board”) is soliciting your proxy to vote at the 2026 Annual Meeting of Stockholders (the “Annual Meeting”), including at any adjournments or postponements thereof, to be held via a live audio webcast on Wednesday, June 24, 2026 at 10:00 a.m. Pacific Time. The Annual Meeting can be accessed by visiting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where you will be able to listen to the meeting live, submit questions and vote online. </w:t>
            </w:r>
          </w:p>
          <w:p>
            <w:pPr>
              <w:pStyle w:val="TableContents"/>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are invited to attend the Annual Meeting to vote on the proposals described in this proxy statement (the “Proxy Statement”). However, you do not need to attend the Annual Meeting to vote your shares. Instead, you may simply follow the instructions below to submit your proxy. The proxy materials, including this Proxy Statement and our 2025 Annual Report, are being distributed and made available on or about Tuesday, April 28, 2026. </w:t>
            </w:r>
          </w:p>
          <w:p>
            <w:pPr>
              <w:pStyle w:val="TableContents"/>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Information contained on, or that can be accessed through, our website is not incorporated by reference into this Proxy Statement and references to our website address in this Proxy Statement are inactive textual references only.</w:t>
            </w:r>
          </w:p>
        </w:tc>
      </w:tr>
      <w:tr>
        <w:trPr/>
        <w:tc>
          <w:tcPr>
            <w:tcW w:w="25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69089x2_def14a_105-qa_pg1"/>
        <w:bookmarkEnd w:id="1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6" w:name="tQAAM"/>
      <w:bookmarkStart w:id="17" w:name="tQAAM"/>
      <w:bookmarkEnd w:id="17"/>
    </w:p>
    <w:tbl>
      <w:tblPr>
        <w:tblW w:w="10205" w:type="dxa"/>
        <w:jc w:val="left"/>
        <w:tblInd w:w="0" w:type="dxa"/>
        <w:tblLayout w:type="fixed"/>
        <w:tblCellMar>
          <w:top w:w="0" w:type="dxa"/>
          <w:left w:w="0" w:type="dxa"/>
          <w:bottom w:w="0" w:type="dxa"/>
          <w:right w:w="0" w:type="dxa"/>
        </w:tblCellMar>
      </w:tblPr>
      <w:tblGrid>
        <w:gridCol w:w="1886"/>
        <w:gridCol w:w="170"/>
        <w:gridCol w:w="170"/>
        <w:gridCol w:w="7979"/>
      </w:tblGrid>
      <w:tr>
        <w:trPr/>
        <w:tc>
          <w:tcPr>
            <w:tcW w:w="1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0"/>
              <w:jc w:val="left"/>
              <w:rPr/>
            </w:pPr>
            <w:r>
              <w:rPr/>
              <w:t> </w:t>
            </w:r>
          </w:p>
        </w:tc>
      </w:tr>
      <w:tr>
        <w:trPr/>
        <w:tc>
          <w:tcPr>
            <w:tcW w:w="188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Questions and Answers </w:t>
            </w:r>
          </w:p>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About These Proxy Materials and Voting </w:t>
            </w:r>
          </w:p>
        </w:tc>
      </w:tr>
      <w:tr>
        <w:trPr/>
        <w:tc>
          <w:tcPr>
            <w:tcW w:w="188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Why did I receive a notice regarding the availability of proxy materials on the internet?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We provided some of our stockholders, including stockholders who have previously requested to receive paper copies of the proxy materials,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intend to mail the Notice on or about Tuesday, April 28, 2026 to all stockholders of record entitled to vote at the annual meeting. </w:t>
            </w:r>
          </w:p>
        </w:tc>
      </w:tr>
      <w:tr>
        <w:trPr/>
        <w:tc>
          <w:tcPr>
            <w:tcW w:w="188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Will I receive any other proxy materials by mail?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may send you a proxy card, along with a second Notice, on or after Friday, May 22, 2026. </w:t>
            </w:r>
          </w:p>
        </w:tc>
      </w:tr>
      <w:tr>
        <w:trPr/>
        <w:tc>
          <w:tcPr>
            <w:tcW w:w="188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do I attend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Annual Meeting will be held through a live audio webcast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You are entitled to attend the Annual Meeting if you were a stockholder of record as of the close of business on Monday, April 27, 2026. If you attend the Annual Meeting online, you will be able to vote and submit questions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To be admitted to the Annual Meeting, you will need to visit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and enter the 16-digit Control Number found next to the label “Control Number” on your Notice, proxy card or in the email sending you the Proxy Statement. If you are a beneficial owner, you should contact the bank, broker or other institution where you hold your account well in advance of the meeting if you have questions about obtaining your Control Number.</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Whether or not you participate in the Annual Meeting, it is important that you vote your shares.</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encourage you to access the Annual Meeting prior to the designated start time. Online check-in will begin at 9:45 a.m. Pacific Time, and you should allow reasonable time for the check-in procedures. Participation in the Annual Meeting is limited due to the capacity of the host platform and access to the meeting will be accepted on a first come, first served basis. </w:t>
            </w:r>
          </w:p>
        </w:tc>
      </w:tr>
      <w:tr>
        <w:trPr/>
        <w:tc>
          <w:tcPr>
            <w:tcW w:w="1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69089x2_def14a_105-qa_pg2"/>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47"/>
        <w:gridCol w:w="170"/>
        <w:gridCol w:w="170"/>
        <w:gridCol w:w="7618"/>
      </w:tblGrid>
      <w:tr>
        <w:trPr/>
        <w:tc>
          <w:tcPr>
            <w:tcW w:w="22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0"/>
              <w:jc w:val="left"/>
              <w:rPr/>
            </w:pPr>
            <w:r>
              <w:rPr/>
              <w:t> </w:t>
            </w:r>
          </w:p>
        </w:tc>
      </w:tr>
      <w:tr>
        <w:trPr/>
        <w:tc>
          <w:tcPr>
            <w:tcW w:w="224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if I cannot find my Control 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Please note that if you do not have your Control Number and you are a registered stockholder, you will still be able to login as a guest. To view the meeting webcast visit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and register as a guest. However, if you login as a guest, you will not be able to vote your shares or ask questions during the meeting.</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are a beneficial owner (that is, you hold your shares in an account at a bank, broker or other holder of record), you will need to contact that bank, broker or other holder of record to obtain your Control Number prior to the Annual Meeting. </w:t>
            </w:r>
          </w:p>
        </w:tc>
      </w:tr>
      <w:tr>
        <w:trPr/>
        <w:tc>
          <w:tcPr>
            <w:tcW w:w="224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Where can I get technical assistance?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encounter any difficulties accessing the Annual Meeting during the check-in or meeting time, please call the technical support number that will be posted on the Annual Meeting log-in page. </w:t>
            </w:r>
          </w:p>
        </w:tc>
      </w:tr>
      <w:tr>
        <w:trPr/>
        <w:tc>
          <w:tcPr>
            <w:tcW w:w="224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For the Annual Meeting, how do I ask questions of management and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plan to have a Q&amp;A session at the Annual Meeting. Questions may be submitted prior to the Annual Meeting through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During the live Q&amp;A session of the Annual Meeting, we may answer questions as they come in to the extent relevant to the business of the Annual Meeting and as time permits. Questions that are not relevant to the proposals to be voted on at the Annual Meeting will not be responded to.</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plan to address stockholder Q&amp;A at the Annual Meeting and will include as many stockholder questions as the allotted time permits. Stockholders may submit questions relevant to the business of the Annual Meeting in advance of the Annual Meeting. If you are a stockholder, you may submit a question in advance of the Annual Meeting at </w:t>
            </w:r>
            <w:r>
              <w:rPr>
                <w:rFonts w:ascii="Arial;Helvetica;sans-serif" w:hAnsi="Arial;Helvetica;sans-serif"/>
                <w:color w:val="000000"/>
                <w:sz w:val="18"/>
                <w:u w:val="single"/>
              </w:rPr>
              <w:t>www.proxyvote.com</w:t>
            </w:r>
            <w:r>
              <w:rPr>
                <w:rFonts w:ascii="Arial;Helvetica;sans-serif" w:hAnsi="Arial;Helvetica;sans-serif"/>
                <w:color w:val="000000"/>
                <w:sz w:val="18"/>
              </w:rPr>
              <w:t xml:space="preserve"> after logging in with your Control Number. Questions may be submitted prior to the Annual Meeting through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c>
      </w:tr>
      <w:tr>
        <w:trPr/>
        <w:tc>
          <w:tcPr>
            <w:tcW w:w="224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If I miss the annual meeting, will there be a copy posted online?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Yes, a replay of the annual meeting webcast will be available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c>
      </w:tr>
      <w:tr>
        <w:trPr/>
        <w:tc>
          <w:tcPr>
            <w:tcW w:w="224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Who can vote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Only stockholders of record at the close of business on Monday, April 27, 2026 (the “Record Date”) will be entitled to vote at the Annual Meeting. On the Record Date, there were 111,376,293 shares of Class A Common Stock and 47,852,652 shares of Class V Common Stock (the “Class V Common Stock”, and together with the Class A Common Stock, the “Common Stock”) outstanding and entitled to vote.</w:t>
            </w:r>
          </w:p>
          <w:p>
            <w:pPr>
              <w:pStyle w:val="TableContents"/>
              <w:bidi w:val="0"/>
              <w:spacing w:before="2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Stockholder of Record: Shares Registered in Your Name</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on Monday, April 27, 2026, your shares were registered directly in your name with the Company’s transfer agent, Continental Stock Transfer &amp; Trust Company, then you are a stockholder of record. If you are a stockholder of record, you may vote your shares at the Annual Meeting by following the instructions provided on the Notice to log in to www.proxyvote.com. You will be asked to provide the Control Number from your Notice. Whether or not you plan to attend the Annual Meeting, we urge you to vote by proxy to ensure your vote is counted. You may still attend and vote at the Annual Meeting even if you have already voted by proxy. </w:t>
            </w:r>
          </w:p>
        </w:tc>
      </w:tr>
      <w:tr>
        <w:trPr/>
        <w:tc>
          <w:tcPr>
            <w:tcW w:w="22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8"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69089x2_def14a_105-qa_pg3"/>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42"/>
        <w:gridCol w:w="170"/>
        <w:gridCol w:w="170"/>
        <w:gridCol w:w="8823"/>
      </w:tblGrid>
      <w:tr>
        <w:trPr/>
        <w:tc>
          <w:tcPr>
            <w:tcW w:w="10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0" w:after="0"/>
              <w:jc w:val="left"/>
              <w:rPr/>
            </w:pPr>
            <w:r>
              <w:rPr/>
              <w:t> </w:t>
            </w:r>
          </w:p>
        </w:tc>
      </w:tr>
      <w:tr>
        <w:trPr/>
        <w:tc>
          <w:tcPr>
            <w:tcW w:w="104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2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Beneficial Owner: Shares Registered in the Name of Broker or Bank</w:t>
            </w:r>
          </w:p>
          <w:p>
            <w:pPr>
              <w:pStyle w:val="TableContents"/>
              <w:bidi w:val="0"/>
              <w:spacing w:before="200" w:after="283"/>
              <w:ind w:left="0" w:right="0" w:hanging="0"/>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If on Monday, April 27, 2026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 </w:t>
            </w:r>
          </w:p>
        </w:tc>
      </w:tr>
      <w:tr>
        <w:trPr/>
        <w:tc>
          <w:tcPr>
            <w:tcW w:w="104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matters am I voting 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There are four matters scheduled for a vote: </w:t>
            </w:r>
          </w:p>
          <w:p>
            <w:pPr>
              <w:pStyle w:val="TableContents"/>
              <w:bidi w:val="0"/>
              <w:spacing w:before="200" w:after="283"/>
              <w:ind w:left="0" w:right="0" w:hanging="0"/>
              <w:jc w:val="left"/>
              <w:rPr>
                <w:color w:val="000000"/>
              </w:rPr>
            </w:pPr>
            <w:r>
              <w:rPr>
                <w:color w:val="000000"/>
              </w:rPr>
              <w:t>   •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To approve an amendment to our Certificate of Incorporation to declassify our Board of Directors and to provide for the immediate annual election of all directors (“Proposal No. 1” or the “Declassification Proposal”).</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To approve, on a non-binding advisory basis, the compensation of our principal executive officer and our two most highly compensated executive officers (other than our principal executive officer) who were serving as our executive officers at the end of the year ended December 31, 2025 (the “Named Executive Officers”) (“Proposal No. 2”);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To ratify the selection by the audit committee of the Board (the “Audit Committee”) of Macias Gini &amp; O’Connell LLP (“MGO”) as our independent registered public accounting firm for the year ending December 31, 2026 (“Proposal No. 3”); and</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If Proposal 1 is:</w:t>
            </w:r>
          </w:p>
          <w:p>
            <w:pPr>
              <w:pStyle w:val="TableContents"/>
              <w:bidi w:val="0"/>
              <w:spacing w:before="80" w:after="283"/>
              <w:ind w:left="555" w:right="0" w:hanging="0"/>
              <w:jc w:val="left"/>
              <w:rPr>
                <w:rFonts w:ascii="Arial;Helvetica;sans-serif" w:hAnsi="Arial;Helvetica;sans-serif"/>
                <w:color w:val="000000"/>
                <w:sz w:val="18"/>
              </w:rPr>
            </w:pPr>
            <w:r>
              <w:rPr>
                <w:rFonts w:ascii="Arial;Helvetica;sans-serif" w:hAnsi="Arial;Helvetica;sans-serif"/>
                <w:color w:val="000000"/>
                <w:sz w:val="18"/>
              </w:rPr>
              <w:t>(a) 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approved, to elect the seven director nominees named in the accompanying Proxy Statement, each to serve until the 2027 annual meeting of stockholders or until their successors are duly elected and qualified or until the director’s earlier death, disqualification, resignation or removal (the “Nominee Alternative A Proposal” or “Proposal No. 4a”). </w:t>
            </w:r>
          </w:p>
          <w:p>
            <w:pPr>
              <w:pStyle w:val="TableContents"/>
              <w:bidi w:val="0"/>
              <w:spacing w:before="80" w:after="283"/>
              <w:ind w:left="550" w:right="0" w:hanging="0"/>
              <w:jc w:val="left"/>
              <w:rPr>
                <w:rFonts w:ascii="Arial;Helvetica;sans-serif" w:hAnsi="Arial;Helvetica;sans-serif"/>
                <w:color w:val="000000"/>
                <w:sz w:val="18"/>
              </w:rPr>
            </w:pPr>
            <w:r>
              <w:rPr>
                <w:rFonts w:ascii="Arial;Helvetica;sans-serif" w:hAnsi="Arial;Helvetica;sans-serif"/>
                <w:color w:val="000000"/>
                <w:sz w:val="18"/>
              </w:rPr>
              <w:t>(b) 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not approved, to elect the three nominees for Class II directors named in the accompanying Proxy Statement, each to serve until the 2029 annual meeting of stockholders or until their successors are duly elected and qualified or until the director’s earlier death, disqualification, resignation or removal (the “Nominee Alternative B Proposal” or “Proposal No. 4b”, and, together with the Nominee Alternative A Proposal, the “Alternative Nominee Proposals”). </w:t>
            </w:r>
          </w:p>
        </w:tc>
      </w:tr>
      <w:tr>
        <w:trPr/>
        <w:tc>
          <w:tcPr>
            <w:tcW w:w="10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69089x2_def14a_105-qa_pg4"/>
        <w:bookmarkEnd w:id="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87"/>
        <w:gridCol w:w="170"/>
        <w:gridCol w:w="170"/>
        <w:gridCol w:w="8278"/>
      </w:tblGrid>
      <w:tr>
        <w:trPr/>
        <w:tc>
          <w:tcPr>
            <w:tcW w:w="15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0"/>
              <w:jc w:val="left"/>
              <w:rPr/>
            </w:pPr>
            <w:r>
              <w:rPr/>
              <w:t> </w:t>
            </w:r>
          </w:p>
        </w:tc>
      </w:tr>
      <w:tr>
        <w:trPr/>
        <w:tc>
          <w:tcPr>
            <w:tcW w:w="158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Why are there two proposals relating to the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the Declassification Proposal is approved at the Annual Meeting, promptly following such vote, we will file an amendment to our Certificate of Incorporation with the Secretary of State of the State of Delaware that will declassify the Board and provide for the immediate annual election of directors. In this case, our stockholders will vote at the Annual Meeting with respect to the nominees named in the Nominee Alternative A Proposal (see “Proposal No. 4a – Election of Directors if Proposal No. 1 is Approved”). Conversely, if the Declassification Proposal is not approved, the Board will remain classified so that (a) only the three Class II director nominees named in the Nominee Alternative B Proposal will stand for election at the Annual Meeting and (b) directors currently serving in Class I and Class III will continue to serve as directors until their respective terms expire at the 2027 and 2028 annual meetings, respectively, or until their earlier death, disqualification, resignation or removal (see “Proposal No. 4b – Election of Directors if Proposal No 1 is Not Approved). When you submit your proxy in advance of the Annual Meeting, you should provide your voting instructions with respect to both Alternative Nominee Proposals and such Alternative Nominee Proposal is voted on at the Annual Meeting, your shares will be voted with respect to such Alternative Nominee Proposal in accordance with the recommendation of the Board. </w:t>
            </w:r>
          </w:p>
        </w:tc>
      </w:tr>
      <w:tr>
        <w:trPr/>
        <w:tc>
          <w:tcPr>
            <w:tcW w:w="158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if another matter is properly brought before the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does not know of any other matters to be brought before the Annual Meeting. If any other matters are properly brought before the meeting, it is the intention of the persons named in the accompanying proxy to vote on those matters in accordance with their best judgment. </w:t>
            </w:r>
          </w:p>
        </w:tc>
      </w:tr>
      <w:tr>
        <w:trPr/>
        <w:tc>
          <w:tcPr>
            <w:tcW w:w="15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69089x2_def14a_105-qa_pg5"/>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61"/>
        <w:gridCol w:w="170"/>
        <w:gridCol w:w="170"/>
        <w:gridCol w:w="9004"/>
      </w:tblGrid>
      <w:tr>
        <w:trPr/>
        <w:tc>
          <w:tcPr>
            <w:tcW w:w="8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4" w:type="dxa"/>
            <w:tcBorders/>
            <w:vAlign w:val="center"/>
          </w:tcPr>
          <w:p>
            <w:pPr>
              <w:pStyle w:val="TableContents"/>
              <w:bidi w:val="0"/>
              <w:spacing w:before="0" w:after="0"/>
              <w:jc w:val="left"/>
              <w:rPr/>
            </w:pPr>
            <w:r>
              <w:rPr/>
              <w:t> </w:t>
            </w:r>
          </w:p>
        </w:tc>
      </w:tr>
      <w:tr>
        <w:trPr/>
        <w:tc>
          <w:tcPr>
            <w:tcW w:w="861"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do I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may either vote “For” all the nominees to the Board or you may “Withhold” your vote for any nominee you specify. For each of the other matters to be voted on, you may vote “For” or “Against” or abstain from voting. </w:t>
            </w:r>
          </w:p>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br/>
              <w:t xml:space="preserve">The procedures for voting are fairly simple: </w:t>
            </w:r>
          </w:p>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br/>
            </w:r>
            <w:r>
              <w:rPr>
                <w:rFonts w:ascii="Arial;Helvetica;sans-serif" w:hAnsi="Arial;Helvetica;sans-serif"/>
                <w:i/>
                <w:color w:val="000000"/>
                <w:sz w:val="18"/>
              </w:rPr>
              <w:t>Stockholder of Record: Shares Registered in Your Name</w:t>
            </w:r>
          </w:p>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br/>
              <w:t xml:space="preserve">If you are a stockholder of record on Monday, April 27, 2026, you may vote online at the Annual Meeting, vote by proxy over the telephone, vote by proxy through the Internet or vote by proxy using a proxy card that you may request or that we may elect to deliver at a later time: </w:t>
            </w:r>
          </w:p>
          <w:p>
            <w:pPr>
              <w:pStyle w:val="TableContents"/>
              <w:bidi w:val="0"/>
              <w:spacing w:before="200" w:after="283"/>
              <w:ind w:left="0" w:right="0" w:hanging="0"/>
              <w:jc w:val="left"/>
              <w:rPr>
                <w:color w:val="000000"/>
              </w:rPr>
            </w:pPr>
            <w:r>
              <w:rPr>
                <w:color w:val="000000"/>
              </w:rPr>
              <w:t>   •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 xml:space="preserve">To vote online during the Annual Meeting, if you are a stockholder of record as of the record date, follow the instructions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You will need to enter the 16-digit Control Number found on your Notice of Internet Availability, or notice you receive or in the email sending you the Proxy Statement.</w:t>
            </w:r>
          </w:p>
          <w:p>
            <w:pPr>
              <w:pStyle w:val="TableContents"/>
              <w:bidi w:val="0"/>
              <w:spacing w:before="200" w:after="283"/>
              <w:ind w:left="0" w:right="0" w:hanging="0"/>
              <w:jc w:val="left"/>
              <w:rPr>
                <w:color w:val="000000"/>
              </w:rPr>
            </w:pPr>
            <w:r>
              <w:rPr>
                <w:color w:val="000000"/>
              </w:rPr>
              <w:t>   •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 xml:space="preserve">To vote prior to the Annual Meeting (until 11:59 p.m. Eastern Time on Tuesday, June 23, 2026), you may vote via the Internet at </w:t>
            </w:r>
            <w:r>
              <w:rPr>
                <w:rFonts w:ascii="Arial;Helvetica;sans-serif" w:hAnsi="Arial;Helvetica;sans-serif"/>
                <w:color w:val="000000"/>
                <w:sz w:val="18"/>
                <w:u w:val="single"/>
              </w:rPr>
              <w:t>www.proxyvote.com</w:t>
            </w:r>
            <w:r>
              <w:rPr>
                <w:rFonts w:ascii="Arial;Helvetica;sans-serif" w:hAnsi="Arial;Helvetica;sans-serif"/>
                <w:color w:val="000000"/>
                <w:sz w:val="18"/>
              </w:rPr>
              <w:t>; by telephone; or by completing and returning their proxy card or voting instruction form, as described below.</w:t>
            </w:r>
          </w:p>
        </w:tc>
      </w:tr>
      <w:tr>
        <w:trPr/>
        <w:tc>
          <w:tcPr>
            <w:tcW w:w="8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4"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0"/>
        <w:gridCol w:w="170"/>
        <w:gridCol w:w="2530"/>
        <w:gridCol w:w="170"/>
        <w:gridCol w:w="170"/>
        <w:gridCol w:w="2802"/>
        <w:gridCol w:w="170"/>
        <w:gridCol w:w="170"/>
        <w:gridCol w:w="3668"/>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76225" cy="1905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5"/>
                          <a:stretch>
                            <a:fillRect/>
                          </a:stretch>
                        </pic:blipFill>
                        <pic:spPr bwMode="auto">
                          <a:xfrm>
                            <a:off x="0" y="0"/>
                            <a:ext cx="276225"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80975" cy="27622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6"/>
                          <a:stretch>
                            <a:fillRect/>
                          </a:stretch>
                        </pic:blipFill>
                        <pic:spPr bwMode="auto">
                          <a:xfrm>
                            <a:off x="0" y="0"/>
                            <a:ext cx="180975" cy="2762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38125" cy="25717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7"/>
                          <a:stretch>
                            <a:fillRect/>
                          </a:stretch>
                        </pic:blipFill>
                        <pic:spPr bwMode="auto">
                          <a:xfrm>
                            <a:off x="0" y="0"/>
                            <a:ext cx="23812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By Mail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By Telephone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By Internet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vote using the proxy card that may have been delivered to you, simply complete, sign and date the proxy card and return it promptly in the envelope provided. If you return your signed proxy card to us before the Annual Meeting, we will vote your shares as you direct.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vote over the telephone, dial toll-free 1-800-690-6903 using a touch-tone phone and follow the recorded instructions. You will be asked to provide the Control Number from the Notice. Your vote must be received by 11:59 p.m. Eastern Time on Tuesday, June 23, 2026 to be counted.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vote through the internet, go to </w:t>
            </w:r>
            <w:r>
              <w:rPr>
                <w:rFonts w:ascii="Arial;Helvetica;sans-serif" w:hAnsi="Arial;Helvetica;sans-serif"/>
                <w:color w:val="000000"/>
                <w:sz w:val="18"/>
                <w:u w:val="single"/>
              </w:rPr>
              <w:t>www.proxyvote.com</w:t>
            </w:r>
            <w:r>
              <w:rPr>
                <w:rFonts w:ascii="Arial;Helvetica;sans-serif" w:hAnsi="Arial;Helvetica;sans-serif"/>
                <w:color w:val="000000"/>
                <w:sz w:val="18"/>
              </w:rPr>
              <w:t xml:space="preserve"> and follow the instructions to submit your vote on an electronic proxy card. You will be asked to provide the company number and Control Number from your Notice. Your vote must be received by 11:59 p.m. Eastern Time on Tuesday, June 23, 2026 to be counted.</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0"/>
        <w:gridCol w:w="170"/>
        <w:gridCol w:w="968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80" w:type="dxa"/>
            <w:tcBorders/>
            <w:vAlign w:val="center"/>
          </w:tcPr>
          <w:p>
            <w:pPr>
              <w:pStyle w:val="TableContents"/>
              <w:bidi w:val="0"/>
              <w:spacing w:before="2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Beneficial Owner: Shares Registered in the Name of Broker or Bank</w:t>
            </w:r>
            <w:r>
              <w:rPr>
                <w:rFonts w:ascii="Arial;Helvetica;sans-serif" w:hAnsi="Arial;Helvetica;sans-serif"/>
                <w:i/>
                <w:caps w:val="false"/>
                <w:smallCaps w:val="false"/>
                <w:color w:val="000000"/>
                <w:sz w:val="18"/>
              </w:rPr>
              <w:t xml:space="preserve"> </w:t>
            </w:r>
          </w:p>
          <w:p>
            <w:pPr>
              <w:pStyle w:val="TableContents"/>
              <w:bidi w:val="0"/>
              <w:spacing w:before="200" w:after="283"/>
              <w:ind w:left="0" w:right="0" w:hanging="0"/>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If you are a beneficial owner of shares registered in the name of your broker, bank or other agent, you should have received a Notice containing voting instructions from that organization rather than from the Company. You must follow the voting instructions provided by your broker, bank or other nominee in order to direct your broker, bank or other nominee on how to vote your shares. Beneficial owners of shares held in street name should generally be able to vote by returning a voting instruction form, or by telephone or on the Internet. However, the availability of telephone and Internet voting will depend on the voting process of your broker, bank or other nominee. As discussed above, if you are a beneficial owner of shares held in street name, you may not vote your shares live at the Annual Meeting unless you obtain a legal proxy from your broker, bank or other nominee.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80"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69089x2_def14a_105-qa_pg6"/>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88"/>
        <w:gridCol w:w="170"/>
        <w:gridCol w:w="170"/>
        <w:gridCol w:w="7077"/>
      </w:tblGrid>
      <w:tr>
        <w:trPr/>
        <w:tc>
          <w:tcPr>
            <w:tcW w:w="27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0"/>
              <w:jc w:val="left"/>
              <w:rPr/>
            </w:pPr>
            <w:r>
              <w:rPr/>
              <w:t> </w:t>
            </w:r>
          </w:p>
        </w:tc>
      </w:tr>
      <w:tr>
        <w:trPr/>
        <w:tc>
          <w:tcPr>
            <w:tcW w:w="278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many votes do I have?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each matter to be voted upon, you have one vote for each share of Class A Common Stock and each share of Class V Common Stock you own as of Monday, April 27, 2026. Holders of Class A Common Stock and Class V Common Stock will vote together as one class on all proposals.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If I am a stockholder of record and I do not vote, or if I return a proxy card or otherwise vote without giving specific voting instructions, what happens?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are a stockholder of record and do not vote by completing your proxy card, by telephone, through the internet or online at the Annual Meeting, your shares will not be voted.</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return a signed and dated proxy card or otherwise vote without marking voting selections, your shares will be voted, as applicable, “For” the Declassification Proposal, “For” the advisory approval of executive compensation, “For” the ratification of the selection by the Audit Committee of MGO as our independent registered public accounting firm for the year ending December 31, 2026, and “For” each of the nominees for director set forth in the Alternative Nominee Proposals. If any other matter is properly presented at the meeting, your proxyholder (one of the individuals named on your proxy card) will vote your shares using his or her best judgment.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If I am a beneficial owner of shares held in street name and I do not provide my broker or bank with voting instructions, what happens?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but not with respect to “non-routine” matters. In this regard, Proposals No. 1, 2, 4a and 4b are considered to be “non-routine” meaning that your broker may not vote your shares on those proposals in the absence of your voting instructions. However, Proposal No. 3 is considered to be a “routine” matter meaning that if you do not return voting instructions to your broker by its deadline, your shares may be voted by your broker in its discretion on Proposal No. 3.</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b/>
                <w:i/>
                <w:color w:val="000000"/>
                <w:sz w:val="18"/>
              </w:rPr>
              <w:t xml:space="preserve">If you are a beneficial owner of shares held in street name, in order to ensure your shares are voted in the way you would prefer, you </w:t>
            </w:r>
            <w:r>
              <w:rPr>
                <w:rFonts w:ascii="Arial;Helvetica;sans-serif" w:hAnsi="Arial;Helvetica;sans-serif"/>
                <w:b/>
                <w:i/>
                <w:color w:val="000000"/>
                <w:sz w:val="18"/>
                <w:u w:val="single"/>
              </w:rPr>
              <w:t>must</w:t>
            </w:r>
            <w:r>
              <w:rPr>
                <w:rFonts w:ascii="Arial;Helvetica;sans-serif" w:hAnsi="Arial;Helvetica;sans-serif"/>
                <w:b/>
                <w:i/>
                <w:color w:val="000000"/>
                <w:sz w:val="18"/>
              </w:rPr>
              <w:t xml:space="preserve"> provide voting instructions to your broker, bank or other agent by the deadline provided in the materials you receive from your broker, bank or other agent.</w:t>
            </w:r>
            <w:r>
              <w:rPr>
                <w:rFonts w:ascii="Arial;Helvetica;sans-serif" w:hAnsi="Arial;Helvetica;sans-serif"/>
                <w:color w:val="000000"/>
                <w:sz w:val="18"/>
              </w:rPr>
              <w:t xml:space="preserve">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are “broker non-votes”?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No. 1, 2, 4a and 4b are considered to be “non-routine”, and are proposals for which brokers do not have discretionary voting authority. We therefore expect broker non-votes to exist in connection with those proposals. Proposal No. 3 is a “routine” matter and therefore broker non-votes are not expected to exist in connection with this proposal.</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b/>
                <w:i/>
                <w:color w:val="000000"/>
                <w:sz w:val="18"/>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r>
              <w:rPr>
                <w:rFonts w:ascii="Arial;Helvetica;sans-serif" w:hAnsi="Arial;Helvetica;sans-serif"/>
                <w:color w:val="000000"/>
                <w:sz w:val="18"/>
              </w:rPr>
              <w:t xml:space="preserve"> </w:t>
            </w:r>
          </w:p>
        </w:tc>
      </w:tr>
      <w:tr>
        <w:trPr/>
        <w:tc>
          <w:tcPr>
            <w:tcW w:w="27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69089x2_def14a_105-qa_pg7"/>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12"/>
        <w:gridCol w:w="170"/>
        <w:gridCol w:w="170"/>
        <w:gridCol w:w="8153"/>
      </w:tblGrid>
      <w:tr>
        <w:trPr/>
        <w:tc>
          <w:tcPr>
            <w:tcW w:w="17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0"/>
              <w:jc w:val="left"/>
              <w:rPr/>
            </w:pPr>
            <w:r>
              <w:rPr/>
              <w:t>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Who is paying for this proxy solicitation?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does it mean if I receive more than one Notice?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receive more than one Notice, your shares may be registered in more than one name or in different accounts. Please follow the voting instructions on the Notices to ensure that all of your shares are voted.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Can I change my vote after submitting my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Stockholder of Record: Shares Registered in Your Name</w:t>
            </w:r>
          </w:p>
          <w:p>
            <w:pPr>
              <w:pStyle w:val="TableContents"/>
              <w:bidi w:val="0"/>
              <w:spacing w:before="0" w:after="283"/>
              <w:ind w:left="0" w:right="0" w:hanging="0"/>
              <w:jc w:val="left"/>
              <w:rPr>
                <w:caps w:val="false"/>
                <w:smallCaps w:val="false"/>
                <w:color w:val="000000"/>
              </w:rPr>
            </w:pPr>
            <w:r>
              <w:rPr>
                <w:caps w:val="false"/>
                <w:smallCaps w:val="false"/>
                <w:color w:val="000000"/>
              </w:rPr>
              <w:t> </w:t>
            </w:r>
            <w:r>
              <w:rPr>
                <w:rFonts w:ascii="Arial;Helvetica;sans-serif" w:hAnsi="Arial;Helvetica;sans-serif"/>
                <w:i w:val="false"/>
                <w:caps w:val="false"/>
                <w:smallCaps w:val="false"/>
                <w:color w:val="000000"/>
                <w:sz w:val="18"/>
              </w:rPr>
              <w:br/>
              <w:t xml:space="preserve">Yes. You can revoke your proxy at any time before the final vote at the meeting. If you are the record holder of your shares, you may revoke your proxy in any one of the following ways: </w:t>
            </w:r>
          </w:p>
          <w:p>
            <w:pPr>
              <w:pStyle w:val="TableContents"/>
              <w:bidi w:val="0"/>
              <w:spacing w:before="200" w:after="283"/>
              <w:ind w:left="0" w:right="0" w:hanging="0"/>
              <w:jc w:val="left"/>
              <w:rPr>
                <w:caps w:val="false"/>
                <w:smallCaps w:val="false"/>
                <w:color w:val="000000"/>
              </w:rPr>
            </w:pPr>
            <w:r>
              <w:rPr>
                <w:caps w:val="false"/>
                <w:smallCaps w:val="false"/>
                <w:color w:val="000000"/>
              </w:rPr>
              <w:t>   •   </w:t>
            </w:r>
          </w:p>
          <w:p>
            <w:pPr>
              <w:pStyle w:val="TableContents"/>
              <w:bidi w:val="0"/>
              <w:spacing w:before="20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You may submit another properly completed proxy card with a later date. </w:t>
            </w:r>
          </w:p>
          <w:p>
            <w:pPr>
              <w:pStyle w:val="TableContents"/>
              <w:bidi w:val="0"/>
              <w:spacing w:before="80" w:after="283"/>
              <w:ind w:left="0" w:right="0" w:hanging="0"/>
              <w:jc w:val="left"/>
              <w:rPr>
                <w:caps w:val="false"/>
                <w:smallCaps w:val="false"/>
                <w:color w:val="000000"/>
              </w:rPr>
            </w:pPr>
            <w:r>
              <w:rPr>
                <w:caps w:val="false"/>
                <w:smallCaps w:val="false"/>
                <w:color w:val="000000"/>
              </w:rPr>
              <w:t>   •   </w:t>
            </w:r>
          </w:p>
          <w:p>
            <w:pPr>
              <w:pStyle w:val="TableContents"/>
              <w:bidi w:val="0"/>
              <w:spacing w:before="8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You may grant a subsequent proxy by telephone or through the internet. </w:t>
            </w:r>
          </w:p>
          <w:p>
            <w:pPr>
              <w:pStyle w:val="TableContents"/>
              <w:bidi w:val="0"/>
              <w:spacing w:before="80" w:after="283"/>
              <w:ind w:left="0" w:right="0" w:hanging="0"/>
              <w:jc w:val="left"/>
              <w:rPr>
                <w:caps w:val="false"/>
                <w:smallCaps w:val="false"/>
                <w:color w:val="000000"/>
              </w:rPr>
            </w:pPr>
            <w:r>
              <w:rPr>
                <w:caps w:val="false"/>
                <w:smallCaps w:val="false"/>
                <w:color w:val="000000"/>
              </w:rPr>
              <w:t>   •   </w:t>
            </w:r>
          </w:p>
          <w:p>
            <w:pPr>
              <w:pStyle w:val="TableContents"/>
              <w:bidi w:val="0"/>
              <w:spacing w:before="8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You may send a timely written notice that you are revoking your proxy to WM Technology, Inc., Attn: Corporate Secretary at 41 Discovery, Irvine, California 92618. Such notice will be considered timely if it is received at the indicated address by the close of business on the business day one week preceding the date of the Annual Meeting. </w:t>
            </w:r>
          </w:p>
          <w:p>
            <w:pPr>
              <w:pStyle w:val="TableContents"/>
              <w:bidi w:val="0"/>
              <w:spacing w:before="80" w:after="283"/>
              <w:ind w:left="0" w:right="0" w:hanging="0"/>
              <w:jc w:val="left"/>
              <w:rPr>
                <w:caps w:val="false"/>
                <w:smallCaps w:val="false"/>
                <w:color w:val="000000"/>
              </w:rPr>
            </w:pPr>
            <w:r>
              <w:rPr>
                <w:caps w:val="false"/>
                <w:smallCaps w:val="false"/>
                <w:color w:val="000000"/>
              </w:rPr>
              <w:t>   •   </w:t>
            </w:r>
          </w:p>
          <w:p>
            <w:pPr>
              <w:pStyle w:val="TableContents"/>
              <w:bidi w:val="0"/>
              <w:spacing w:before="8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You may attend the Annual Meeting and vote online. Simply attending the meeting will not, by itself, revoke your proxy.</w:t>
            </w:r>
          </w:p>
          <w:p>
            <w:pPr>
              <w:pStyle w:val="TableContents"/>
              <w:bidi w:val="0"/>
              <w:spacing w:before="0" w:after="283"/>
              <w:ind w:left="0" w:right="0" w:hanging="0"/>
              <w:jc w:val="left"/>
              <w:rPr>
                <w:caps w:val="false"/>
                <w:smallCaps w:val="false"/>
                <w:color w:val="000000"/>
              </w:rPr>
            </w:pPr>
            <w:r>
              <w:rPr>
                <w:caps w:val="false"/>
                <w:smallCaps w:val="false"/>
                <w:color w:val="000000"/>
              </w:rPr>
              <w:t> </w:t>
            </w:r>
            <w:r>
              <w:rPr>
                <w:rFonts w:ascii="Arial;Helvetica;sans-serif" w:hAnsi="Arial;Helvetica;sans-serif"/>
                <w:i w:val="false"/>
                <w:caps w:val="false"/>
                <w:smallCaps w:val="false"/>
                <w:color w:val="000000"/>
                <w:sz w:val="18"/>
              </w:rPr>
              <w:br/>
              <w:t>Your most current proxy card or telephone or internet proxy is the one that is counted.</w:t>
            </w:r>
          </w:p>
          <w:p>
            <w:pPr>
              <w:pStyle w:val="TableContents"/>
              <w:bidi w:val="0"/>
              <w:spacing w:before="0" w:after="283"/>
              <w:ind w:left="0" w:right="0" w:hanging="0"/>
              <w:jc w:val="left"/>
              <w:rPr>
                <w:color w:val="000000"/>
              </w:rPr>
            </w:pPr>
            <w:r>
              <w:rPr>
                <w:caps w:val="false"/>
                <w:smallCaps w:val="false"/>
                <w:color w:val="000000"/>
              </w:rPr>
              <w:t> </w:t>
            </w:r>
            <w:r>
              <w:rPr>
                <w:rFonts w:ascii="Arial;Helvetica;sans-serif" w:hAnsi="Arial;Helvetica;sans-serif"/>
                <w:i/>
                <w:color w:val="000000"/>
                <w:sz w:val="18"/>
              </w:rPr>
              <w:br/>
              <w:t>Beneficial Owner: Shares Registered in the Name of Broker or Bank</w:t>
            </w:r>
          </w:p>
          <w:p>
            <w:pPr>
              <w:pStyle w:val="TableContents"/>
              <w:bidi w:val="0"/>
              <w:spacing w:before="0" w:after="283"/>
              <w:ind w:left="0" w:right="0" w:hanging="0"/>
              <w:jc w:val="left"/>
              <w:rPr>
                <w:caps w:val="false"/>
                <w:smallCaps w:val="false"/>
                <w:color w:val="000000"/>
              </w:rPr>
            </w:pPr>
            <w:r>
              <w:rPr>
                <w:caps w:val="false"/>
                <w:smallCaps w:val="false"/>
                <w:color w:val="000000"/>
              </w:rPr>
              <w:t> </w:t>
            </w:r>
            <w:r>
              <w:rPr>
                <w:rFonts w:ascii="Arial;Helvetica;sans-serif" w:hAnsi="Arial;Helvetica;sans-serif"/>
                <w:i w:val="false"/>
                <w:caps w:val="false"/>
                <w:smallCaps w:val="false"/>
                <w:color w:val="000000"/>
                <w:sz w:val="18"/>
              </w:rPr>
              <w:br/>
              <w:t xml:space="preserve">If your shares are held by your broker, bank as a nominee or other agent, you should follow the instructions provided by your broker, bank or other agent.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are votes counted?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Votes will be counted by the inspector of election appointed for the Annual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No. 1, 2 and 3, and will have the same effect as “Against” votes. Broker non-votes on Proposal No. 2 and 4a and 4b will have no effect and will not be counted towards the vote total for any of those proposals. Broker non-votes will be counted towards the vote total for Proposal No. 1, and will have the same effect as “Against” votes. Proposal 3 is considered a “routine” matter, accordingly, if you hold your shares in street name and do not provide voting instructions to your broker, bank, or other agent that holds your shares, your broker, bank, or other agent has discretionary authority to vote your shares on Proposal 3. </w:t>
            </w:r>
          </w:p>
        </w:tc>
      </w:tr>
      <w:tr>
        <w:trPr/>
        <w:tc>
          <w:tcPr>
            <w:tcW w:w="17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69089x2_def14a_105-qa_pg8"/>
        <w:bookmarkEnd w:id="24"/>
        <w:r>
          <w:rPr>
            <w:rStyle w:val="InternetLink"/>
            <w:rFonts w:ascii="Times New Roman;Times;Serif" w:hAnsi="Times New Roman;Times;Serif"/>
            <w:b/>
            <w:caps w:val="false"/>
            <w:smallCaps w:val="false"/>
            <w:color w:val="000000"/>
            <w:sz w:val="16"/>
          </w:rPr>
          <w:t>TABLE OF CONTENTS</w:t>
        </w:r>
      </w:hyperlink>
    </w:p>
    <w:tbl>
      <w:tblPr>
        <w:tblW w:w="6980" w:type="dxa"/>
        <w:jc w:val="left"/>
        <w:tblInd w:w="0" w:type="dxa"/>
        <w:tblLayout w:type="fixed"/>
        <w:tblCellMar>
          <w:top w:w="0" w:type="dxa"/>
          <w:left w:w="0" w:type="dxa"/>
          <w:bottom w:w="0" w:type="dxa"/>
          <w:right w:w="0" w:type="dxa"/>
        </w:tblCellMar>
      </w:tblPr>
      <w:tblGrid>
        <w:gridCol w:w="6425"/>
        <w:gridCol w:w="170"/>
        <w:gridCol w:w="170"/>
        <w:gridCol w:w="215"/>
      </w:tblGrid>
      <w:tr>
        <w:trPr/>
        <w:tc>
          <w:tcPr>
            <w:tcW w:w="6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25"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many votes are needed to approve each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6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1171"/>
        <w:gridCol w:w="170"/>
        <w:gridCol w:w="170"/>
        <w:gridCol w:w="1494"/>
        <w:gridCol w:w="170"/>
        <w:gridCol w:w="170"/>
        <w:gridCol w:w="940"/>
        <w:gridCol w:w="170"/>
        <w:gridCol w:w="170"/>
        <w:gridCol w:w="1034"/>
        <w:gridCol w:w="170"/>
        <w:gridCol w:w="170"/>
        <w:gridCol w:w="902"/>
        <w:gridCol w:w="170"/>
        <w:gridCol w:w="170"/>
        <w:gridCol w:w="1465"/>
        <w:gridCol w:w="219"/>
      </w:tblGrid>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1"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5" w:type="dxa"/>
            <w:tcBorders/>
            <w:shd w:fill="000000" w:val="clear"/>
            <w:vAlign w:val="center"/>
          </w:tcPr>
          <w:p>
            <w:pPr>
              <w:pStyle w:val="TableContents"/>
              <w:bidi w:val="0"/>
              <w:spacing w:before="0" w:after="0"/>
              <w:jc w:val="left"/>
              <w:rPr/>
            </w:pPr>
            <w:r>
              <w:rPr/>
              <w:t>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1"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Description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 for Approval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40"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Abstentions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or Withhold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votes, as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applicable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2"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Broker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Non-Votes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Board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Recommendation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88" w:type="dxa"/>
            </w:tcMar>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1"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Approval of an amendment to our Certificate of Incorporation to declassify our Board of Directors and to provide for the immediate annual election of all directors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affirmative vote of the holders of sixty-six and two-thirds percent (66 2/3%) of the total voting power of the outstanding shares of Common Stock entitled to vote generally in the election of directors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0"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AGAINST, or ABSTAIN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3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Abstentions are treated as votes Against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Broker non-votes are treated as votes Against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88" w:type="dxa"/>
            </w:tcMar>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1"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Advisory approval of the compensation of our Named Executive Officers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affirmative vote of a majority in voting power of shares of Common Stock present by remote communication or represented by proxy and entitled to vote thereon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0"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AGAINST, or ABSTAIN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3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Abstentions are treated as votes Against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Broker non-votes will have no effect.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88" w:type="dxa"/>
            </w:tcMar>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1"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Ratification of the appointment of MGO as the Company’s independent registered public accounting firm for the fiscal year ending 2026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affirmative vote of a majority in voting power of shares of Common Stock present by remote communication or represented by proxy and entitled to vote thereon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0"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AGAINST or ABSTAIN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3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Abstentions are treated as votes Against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Not applicable</w:t>
            </w:r>
            <w:r>
              <w:rPr>
                <w:rFonts w:ascii="Arial;Helvetica;sans-serif" w:hAnsi="Arial;Helvetica;sans-serif"/>
                <w:color w:val="000000"/>
                <w:position w:val="5"/>
                <w:sz w:val="13"/>
                <w:sz w:val="16"/>
              </w:rPr>
              <w:t>(1)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4a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If Proposal No. 1 is not approved, the election of the seven director nominees named in this Proxy Statement, each to serve until the 2027 annual meeting annual meeting of stockholders or until their successors are duly elected and qualified or until the director’s earlier death, disqualification,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Plurality of the votes cast. In other words, for the election of directors, the nominees receiving the most “For” votes will be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However, under our Director Resignation Policy adopted in October 2025, any incumbent director nominee in an uncontested election, including a stockholder election conducted on an advisory basis, who does not receive a majority of the votes cast (i.e., receives a greater number of “Withhold” votes from his or her election than “For” votes in such election) will promptly submit his or her resignation for consideration by the Nominating and Corporate Governance Committee and the Board. The Nominating and Corporate Governance Committee will make a recommendation to the Board as to whether to accept or reject the tendered resignation, or whether other actions should be taken.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Withhold 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Broker non-votes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each of the director nominees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69089x2_def14a_105-qa_pg9"/>
        <w:bookmarkEnd w:id="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1174"/>
        <w:gridCol w:w="170"/>
        <w:gridCol w:w="170"/>
        <w:gridCol w:w="1512"/>
        <w:gridCol w:w="170"/>
        <w:gridCol w:w="170"/>
        <w:gridCol w:w="936"/>
        <w:gridCol w:w="170"/>
        <w:gridCol w:w="170"/>
        <w:gridCol w:w="1028"/>
        <w:gridCol w:w="170"/>
        <w:gridCol w:w="170"/>
        <w:gridCol w:w="894"/>
        <w:gridCol w:w="170"/>
        <w:gridCol w:w="170"/>
        <w:gridCol w:w="1463"/>
        <w:gridCol w:w="218"/>
      </w:tblGrid>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8"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3"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Description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2"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 for Approval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6"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8"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Abstentions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or Withhold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votes, as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applicable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Broker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Non-Votes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3"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Board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Recommendation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40C0C0"/>
              </w:rPr>
            </w:pPr>
            <w:r>
              <w:rPr>
                <w:color w:val="40C0C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Board will act on the tendered resignation, taking into account the Nominating and Corporate Governance Committee’s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The Nominating and Corporate Governance Committee in making its recommendation, and the Board in making its decision, may each consider any factors or other information that it considers appropriate and relevant. The director who tenders his or her resignation will not participate in the recommendation of the Nominating and Corporate Governance Committee or the decision of the Board with respect to his or her resignation. If such incumbent director’s resignation is not accepted by the Board, such director shall continue to serve until the next annual meeting and until his or her successor is duly elected, or his or her earlier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4b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If Proposal No. 1 is not approved, the election of the three nominees for Class II directors named in the accompanying Proxy Statement, each to serve until the 2029 annual meeting of stockholders or until their successors are duly elected and qualified or until the director’s earlier death, disqualification,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Plurality of the votes cast. In other words, for the election of directors, the nominees receiving the most “For” votes will be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However, under our Director Resignation Policy adopted in October 2025, any incumbent director nominee in an uncontested election, including a stockholder election conducted on an advisory basis, who does not receive a majority of the votes cast (i.e., receives a greater number of “Withhold” votes from his or her election than “For” votes in such election) will promptly submit his or her resignation for consideration by the Nominating and Corporate Governance Committee and the Board. The Nominating and Corporate Governance Committee will make a recommendation to the Board as to whether to accept or reject the tendered resignation, or whether other actions should be taken. The Board will act on the tendered resignation, taking into account the Nominating and Corporate Governance Committee’s recommendation, and publicly disclose (by a press release, a filing with the SEC or other broadly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Withhold 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Broker non-votes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each of the director nominees</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69089x2_def14a_105-qa_pg10"/>
        <w:bookmarkEnd w:id="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965"/>
        <w:gridCol w:w="170"/>
        <w:gridCol w:w="170"/>
        <w:gridCol w:w="1973"/>
        <w:gridCol w:w="170"/>
        <w:gridCol w:w="170"/>
        <w:gridCol w:w="695"/>
        <w:gridCol w:w="170"/>
        <w:gridCol w:w="170"/>
        <w:gridCol w:w="1025"/>
        <w:gridCol w:w="170"/>
        <w:gridCol w:w="170"/>
        <w:gridCol w:w="890"/>
        <w:gridCol w:w="170"/>
        <w:gridCol w:w="170"/>
        <w:gridCol w:w="1460"/>
        <w:gridCol w:w="217"/>
      </w:tblGrid>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6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3"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0"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Description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3"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 for Approval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Abstentions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or Withhold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votes, as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applicable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0"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Broker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Non-Votes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0"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Board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Recommendation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40C0C0"/>
              </w:rPr>
            </w:pPr>
            <w:r>
              <w:rPr>
                <w:color w:val="40C0C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disseminated means of communication) its decision regarding the tendered resignation and the rationale behind the decision within ninety (90) days from the date of the certification of the election results. The Nominating and Corporate Governance Committee in making its recommendation, and the Board in making its decision, may each consider any factors or other information that it considers appropriate and relevant. The director who tenders his or her resignation will not participate in the recommendation of the Nominating and Corporate Governance Committee or the decision of the Board with respect to his or her resignation. If such incumbent director’s resignation is not accepted by the Board, such director shall continue to serve until the next annual meeting and until his or her successor is duly elected, or his or her earlier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This proposal is considered to be a “routine” matter under NYSE rules. Accordingly, if you hold your shares in street name and do not provide voting instructions to the broker, bank or other agent who holds your shares, your bank, broker or other agent has discretionary authority to vote your shares on this proposal. </w:t>
            </w:r>
          </w:p>
        </w:tc>
      </w:tr>
    </w:tbl>
    <w:tbl>
      <w:tblPr>
        <w:tblW w:w="10205" w:type="dxa"/>
        <w:jc w:val="left"/>
        <w:tblInd w:w="0" w:type="dxa"/>
        <w:tblLayout w:type="fixed"/>
        <w:tblCellMar>
          <w:top w:w="0" w:type="dxa"/>
          <w:left w:w="0" w:type="dxa"/>
          <w:bottom w:w="0" w:type="dxa"/>
          <w:right w:w="0" w:type="dxa"/>
        </w:tblCellMar>
      </w:tblPr>
      <w:tblGrid>
        <w:gridCol w:w="2149"/>
        <w:gridCol w:w="170"/>
        <w:gridCol w:w="170"/>
        <w:gridCol w:w="7716"/>
      </w:tblGrid>
      <w:tr>
        <w:trPr/>
        <w:tc>
          <w:tcPr>
            <w:tcW w:w="21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6" w:type="dxa"/>
            <w:tcBorders/>
            <w:vAlign w:val="center"/>
          </w:tcPr>
          <w:p>
            <w:pPr>
              <w:pStyle w:val="TableContents"/>
              <w:bidi w:val="0"/>
              <w:spacing w:before="0" w:after="0"/>
              <w:jc w:val="left"/>
              <w:rPr/>
            </w:pPr>
            <w:r>
              <w:rPr/>
              <w:t> </w:t>
            </w:r>
          </w:p>
        </w:tc>
      </w:tr>
      <w:tr>
        <w:trPr/>
        <w:tc>
          <w:tcPr>
            <w:tcW w:w="2149"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is the quorum requirement?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quorum of stockholders is necessary to hold a valid meeting. A quorum will be present if stockholders holding a majority of the voting power of all outstanding shares of Common Stock entitled to vote are present by remote communication at the Annual Meeting or represented by proxy. On the record date, there were 159,228,945 shares of Common Stock outstanding and entitled to vote. </w:t>
            </w:r>
            <w:r>
              <w:rPr>
                <w:rFonts w:ascii="Arial;Helvetica;sans-serif" w:hAnsi="Arial;Helvetica;sans-serif"/>
                <w:b/>
                <w:color w:val="000000"/>
                <w:sz w:val="18"/>
              </w:rPr>
              <w:t>Thus, the holders of 79,614,473 shares of Common Stock must be present by remote communication at the meeting or represented by proxy at the Annual Meeting to have a quorum.</w:t>
            </w:r>
            <w:r>
              <w:rPr>
                <w:rFonts w:ascii="Arial;Helvetica;sans-serif" w:hAnsi="Arial;Helvetica;sans-serif"/>
                <w:color w:val="000000"/>
                <w:sz w:val="18"/>
              </w:rPr>
              <w:t xml:space="preserve"> Broker non-votes and abstentions are counted for purposes of determining whether a quorum is present.</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Abstentions and broker non-votes will be counted towards the quorum requirement. If there is no quorum, the holders of a majority in voting power of the shares of Common Stock present by remote communication at the meeting or represented by proxy may adjourn the meeting to another date. </w:t>
            </w:r>
          </w:p>
        </w:tc>
      </w:tr>
      <w:tr>
        <w:trPr/>
        <w:tc>
          <w:tcPr>
            <w:tcW w:w="2149"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can I find out the results of the voting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tc>
      </w:tr>
      <w:tr>
        <w:trPr/>
        <w:tc>
          <w:tcPr>
            <w:tcW w:w="21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6"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69089x2_def14a_105-qa_pg11"/>
        <w:bookmarkEnd w:id="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84"/>
        <w:gridCol w:w="170"/>
        <w:gridCol w:w="170"/>
        <w:gridCol w:w="7981"/>
      </w:tblGrid>
      <w:tr>
        <w:trPr/>
        <w:tc>
          <w:tcPr>
            <w:tcW w:w="18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1" w:type="dxa"/>
            <w:tcBorders/>
            <w:vAlign w:val="center"/>
          </w:tcPr>
          <w:p>
            <w:pPr>
              <w:pStyle w:val="TableContents"/>
              <w:bidi w:val="0"/>
              <w:spacing w:before="0" w:after="0"/>
              <w:jc w:val="left"/>
              <w:rPr/>
            </w:pPr>
            <w:r>
              <w:rPr/>
              <w:t> </w:t>
            </w:r>
          </w:p>
        </w:tc>
      </w:tr>
      <w:tr>
        <w:trPr/>
        <w:tc>
          <w:tcPr>
            <w:tcW w:w="1884"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When are stockholder proposals and director nominations due for next year’s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1"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To be considered for inclusion in next year’s proxy materials, your proposal must be submitted in writing by Tuesday, December 29, 2026, to WM Technology, Inc., Attn: Corporate Secretary, 41 Discovery, Irvine, California 92618. If you wish to submit a proposal (including a director nomination) at the meeting that is not to be included in next year’s proxy materials, you must do so by submitting your proposal in writing which must be received by the Corporate Secretary not earlier than the close of business on the 120th day and not later than the close of business on the 90th day prior to the anniversary of the preceding year’s annual meeting of stockholders. Therefore, we must receive notice of such a proposal or nomination for the 2027 Annual Meeting no earlier than the close of business on Wednesday, February 24, 2027 and no later than the close of business on Friday, March 26, 2027. The notice must contain the information required by the Amended and Restated Bylaws of the Company (the “Bylaws”). In the event that the date of the 2027 Annual Meeting is not within 30 days before or delayed by more than 60 days from the first anniversary of the preceding year’s annual meeting of stockholders, or no annual meeting was held during the preceding year, then the Corporate Secretary must receive such written notice not earlier than the close of business on the 120th day prior to the 2027 Annual Meeting and not later than the close of business on the later of the 90th day prior to 2027 Annual Meeting or the closing of business on the tenth day following the day on which public announcement of the date of such meeting is first made. In addition, stockholders who intend to solicit proxies in support of director nominees other than WM Technology, Inc.’s nominees must also comply with the additional requirements of Rule 14a-19(b) promulgated under the “Exchange Act, no later than Sunday, April 25, 2027.</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 previously disclosed, on April 17, 2026 we filed a Form 25 with the SEC to delist our Common Stock and Warrants from Nasdaq and to deregister our Common Stock and Warrants under Section 12(b) of the Exchange Act. The removal of the Common Stock and Warrants from Nasdaq became effective on April 24, 2026. 90 days after filing the Form 25, our Section 12(b) deregistration will become effective and we will no longer be required to comply with Schedule 14A under the Exchange Act.</w:t>
            </w:r>
          </w:p>
        </w:tc>
      </w:tr>
      <w:tr>
        <w:trPr/>
        <w:tc>
          <w:tcPr>
            <w:tcW w:w="18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1" w:type="dxa"/>
            <w:tcBorders/>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FORWARD-LOOKING STATEMENTS</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Proxy Statement includes “forward-looking statements” regarding our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our strategy, the delisting of the Common Stock and Warrants from Nasdaq and the deregistration of the Common Stock and Warrants under the Exchange Act and any anticipated results of such actions. These statements are based on various assumptions, whether or not identified in this Proxy Statement,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market reactions or impacts resulting from our delisting and deregistration, including the impact on our liquidity and the price of the Common Stock and Warrants; our ability to maintain our listing on the OTC markets; the possibility that trading in the Common Stock and Warrants on the OTC markets, if available, may be significantly less liquid and/or have greater price volatility; our financial and business performance, including key business metrics and any underlying assumptions thereunder; market opportunity and our ability to acquire new clients and retain existing clients; expectations and timing related to commercial product launches; success of our go-to-market strategy; our ability to scale its business and expand its offerings; our competitive advantages and growth strategies; our future capital requirements and sources and uses of cash; the impact of the material weaknesses in our internal controls and ability to remediate these material weaknesses in the timing we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69089x2_def14a_105-qa_pg1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anticipate,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and conflicts,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our ability to successfully capitalize on new and existing cannabis markets, including its ability to successfully monetize its solutions in those markets; our ability to manage future growth; our ability to effectively anticipate and address changes in the end-user market in the cannabis industry; our ability to develop new products and solutions, bring them to market in a timely manner, and make enhancements to its platform; our ability to maintain and grow its two-sided marketplace, including its ability to acquire and retain paying clients; our ability to continue to collect on outstanding receivables; our ability to realize the expected benefits of any strategic acquisitions; the effects of competition on our future business; our success in retaining or recruiting, or changes required in, officers, key employees or directors; cyber-attacks and security vulnerabilities; the possibility that we may be adversely affected by other economic, business or competitive and those factors discussed in our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we do not presently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Proxy Statement. We anticipate that subsequent events and developments will cause our assessments to change. However, while we may elect to update these forward-looking statements at some point in the future, we specifically disclaim any obligation to do so, except as required by law. These forward-looking statements should not be relied upon as representing our assessments as of any date subsequent to the date of this Proxy Statement. Accordingly, undue reliance should not be placed upon the forward-looking statements.</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9089x2_def14a_106-info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30" w:name="tIRT"/>
      <w:bookmarkEnd w:id="30"/>
      <w:r>
        <w:rPr>
          <w:rFonts w:ascii="Arial;Helvetica;sans-serif" w:hAnsi="Arial;Helvetica;sans-serif"/>
          <w:color w:val="000000"/>
          <w:sz w:val="64"/>
        </w:rPr>
        <w:t xml:space="preserve">Information Regarding the Board of Directors and Corporate Governance </w:t>
      </w:r>
    </w:p>
    <w:p>
      <w:pPr>
        <w:pStyle w:val="TextBody"/>
        <w:bidi w:val="0"/>
        <w:spacing w:before="430" w:after="283"/>
        <w:ind w:left="0" w:right="0" w:hanging="0"/>
        <w:jc w:val="left"/>
        <w:rPr>
          <w:rFonts w:ascii="Arial;Helvetica;sans-serif" w:hAnsi="Arial;Helvetica;sans-serif"/>
          <w:b/>
          <w:color w:val="40C0C0"/>
          <w:sz w:val="24"/>
        </w:rPr>
      </w:pPr>
      <w:bookmarkStart w:id="31" w:name="tDIN"/>
      <w:bookmarkEnd w:id="31"/>
      <w:r>
        <w:rPr>
          <w:rFonts w:ascii="Arial;Helvetica;sans-serif" w:hAnsi="Arial;Helvetica;sans-serif"/>
          <w:b/>
          <w:color w:val="40C0C0"/>
          <w:sz w:val="24"/>
        </w:rPr>
        <w:t xml:space="preserve">Director Independence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under the Nasdaq Stock Market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Anthony Bay, Brent Cox, Harry DeMott, Brenda Freeman, Glenn Ibbott and Nick Rellas. In making this determination, the Board found that none of these directors or nominees for director had a material or other disqualifying relationship with the Company.</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discussed above, on April 17, 2026 we filed a Form 25 with the SEC to delist our Common Stock and Warrants and to deregister our Common Stock and Warrants under Section 12(b) of the Exchange Act. The removal of the Common Stock and Warrants from Nasdaq became effective on April 24, 2026. The Common Stock and Warrants commenced trading on the OTCQX Best Market and OTCID Exchange, respectively, each operated by the OTC markets, on April 27, 2026 under the tickers “MAPS” and “MAPSW”. The OTCQX Best Market requires listed companies to have a board of directors that includes at least two independent directors. In addition, the OTCQX Best Market requires listed companies to have an audit committee comprised of at least two members, with a majority of independent directors. Under the rules of the OTCQX Best Market, a director will qualify as an “independent director” if, in the opinion of the company's board of directors, that person does not have a relationship that would interfere with the exercise of independent judgement in carrying out the responsibilities of a director. Consistent with this and the considerations taken into account by the Board when determining independence under the Nasdaq listing standards, the Board has affirmatively determined that the following six directors are independent directors within the meaning of the rules of the OTCQX Best Market: Anthony Bay, Brent Cox, Harry DeMott, Brenda Freeman, Glenn Ibbott and Nick Rellas.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69089x2_def14a_106-info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33" w:name="tBLS"/>
      <w:bookmarkEnd w:id="33"/>
      <w:r>
        <w:rPr>
          <w:rFonts w:ascii="Arial;Helvetica;sans-serif" w:hAnsi="Arial;Helvetica;sans-serif"/>
          <w:b/>
          <w:color w:val="40C0C0"/>
          <w:sz w:val="24"/>
        </w:rPr>
        <w:t xml:space="preserve">Board Leadership Structure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is currently chaired by the Chief Executive Officer of the Company, Douglas Francis, who has an active role in leading the Company as our principal executive officer and member of the Board. Ms. Freeman continues to serve as our lead independent director.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believes that during this turbulent period in the cannabis sector, it is valuable to have Mr. Francis in the combined positions of principal executive officer and Chairperson of the Board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appointed Ms. Freeman as the lead independent director to help reinforce the independence of the Board as a whole. The position of lead independent director has been structured to serve as an effective balance to a combined principal executive officer and Chairperson of the Board: the lead independent director is empowered to, among other duties and responsibilities, approve agendas and meeting schedules for regular Board meetings, preside over Board meetings in the absence of the Chief Executive Officer, preside over and establish the agendas for meetings of the independent directors, act as liaison between the Board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 </w:t>
      </w:r>
    </w:p>
    <w:p>
      <w:pPr>
        <w:pStyle w:val="TextBody"/>
        <w:bidi w:val="0"/>
        <w:spacing w:before="420" w:after="283"/>
        <w:ind w:left="0" w:right="0" w:hanging="0"/>
        <w:jc w:val="left"/>
        <w:rPr>
          <w:rFonts w:ascii="Arial;Helvetica;sans-serif" w:hAnsi="Arial;Helvetica;sans-serif"/>
          <w:b/>
          <w:color w:val="40C0C0"/>
          <w:sz w:val="24"/>
        </w:rPr>
      </w:pPr>
      <w:bookmarkStart w:id="34" w:name="tROT"/>
      <w:bookmarkEnd w:id="34"/>
      <w:r>
        <w:rPr>
          <w:rFonts w:ascii="Arial;Helvetica;sans-serif" w:hAnsi="Arial;Helvetica;sans-serif"/>
          <w:b/>
          <w:color w:val="40C0C0"/>
          <w:sz w:val="24"/>
        </w:rPr>
        <w:t xml:space="preserve">Role of the Board in Risk Oversight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69089x2_def14a_106-info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 </w:t>
      </w:r>
    </w:p>
    <w:p>
      <w:pPr>
        <w:pStyle w:val="TextBody"/>
        <w:bidi w:val="0"/>
        <w:spacing w:before="430" w:after="283"/>
        <w:ind w:left="0" w:right="0" w:hanging="0"/>
        <w:jc w:val="left"/>
        <w:rPr>
          <w:rFonts w:ascii="Arial;Helvetica;sans-serif" w:hAnsi="Arial;Helvetica;sans-serif"/>
          <w:b/>
          <w:color w:val="40C0C0"/>
          <w:sz w:val="24"/>
        </w:rPr>
      </w:pPr>
      <w:bookmarkStart w:id="36" w:name="tMOT"/>
      <w:bookmarkEnd w:id="36"/>
      <w:r>
        <w:rPr>
          <w:rFonts w:ascii="Arial;Helvetica;sans-serif" w:hAnsi="Arial;Helvetica;sans-serif"/>
          <w:b/>
          <w:color w:val="40C0C0"/>
          <w:sz w:val="24"/>
        </w:rPr>
        <w:t xml:space="preserve">Meetings of the Board of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met five times during 2025. All directors then serving attended 75% or more of the aggregate number of meetings of the Board and, other than Tony Aquila, of the committees on which they served during the portion of the last fiscal year for which they were a director or member.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under applicable Nasdaq listing standards, in 2025, the Company’s independent directors met four times in regularly scheduled executive sessions at which only independent directors were present. </w:t>
      </w:r>
    </w:p>
    <w:p>
      <w:pPr>
        <w:pStyle w:val="TextBody"/>
        <w:bidi w:val="0"/>
        <w:spacing w:before="430" w:after="283"/>
        <w:ind w:left="0" w:right="0" w:hanging="0"/>
        <w:jc w:val="left"/>
        <w:rPr>
          <w:rFonts w:ascii="Arial;Helvetica;sans-serif" w:hAnsi="Arial;Helvetica;sans-serif"/>
          <w:b/>
          <w:color w:val="40C0C0"/>
          <w:sz w:val="24"/>
        </w:rPr>
      </w:pPr>
      <w:bookmarkStart w:id="37" w:name="tIRC"/>
      <w:bookmarkEnd w:id="37"/>
      <w:r>
        <w:rPr>
          <w:rFonts w:ascii="Arial;Helvetica;sans-serif" w:hAnsi="Arial;Helvetica;sans-serif"/>
          <w:b/>
          <w:color w:val="40C0C0"/>
          <w:sz w:val="24"/>
        </w:rPr>
        <w:t xml:space="preserve">Information Regarding Committees of the Board of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2025 for each of the standing Board committees: </w:t>
      </w:r>
    </w:p>
    <w:tbl>
      <w:tblPr>
        <w:tblW w:w="9780" w:type="dxa"/>
        <w:jc w:val="left"/>
        <w:tblInd w:w="0" w:type="dxa"/>
        <w:tblLayout w:type="fixed"/>
        <w:tblCellMar>
          <w:top w:w="0" w:type="dxa"/>
          <w:left w:w="0" w:type="dxa"/>
          <w:bottom w:w="0" w:type="dxa"/>
          <w:right w:w="0" w:type="dxa"/>
        </w:tblCellMar>
      </w:tblPr>
      <w:tblGrid>
        <w:gridCol w:w="185"/>
        <w:gridCol w:w="3905"/>
        <w:gridCol w:w="170"/>
        <w:gridCol w:w="170"/>
        <w:gridCol w:w="485"/>
        <w:gridCol w:w="170"/>
        <w:gridCol w:w="170"/>
        <w:gridCol w:w="1220"/>
        <w:gridCol w:w="170"/>
        <w:gridCol w:w="170"/>
        <w:gridCol w:w="1370"/>
        <w:gridCol w:w="170"/>
        <w:gridCol w:w="170"/>
        <w:gridCol w:w="1040"/>
        <w:gridCol w:w="215"/>
      </w:tblGrid>
      <w:tr>
        <w:trPr/>
        <w:tc>
          <w:tcPr>
            <w:tcW w:w="185" w:type="dxa"/>
            <w:tcBorders/>
            <w:shd w:fill="000000" w:val="clear"/>
            <w:vAlign w:val="center"/>
          </w:tcPr>
          <w:p>
            <w:pPr>
              <w:pStyle w:val="TableContents"/>
              <w:bidi w:val="0"/>
              <w:spacing w:before="0" w:after="0"/>
              <w:jc w:val="left"/>
              <w:rPr/>
            </w:pPr>
            <w:r>
              <w:rPr/>
              <w:t> </w:t>
            </w:r>
          </w:p>
        </w:tc>
        <w:tc>
          <w:tcPr>
            <w:tcW w:w="390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905" w:type="dxa"/>
            <w:tcBorders/>
            <w:shd w:fill="000000"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8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Audit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Nominating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Corporate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Governance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Technology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Tony Aquila</w:t>
            </w:r>
            <w:r>
              <w:rPr>
                <w:rFonts w:ascii="Arial;Helvetica;sans-serif" w:hAnsi="Arial;Helvetica;sans-serif"/>
                <w:color w:val="40C0C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Olga Gonzalez</w:t>
            </w:r>
            <w:r>
              <w:rPr>
                <w:rFonts w:ascii="Arial;Helvetica;sans-serif" w:hAnsi="Arial;Helvetica;sans-serif"/>
                <w:color w:val="40C0C0"/>
                <w:position w:val="5"/>
                <w:sz w:val="13"/>
                <w:sz w:val="16"/>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Scott Gordon</w:t>
            </w:r>
            <w:r>
              <w:rPr>
                <w:rFonts w:ascii="Arial;Helvetica;sans-serif" w:hAnsi="Arial;Helvetica;sans-serif"/>
                <w:color w:val="40C0C0"/>
                <w:position w:val="5"/>
                <w:sz w:val="13"/>
                <w:sz w:val="16"/>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Glen Ibbott</w:t>
            </w:r>
            <w:r>
              <w:rPr>
                <w:rFonts w:ascii="Arial;Helvetica;sans-serif" w:hAnsi="Arial;Helvetica;sans-serif"/>
                <w:color w:val="40C0C0"/>
                <w:position w:val="5"/>
                <w:sz w:val="13"/>
                <w:sz w:val="16"/>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Total meetings in the year ended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840" w:type="dxa"/>
        <w:jc w:val="left"/>
        <w:tblInd w:w="0" w:type="dxa"/>
        <w:tblLayout w:type="fixed"/>
        <w:tblCellMar>
          <w:top w:w="0" w:type="dxa"/>
          <w:left w:w="0" w:type="dxa"/>
          <w:bottom w:w="0" w:type="dxa"/>
          <w:right w:w="0" w:type="dxa"/>
        </w:tblCellMar>
      </w:tblPr>
      <w:tblGrid>
        <w:gridCol w:w="110"/>
        <w:gridCol w:w="1730"/>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17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Chairperson of the Board </w:t>
            </w:r>
          </w:p>
        </w:tc>
      </w:tr>
    </w:tbl>
    <w:tbl>
      <w:tblPr>
        <w:tblW w:w="1810" w:type="dxa"/>
        <w:jc w:val="left"/>
        <w:tblInd w:w="0" w:type="dxa"/>
        <w:tblLayout w:type="fixed"/>
        <w:tblCellMar>
          <w:top w:w="0" w:type="dxa"/>
          <w:left w:w="0" w:type="dxa"/>
          <w:bottom w:w="0" w:type="dxa"/>
          <w:right w:w="0" w:type="dxa"/>
        </w:tblCellMar>
      </w:tblPr>
      <w:tblGrid>
        <w:gridCol w:w="170"/>
        <w:gridCol w:w="164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16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Committee Chairperson </w:t>
            </w:r>
          </w:p>
        </w:tc>
      </w:tr>
    </w:tbl>
    <w:tbl>
      <w:tblPr>
        <w:tblW w:w="8230" w:type="dxa"/>
        <w:jc w:val="left"/>
        <w:tblInd w:w="0" w:type="dxa"/>
        <w:tblLayout w:type="fixed"/>
        <w:tblCellMar>
          <w:top w:w="0" w:type="dxa"/>
          <w:left w:w="0" w:type="dxa"/>
          <w:bottom w:w="0" w:type="dxa"/>
          <w:right w:w="0" w:type="dxa"/>
        </w:tblCellMar>
      </w:tblPr>
      <w:tblGrid>
        <w:gridCol w:w="170"/>
        <w:gridCol w:w="806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80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Aquila served as a member of the Compensation Committee until his resignation from the Board on September 2, 2025.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Ms. Gonzalez served as Chairperson of the Audit Committee until March 6, 2025 and a member of the Audit Committee until her resignation from the Board on September 2, 2025. Mr. Ibbott was appointed as Chairperson of the Audit Committee on March 6, 2025 </w:t>
            </w:r>
          </w:p>
        </w:tc>
      </w:tr>
    </w:tbl>
    <w:tbl>
      <w:tblPr>
        <w:tblW w:w="9310" w:type="dxa"/>
        <w:jc w:val="left"/>
        <w:tblInd w:w="0" w:type="dxa"/>
        <w:tblLayout w:type="fixed"/>
        <w:tblCellMar>
          <w:top w:w="0" w:type="dxa"/>
          <w:left w:w="0" w:type="dxa"/>
          <w:bottom w:w="0" w:type="dxa"/>
          <w:right w:w="0" w:type="dxa"/>
        </w:tblCellMar>
      </w:tblPr>
      <w:tblGrid>
        <w:gridCol w:w="170"/>
        <w:gridCol w:w="914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91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Gordon served as a member of the Compensation Committee and Nominating and Corporate Governance Committee until March 5, 2026.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69089x2_def14a_106-info_pg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 with the exception of Mr. Francis. </w:t>
      </w:r>
    </w:p>
    <w:p>
      <w:pPr>
        <w:pStyle w:val="TextBody"/>
        <w:bidi w:val="0"/>
        <w:spacing w:before="430" w:after="283"/>
        <w:ind w:left="0" w:right="0" w:hanging="0"/>
        <w:jc w:val="left"/>
        <w:rPr>
          <w:rFonts w:ascii="Arial;Helvetica;sans-serif" w:hAnsi="Arial;Helvetica;sans-serif"/>
          <w:b/>
          <w:color w:val="40C0C0"/>
          <w:sz w:val="24"/>
        </w:rPr>
      </w:pPr>
      <w:bookmarkStart w:id="39" w:name="tAUC"/>
      <w:bookmarkEnd w:id="39"/>
      <w:r>
        <w:rPr>
          <w:rFonts w:ascii="Arial;Helvetica;sans-serif" w:hAnsi="Arial;Helvetica;sans-serif"/>
          <w:b/>
          <w:color w:val="40C0C0"/>
          <w:sz w:val="24"/>
        </w:rPr>
        <w:t xml:space="preserve">Audit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consists of Messrs. Bay, Cox, DeMott and Ibbott and Ms. Freeman. Ms. Gonzalez served as a member of the Audit Committee until her resignation from the Board, effective September 2, 2025. Messrs. Cox and DeMott were appointed to the Audit Committee on March 5, 2026. The Board has determined that each of the members of the Audit Committee satisfy the independence requirements of Rule 5605(c)(2)(A)(i)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 In addition, the Board has determined that each of the members of the Audit Committee satisfy the independence requirements of the OTCQX Best Market.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named Mr. Ibbott as the Chairperson of the Audit Committee on March 6, 2025; Ms. Gonzalez served as the Chairperson of the Audit Committee prior to this date. The Board determined that Messrs. Ibbott and Bay qualify as audit committee financial experts within the meaning of SEC regulations and meets the financial sophistication requirements of Nasdaq listing rules. In making this determination, the Board considered Mr. Ibbott’s formal education and previous experience in financial roles. Both our independent registered public accounting firm and management periodically will meet privately with our Audit Committee. The Audit Committee met five times during 2025.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this committee include, among other things,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approve the hiring, discharging and compensation of our independent registered public accounting firm; oversee the work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approve engagements of the independent registered public accounting firm to render any audit or permissible non-audit services; </w:t>
            </w:r>
          </w:p>
        </w:tc>
      </w:tr>
    </w:tbl>
    <w:tbl>
      <w:tblPr>
        <w:tblW w:w="9265" w:type="dxa"/>
        <w:jc w:val="left"/>
        <w:tblInd w:w="0" w:type="dxa"/>
        <w:tblLayout w:type="fixed"/>
        <w:tblCellMar>
          <w:top w:w="0" w:type="dxa"/>
          <w:left w:w="0" w:type="dxa"/>
          <w:bottom w:w="0" w:type="dxa"/>
          <w:right w:w="0" w:type="dxa"/>
        </w:tblCellMar>
      </w:tblPr>
      <w:tblGrid>
        <w:gridCol w:w="140"/>
        <w:gridCol w:w="9125"/>
      </w:tblGrid>
      <w:tr>
        <w:trPr/>
        <w:tc>
          <w:tcPr>
            <w:tcW w:w="14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the qualifications, independence and performance of the independent registered public accounting firm;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our financial statements and review our critical accounting policies and estimates; </w:t>
            </w:r>
          </w:p>
        </w:tc>
      </w:tr>
    </w:tbl>
    <w:tbl>
      <w:tblPr>
        <w:tblW w:w="4030" w:type="dxa"/>
        <w:jc w:val="left"/>
        <w:tblInd w:w="0" w:type="dxa"/>
        <w:tblLayout w:type="fixed"/>
        <w:tblCellMar>
          <w:top w:w="0" w:type="dxa"/>
          <w:left w:w="0" w:type="dxa"/>
          <w:bottom w:w="0" w:type="dxa"/>
          <w:right w:w="0" w:type="dxa"/>
        </w:tblCellMar>
      </w:tblPr>
      <w:tblGrid>
        <w:gridCol w:w="140"/>
        <w:gridCol w:w="3890"/>
      </w:tblGrid>
      <w:tr>
        <w:trPr/>
        <w:tc>
          <w:tcPr>
            <w:tcW w:w="14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approve related party transactions; </w:t>
            </w:r>
          </w:p>
        </w:tc>
      </w:tr>
    </w:tbl>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the adequacy and effectiveness of our internal controls;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 </w:t>
            </w:r>
          </w:p>
        </w:tc>
      </w:tr>
    </w:tbl>
    <w:p>
      <w:pPr>
        <w:pStyle w:val="TextBody"/>
        <w:bidi w:val="0"/>
        <w:spacing w:before="420" w:after="283"/>
        <w:ind w:left="0" w:right="0" w:hanging="0"/>
        <w:jc w:val="left"/>
        <w:rPr>
          <w:rFonts w:ascii="Arial;Helvetica;sans-serif" w:hAnsi="Arial;Helvetica;sans-serif"/>
          <w:b/>
          <w:color w:val="40C0C0"/>
          <w:sz w:val="24"/>
        </w:rPr>
      </w:pPr>
      <w:bookmarkStart w:id="40" w:name="tROTA"/>
      <w:bookmarkEnd w:id="40"/>
      <w:r>
        <w:rPr>
          <w:rFonts w:ascii="Arial;Helvetica;sans-serif" w:hAnsi="Arial;Helvetica;sans-serif"/>
          <w:b/>
          <w:color w:val="40C0C0"/>
          <w:sz w:val="24"/>
        </w:rPr>
        <w:t>Report of the Audit Committee of the Board of Directors</w:t>
      </w:r>
      <w:r>
        <w:rPr>
          <w:rFonts w:ascii="Arial;Helvetica;sans-serif" w:hAnsi="Arial;Helvetica;sans-serif"/>
          <w:b/>
          <w:color w:val="40C0C0"/>
          <w:position w:val="8"/>
          <w:sz w:val="19"/>
          <w:sz w:val="24"/>
        </w:rPr>
        <w:t>(1)</w:t>
      </w:r>
      <w:r>
        <w:rPr>
          <w:rFonts w:ascii="Arial;Helvetica;sans-serif" w:hAnsi="Arial;Helvetica;sans-serif"/>
          <w:b/>
          <w:color w:val="40C0C0"/>
          <w:sz w:val="24"/>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has reviewed and discussed the audited financial statements for the fiscal year ended December 31, 2025 with management of the Company. The Audit Committee has discussed with Baker Tilly US, LLP (“Baker Tilly”), the Company’s independent registered public accounting firm for the year ended December 31, 2025, the matters required to be discussed by the applicable requirements of the Public Company Accounting Oversight Board (“PCAOB”) and the SEC. The Audit Committee has also </w:t>
      </w:r>
    </w:p>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Arial;Helvetica;sans-serif" w:hAnsi="Arial;Helvetica;sans-serif"/>
                <w:b/>
                <w:color w:val="000000"/>
                <w:sz w:val="11"/>
              </w:rPr>
            </w:pPr>
            <w:r>
              <w:rPr>
                <w:rFonts w:ascii="Arial;Helvetica;sans-serif" w:hAnsi="Arial;Helvetica;sans-serif"/>
                <w:b/>
                <w:color w:val="000000"/>
                <w:sz w:val="11"/>
              </w:rPr>
              <w:t>1.</w:t>
            </w:r>
          </w:p>
        </w:tc>
        <w:tc>
          <w:tcPr>
            <w:tcW w:w="1008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69089x2_def14a_106-info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received the written disclosures and the letter from Baker Tilly required by applicable requirements of the PCAOB regarding the independent accountants’ communications with the audit committee concerning independence, and has discussed with Baker Tilly accounting firm’s independence. Based on the foregoing, the Audit Committee has recommended to the Board that the audited financial statements be included in the Company’s Annual Report on Form 10-K for the fiscal year ended December 31, 2025.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Respectfully submitted by the members of the Audit Committee of the Board.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Glen Ibbott (Chairperson)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Brenda Freeman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Anthony Bay </w:t>
      </w:r>
    </w:p>
    <w:p>
      <w:pPr>
        <w:pStyle w:val="TextBody"/>
        <w:bidi w:val="0"/>
        <w:spacing w:before="430" w:after="283"/>
        <w:ind w:left="0" w:right="0" w:hanging="0"/>
        <w:jc w:val="left"/>
        <w:rPr>
          <w:rFonts w:ascii="Arial;Helvetica;sans-serif" w:hAnsi="Arial;Helvetica;sans-serif"/>
          <w:b/>
          <w:color w:val="40C0C0"/>
          <w:sz w:val="24"/>
        </w:rPr>
      </w:pPr>
      <w:bookmarkStart w:id="42" w:name="tCOC"/>
      <w:bookmarkEnd w:id="42"/>
      <w:r>
        <w:rPr>
          <w:rFonts w:ascii="Arial;Helvetica;sans-serif" w:hAnsi="Arial;Helvetica;sans-serif"/>
          <w:b/>
          <w:color w:val="40C0C0"/>
          <w:sz w:val="24"/>
        </w:rPr>
        <w:t xml:space="preserve">Compensation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consists of Messrs. Bay, DeMott and Ibbott. Mr. Aquila served as member of the Compensation Committee until his resignation from the Board on September 2, 2025. Mr. Gordon served as a member of the Compensation Committee until March 5, 2026.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four times during 2025.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the Compensation Committee include, among other things, to: </w:t>
      </w:r>
    </w:p>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recommend policies relating to compensation and benefits of our officers and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approve corporate goals and objectives relevant to compensation of our chief executive officer and other senior officers; </w:t>
            </w:r>
          </w:p>
        </w:tc>
      </w:tr>
    </w:tbl>
    <w:tbl>
      <w:tblPr>
        <w:tblW w:w="7030" w:type="dxa"/>
        <w:jc w:val="left"/>
        <w:tblInd w:w="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evaluate the performance of our officers in light of established goals and objectives; </w:t>
            </w:r>
          </w:p>
        </w:tc>
      </w:tr>
    </w:tbl>
    <w:tbl>
      <w:tblPr>
        <w:tblW w:w="6010" w:type="dxa"/>
        <w:jc w:val="left"/>
        <w:tblInd w:w="0" w:type="dxa"/>
        <w:tblLayout w:type="fixed"/>
        <w:tblCellMar>
          <w:top w:w="0" w:type="dxa"/>
          <w:left w:w="0" w:type="dxa"/>
          <w:bottom w:w="0" w:type="dxa"/>
          <w:right w:w="0" w:type="dxa"/>
        </w:tblCellMar>
      </w:tblPr>
      <w:tblGrid>
        <w:gridCol w:w="140"/>
        <w:gridCol w:w="5870"/>
      </w:tblGrid>
      <w:tr>
        <w:trPr/>
        <w:tc>
          <w:tcPr>
            <w:tcW w:w="14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recommend compensation of our officers based on its evaluations; and </w:t>
            </w:r>
          </w:p>
        </w:tc>
      </w:tr>
    </w:tbl>
    <w:tbl>
      <w:tblPr>
        <w:tblW w:w="6820" w:type="dxa"/>
        <w:jc w:val="left"/>
        <w:tblInd w:w="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administer the issuance of stock options and other awards under our stock plans. </w:t>
            </w:r>
          </w:p>
        </w:tc>
      </w:tr>
    </w:tbl>
    <w:p>
      <w:pPr>
        <w:pStyle w:val="TextBody"/>
        <w:bidi w:val="0"/>
        <w:spacing w:before="430" w:after="283"/>
        <w:ind w:left="0" w:right="0" w:hanging="0"/>
        <w:jc w:val="left"/>
        <w:rPr>
          <w:rFonts w:ascii="Arial;Helvetica;sans-serif" w:hAnsi="Arial;Helvetica;sans-serif"/>
          <w:b/>
          <w:color w:val="40C0C0"/>
          <w:sz w:val="24"/>
        </w:rPr>
      </w:pPr>
      <w:bookmarkStart w:id="43" w:name="tCOP"/>
      <w:bookmarkEnd w:id="43"/>
      <w:r>
        <w:rPr>
          <w:rFonts w:ascii="Arial;Helvetica;sans-serif" w:hAnsi="Arial;Helvetica;sans-serif"/>
          <w:b/>
          <w:color w:val="40C0C0"/>
          <w:sz w:val="24"/>
        </w:rPr>
        <w:t xml:space="preserve">Compensation Committee Processes and Procedures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69089x2_def14a_106-info_pg6"/>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past fiscal year, after taking into consideration those factors prescribed by the SEC and Nasdaq, the Compensation Committee engaged Compensia Inc. (“Compensia”) as compensation consultants.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 ended December 31, 2025, Compensia provided the following services: </w:t>
      </w:r>
    </w:p>
    <w:tbl>
      <w:tblPr>
        <w:tblW w:w="6985" w:type="dxa"/>
        <w:jc w:val="left"/>
        <w:tblInd w:w="0" w:type="dxa"/>
        <w:tblLayout w:type="fixed"/>
        <w:tblCellMar>
          <w:top w:w="0" w:type="dxa"/>
          <w:left w:w="0" w:type="dxa"/>
          <w:bottom w:w="0" w:type="dxa"/>
          <w:right w:w="0" w:type="dxa"/>
        </w:tblCellMar>
      </w:tblPr>
      <w:tblGrid>
        <w:gridCol w:w="140"/>
        <w:gridCol w:w="6845"/>
      </w:tblGrid>
      <w:tr>
        <w:trPr/>
        <w:tc>
          <w:tcPr>
            <w:tcW w:w="140" w:type="dxa"/>
            <w:tcBorders/>
            <w:vAlign w:val="center"/>
          </w:tcPr>
          <w:p>
            <w:pPr>
              <w:pStyle w:val="TableContents"/>
              <w:bidi w:val="0"/>
              <w:spacing w:before="0" w:after="0"/>
              <w:jc w:val="left"/>
              <w:rPr>
                <w:color w:val="000000"/>
              </w:rPr>
            </w:pPr>
            <w:r>
              <w:rPr>
                <w:color w:val="000000"/>
              </w:rPr>
              <w:t>•</w:t>
            </w:r>
          </w:p>
        </w:tc>
        <w:tc>
          <w:tcPr>
            <w:tcW w:w="68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assisted the Compensation Committee in refreshing our compensation peer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guidance on other compensation topics including clawback programs, equity design and programs, burn rates and overhang levels, and ad hoc market data and practices; and </w:t>
            </w:r>
          </w:p>
        </w:tc>
      </w:tr>
    </w:tbl>
    <w:tbl>
      <w:tblPr>
        <w:tblW w:w="4825" w:type="dxa"/>
        <w:jc w:val="left"/>
        <w:tblInd w:w="0" w:type="dxa"/>
        <w:tblLayout w:type="fixed"/>
        <w:tblCellMar>
          <w:top w:w="0" w:type="dxa"/>
          <w:left w:w="0" w:type="dxa"/>
          <w:bottom w:w="0" w:type="dxa"/>
          <w:right w:w="0" w:type="dxa"/>
        </w:tblCellMar>
      </w:tblPr>
      <w:tblGrid>
        <w:gridCol w:w="140"/>
        <w:gridCol w:w="4685"/>
      </w:tblGrid>
      <w:tr>
        <w:trPr/>
        <w:tc>
          <w:tcPr>
            <w:tcW w:w="14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ad hoc advice and support throughout the year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2025.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 </w:t>
      </w:r>
    </w:p>
    <w:p>
      <w:pPr>
        <w:pStyle w:val="TextBody"/>
        <w:bidi w:val="0"/>
        <w:spacing w:before="420" w:after="283"/>
        <w:ind w:left="0" w:right="0" w:hanging="0"/>
        <w:jc w:val="left"/>
        <w:rPr>
          <w:rFonts w:ascii="Arial;Helvetica;sans-serif" w:hAnsi="Arial;Helvetica;sans-serif"/>
          <w:b/>
          <w:color w:val="40C0C0"/>
          <w:sz w:val="24"/>
        </w:rPr>
      </w:pPr>
      <w:bookmarkStart w:id="45" w:name="tNAC"/>
      <w:bookmarkEnd w:id="45"/>
      <w:r>
        <w:rPr>
          <w:rFonts w:ascii="Arial;Helvetica;sans-serif" w:hAnsi="Arial;Helvetica;sans-serif"/>
          <w:b/>
          <w:color w:val="40C0C0"/>
          <w:sz w:val="24"/>
        </w:rPr>
        <w:t xml:space="preserve">Nominating and Corporate Governance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consists of Mr. Cox and Ms. Freeman. Mr. Gordon served as a member of the Nominating and Corporate Governance Committee until March 5, 2026.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2025.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the Nominating and Corporate Governance Committee include, among other things, to: </w:t>
      </w:r>
    </w:p>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evaluate and make recommendations regarding the organization and governance of the Board and its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assess the performance of members of the Board and make recommendations regarding committee and chairperson assignments;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69089x2_def14a_106-info_pg7"/>
        <w:bookmarkEnd w:id="46"/>
        <w:r>
          <w:rPr>
            <w:rStyle w:val="InternetLink"/>
            <w:rFonts w:ascii="Times New Roman;Times;Serif" w:hAnsi="Times New Roman;Times;Serif"/>
            <w:b/>
            <w:caps w:val="false"/>
            <w:smallCaps w:val="false"/>
            <w:color w:val="000000"/>
            <w:sz w:val="16"/>
          </w:rPr>
          <w:t>TABLE OF CONTENTS</w:t>
        </w:r>
      </w:hyperlink>
    </w:p>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recommend desired qualifications for Board membership and conduct searches for potential members of the Board; and </w:t>
            </w:r>
          </w:p>
        </w:tc>
      </w:tr>
    </w:tbl>
    <w:tbl>
      <w:tblPr>
        <w:tblW w:w="7435" w:type="dxa"/>
        <w:jc w:val="left"/>
        <w:tblInd w:w="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make recommendations with regard to our corporate governance guidelines.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age, skills, diversity, and such other factors as it deems appropriate, given the current needs of the Board and the Company, to maintain a balance of knowledge, experience and capability.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advisor.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2025, the Nominating and Corporate Governance Committee paid fees to Vcheck Global LLC, to assist in the process of identifying or evaluating director candidates.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 </w:t>
      </w:r>
    </w:p>
    <w:p>
      <w:pPr>
        <w:pStyle w:val="TextBody"/>
        <w:bidi w:val="0"/>
        <w:spacing w:before="430" w:after="283"/>
        <w:ind w:left="0" w:right="0" w:hanging="0"/>
        <w:jc w:val="left"/>
        <w:rPr>
          <w:rFonts w:ascii="Arial;Helvetica;sans-serif" w:hAnsi="Arial;Helvetica;sans-serif"/>
          <w:b/>
          <w:color w:val="40C0C0"/>
          <w:sz w:val="24"/>
        </w:rPr>
      </w:pPr>
      <w:bookmarkStart w:id="47" w:name="tTC"/>
      <w:bookmarkEnd w:id="47"/>
      <w:r>
        <w:rPr>
          <w:rFonts w:ascii="Arial;Helvetica;sans-serif" w:hAnsi="Arial;Helvetica;sans-serif"/>
          <w:b/>
          <w:color w:val="40C0C0"/>
          <w:sz w:val="24"/>
        </w:rPr>
        <w:t xml:space="preserve">Technology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Technology Committee consists of Messrs. Bay, DeMott and Rellas. Mr. Francis served as a member of the Technology Committee until March 5, 2026. Messrs. DeMott and Rellas were appointed as members of the Technology Committee on March 5, 2026. We named Mr. DeMott as the Chairperson of the Technology Committee on March 5, 2026; Mr. Bay served as the Chairperson of the Technology Committee prior to that date. The Technology Committee met five times during 2025.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the Technology Committee include, among other things,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evaluate and make recommendations regarding our major technology developments, technology related systems and architecture;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69089x2_def14a_106-info_pg8"/>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oversee the formulation, definition, tracking, retention and reporting of our key metrics, performance indicators and other operational data, and help ensure effective internal and disclosure controls related to such data;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 guidance regarding significant emerging technology issues and trends that may affect our business and strategies;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provide guidance regarding our technology risk management, including our policies and procedures with respect to technology and its uses including cybersecurity, reporting and data system management. </w:t>
            </w:r>
          </w:p>
        </w:tc>
      </w:tr>
    </w:tbl>
    <w:p>
      <w:pPr>
        <w:pStyle w:val="TextBody"/>
        <w:bidi w:val="0"/>
        <w:spacing w:before="430" w:after="283"/>
        <w:ind w:left="0" w:right="0" w:hanging="0"/>
        <w:jc w:val="left"/>
        <w:rPr>
          <w:rFonts w:ascii="Arial;Helvetica;sans-serif" w:hAnsi="Arial;Helvetica;sans-serif"/>
          <w:b/>
          <w:color w:val="40C0C0"/>
          <w:sz w:val="24"/>
        </w:rPr>
      </w:pPr>
      <w:bookmarkStart w:id="49" w:name="tSCW"/>
      <w:bookmarkEnd w:id="49"/>
      <w:r>
        <w:rPr>
          <w:rFonts w:ascii="Arial;Helvetica;sans-serif" w:hAnsi="Arial;Helvetica;sans-serif"/>
          <w:b/>
          <w:color w:val="40C0C0"/>
          <w:sz w:val="24"/>
        </w:rPr>
        <w:t xml:space="preserve">Stockholder Communications with the Board of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 </w:t>
      </w:r>
    </w:p>
    <w:p>
      <w:pPr>
        <w:pStyle w:val="TextBody"/>
        <w:bidi w:val="0"/>
        <w:spacing w:before="430" w:after="283"/>
        <w:ind w:left="0" w:right="0" w:hanging="0"/>
        <w:jc w:val="left"/>
        <w:rPr>
          <w:rFonts w:ascii="Arial;Helvetica;sans-serif" w:hAnsi="Arial;Helvetica;sans-serif"/>
          <w:b/>
          <w:color w:val="40C0C0"/>
          <w:sz w:val="24"/>
        </w:rPr>
      </w:pPr>
      <w:bookmarkStart w:id="50" w:name="tCOF"/>
      <w:bookmarkEnd w:id="50"/>
      <w:r>
        <w:rPr>
          <w:rFonts w:ascii="Arial;Helvetica;sans-serif" w:hAnsi="Arial;Helvetica;sans-serif"/>
          <w:b/>
          <w:color w:val="40C0C0"/>
          <w:sz w:val="24"/>
        </w:rPr>
        <w:t xml:space="preserve">Code of Conduct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 </w:t>
      </w:r>
    </w:p>
    <w:p>
      <w:pPr>
        <w:pStyle w:val="TextBody"/>
        <w:bidi w:val="0"/>
        <w:spacing w:before="430" w:after="283"/>
        <w:ind w:left="0" w:right="0" w:hanging="0"/>
        <w:jc w:val="left"/>
        <w:rPr>
          <w:rFonts w:ascii="Arial;Helvetica;sans-serif" w:hAnsi="Arial;Helvetica;sans-serif"/>
          <w:b/>
          <w:color w:val="40C0C0"/>
          <w:sz w:val="24"/>
        </w:rPr>
      </w:pPr>
      <w:bookmarkStart w:id="51" w:name="tCGG"/>
      <w:bookmarkEnd w:id="51"/>
      <w:r>
        <w:rPr>
          <w:rFonts w:ascii="Arial;Helvetica;sans-serif" w:hAnsi="Arial;Helvetica;sans-serif"/>
          <w:b/>
          <w:color w:val="40C0C0"/>
          <w:sz w:val="24"/>
        </w:rPr>
        <w:t xml:space="preserve">Corporate Governance Guidelines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 </w:t>
      </w:r>
    </w:p>
    <w:p>
      <w:pPr>
        <w:pStyle w:val="TextBody"/>
        <w:bidi w:val="0"/>
        <w:spacing w:before="430" w:after="283"/>
        <w:ind w:left="0" w:right="0" w:hanging="0"/>
        <w:jc w:val="left"/>
        <w:rPr>
          <w:rFonts w:ascii="Arial;Helvetica;sans-serif" w:hAnsi="Arial;Helvetica;sans-serif"/>
          <w:b/>
          <w:color w:val="40C0C0"/>
          <w:sz w:val="24"/>
        </w:rPr>
      </w:pPr>
      <w:bookmarkStart w:id="52" w:name="tITP"/>
      <w:bookmarkEnd w:id="52"/>
      <w:r>
        <w:rPr>
          <w:rFonts w:ascii="Arial;Helvetica;sans-serif" w:hAnsi="Arial;Helvetica;sans-serif"/>
          <w:b/>
          <w:color w:val="40C0C0"/>
          <w:sz w:val="24"/>
        </w:rPr>
        <w:t xml:space="preserve">Insider Trading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adopted an Insider Trading Policy governing the purchase, sale, and/or other dispositions of the Company’s securities by employees, directors, other applicable members of management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69089x2_def14a_106-info_pg9"/>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54" w:name="tHEP"/>
      <w:bookmarkEnd w:id="54"/>
      <w:r>
        <w:rPr>
          <w:rFonts w:ascii="Arial;Helvetica;sans-serif" w:hAnsi="Arial;Helvetica;sans-serif"/>
          <w:b/>
          <w:color w:val="40C0C0"/>
          <w:sz w:val="24"/>
        </w:rPr>
        <w:t xml:space="preserve">Hedging and Pledging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69089x2_def14a_107-prop1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56" w:name="tP1E"/>
      <w:bookmarkStart w:id="57" w:name="tPROP1"/>
      <w:bookmarkEnd w:id="56"/>
      <w:bookmarkEnd w:id="57"/>
      <w:r>
        <w:rPr>
          <w:rFonts w:ascii="Arial;Helvetica;sans-serif" w:hAnsi="Arial;Helvetica;sans-serif"/>
          <w:color w:val="000000"/>
          <w:sz w:val="64"/>
        </w:rPr>
        <w:t xml:space="preserve">Proposal No. 1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Amendment to Certificate of Incorporation to Declassify the Board of Directors and Provide for the Immediate Annual Election of All Directors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After continued evaluation of our corporate governance practices, our Board has unanimously determined that it would be advisable and in the best interests of the Company and our stockholders to amend our Certificate of Incorporation to declassify our Board and to provide for the annual election of all directors, as described below. We believe this amendment reflects our commitment to good corporate governance and better aligns our governance processes with what is considered to be governance best practices by the investor community.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is asking you to approve the amendments to our Certificate of Incorporation to eliminate a classified board from the Certificate of Incorporation and to provide that all members of the Board stand for election at the Annual Meeting (the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full text of the proposed amendments to the Certificate of Incorporation constituting the Declassification Charter Amendments are attached as </w:t>
      </w:r>
      <w:r>
        <w:rPr>
          <w:rFonts w:ascii="Arial;Helvetica;sans-serif" w:hAnsi="Arial;Helvetica;sans-serif"/>
          <w:i/>
          <w:color w:val="000000"/>
          <w:sz w:val="18"/>
        </w:rPr>
        <w:t>Appendix A</w:t>
      </w:r>
      <w:r>
        <w:rPr>
          <w:rFonts w:ascii="Arial;Helvetica;sans-serif" w:hAnsi="Arial;Helvetica;sans-serif"/>
          <w:color w:val="000000"/>
          <w:sz w:val="18"/>
        </w:rPr>
        <w:t xml:space="preserve"> to this Proxy Statement.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Background of the Declassification Proposal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Currently, the Certificate of Incorporation provides for a classified Board of Directors divided into three classes of directors. Directors in each class are elected for staggered three-year terms, with the term of one class expiring at each annual meeting. Currently, Class I and III contains two directors and Class II contains three directors. The current terms of our director classes expire as follows: Class II – the Annual Meeting; Class III – the 2027 annual meeting; and Class I – the 2028 annual meeting. We are asking you to approve the amendments to our Certificate of Incorporation to eliminate provisions from the Certificate of Incorporation providing for a classified board and to replace such provisions with provisions providing for the annual election of all directors, as discussed further below.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Rationale for the Proposed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Board of Directors is committed to good corporate governance. Our Board has conducted a review of corporate governance matters, including its classified board structure.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and encourage a long-term perspective by management and the Board. While our Board believes that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69089x2_def14a_107-prop1_pg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are important considerations, our Board also understands that many investors believe that annually elected boards increase accountability of directors to a company’s stockholders. In addition, our Board believes these amendments better align our governance with what is considered to be governance best practices by the investor community.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After carefully weighing all of these considerations, our Board has unanimously approved the Declassification Charter Amendments.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Description of the Proposed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discussed above, our Certificate of Incorporation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the Declassification Proposal is approved at the Annual Meeting, promptly following such vote, we will file the Declassification Charter Amendments with the Secretary of State of the State of Delaware to effect the declassification of the Board during the Annual Meeting and to provide for the immediate annual election of all director nominees named in the Nominee Alternative A Proposal (see “Proposal No. 6a—Election of Directors if Proposal No. 1 is Approved”). We intend to make this filing before the vote is taken to elect directors at the Annual Meeting so that if the Declassification Charter Amendments are adopted, they will be effective when the vote is taken to elect directors. Additionally, director nominees currently serving in Class I and Class III will tender contingent resignations from their current three-year terms, conditioned upon the filing of the Declassification Charter Amendments with the Secretary of State of the State of Delaware. As a result, if the Declassification Charter Amendments are approved, the seven members of the current Board will stand for election at the Annual Meeting and, if elected, will serve for terms expiring at the 2027 annual meeting of stockholders. Conversely, if the Declassification Proposal is not approved, the Board will remain classified such that (i) pursuant to the Nominee Alternative B Proposal only the three Class II director nominees will stand for election at the Annual Meeting and, if elected, will serve on the Board until the 2029 annual meeting or until their earlier death, disqualification, resignation or removal and (ii) directors serving in Class I and Class III will continue to serve as directors until their respective terms expire at the 2027 and 2028 annual meetings, respectively, or until their earlier death, disqualification, resignation or removal (see “Proposal No. 6b—Election of Directors if Proposal No. 1 is Not Approved”). The Declassification Charter Amendments would not change the number of directors or the Board’s authority to change that number and to fill any vacancies or newly created directorships.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reserves the right to elect to abandon the Declassification Charter Amendments, before or after stockholder approval of such amendments, if it determines, in its sole discretion, that such amendments are no longer in the best interests of the Company and its stockholders.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Complete Text of the Proposed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general description of the proposed amendments described above is qualified in its entirety by reference to the full text of the proposed amendments to the Certificate of Incorporation constituting the Declassification Charter Amendments attached to this Proxy Statement as </w:t>
      </w:r>
      <w:r>
        <w:rPr>
          <w:rFonts w:ascii="Arial;Helvetica;sans-serif" w:hAnsi="Arial;Helvetica;sans-serif"/>
          <w:i/>
          <w:color w:val="000000"/>
          <w:sz w:val="18"/>
        </w:rPr>
        <w:t>Appendix A</w:t>
      </w:r>
      <w:r>
        <w:rPr>
          <w:rFonts w:ascii="Arial;Helvetica;sans-serif" w:hAnsi="Arial;Helvetica;sans-serif"/>
          <w:color w:val="000000"/>
          <w:sz w:val="18"/>
        </w:rPr>
        <w:t xml:space="preserve">. </w:t>
      </w:r>
    </w:p>
    <w:p>
      <w:pPr>
        <w:pStyle w:val="TextBody"/>
        <w:bidi w:val="0"/>
        <w:spacing w:before="40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The Board Recommends a Vote “For” the Declassification Charter Amendments.</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69089x2_def14a_108-prop2_pg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60" w:name="tPN2"/>
      <w:bookmarkStart w:id="61" w:name="tPROP2"/>
      <w:bookmarkEnd w:id="60"/>
      <w:bookmarkEnd w:id="61"/>
      <w:r>
        <w:rPr>
          <w:rFonts w:ascii="Arial;Helvetica;sans-serif" w:hAnsi="Arial;Helvetica;sans-serif"/>
          <w:color w:val="000000"/>
          <w:sz w:val="64"/>
        </w:rPr>
        <w:t xml:space="preserve">Proposal No. 2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Advisory Vote, on a Non-Binding Basis, to Approve the Compensation of Our Named Executive Officers for the Year Ended 2025 </w:t>
      </w:r>
    </w:p>
    <w:p>
      <w:pPr>
        <w:pStyle w:val="TextBody"/>
        <w:bidi w:val="0"/>
        <w:spacing w:lineRule="atLeast" w:line="270"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Pursuant to Section 14A of the Exchange Act, at the 2022 Annual Meeting of Stockholders, our stockholders indicated their preference that the Company solicit a non-binding advisory vote on the compensation of the Named Executive Officers, commonly referred to as a “say-on-pay vote,” every year. The Board has adopted a policy that is consistent with that preference. In accordance with that policy, this year, the Company is again asking our stockholders to approve, on an advisory basis, the compensation of the Company’s Named Executive Officers as disclosed in this proxy statement in accordance with SEC rules. </w:t>
      </w:r>
    </w:p>
    <w:p>
      <w:pPr>
        <w:pStyle w:val="TextBody"/>
        <w:bidi w:val="0"/>
        <w:spacing w:lineRule="atLeast" w:line="270"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Executive Compensation section, the compensation tables, and the related narrative disclosure contained in this Proxy Statement. As discussed in those disclosures, the Company believes that its compensation policies and decisions are reasonable, competitive, and appropriately balance the goals of attracting, motivating, rewarding, and retaining its Named Executive Officers with the goal of aligning their interests with those of the stockholders. Compensation of the Company’s Named Executive Officers is designed to enable the Company to attract and retain talented and experienced executives to lead the Company successfully in a competitive environment. </w:t>
      </w:r>
    </w:p>
    <w:p>
      <w:pPr>
        <w:pStyle w:val="TextBody"/>
        <w:bidi w:val="0"/>
        <w:spacing w:lineRule="atLeast" w:line="270"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Accordingly, the Board is asking the Company’s stockholders to indicate their support for the compensation of the Company’s Named Executive Officers as described in this Proxy Statement by casting a non-binding advisory vote “FOR” the following resolution: </w:t>
      </w:r>
    </w:p>
    <w:p>
      <w:pPr>
        <w:pStyle w:val="TextBody"/>
        <w:bidi w:val="0"/>
        <w:spacing w:lineRule="atLeast" w:line="270" w:before="140" w:after="283"/>
        <w:ind w:left="400" w:right="0" w:hanging="0"/>
        <w:jc w:val="left"/>
        <w:rPr>
          <w:color w:val="000000"/>
        </w:rPr>
      </w:pPr>
      <w:r>
        <w:rPr>
          <w:color w:val="000000"/>
        </w:rPr>
        <w:t>“</w:t>
      </w:r>
      <w:r>
        <w:rPr>
          <w:rFonts w:ascii="Arial;Helvetica;sans-serif" w:hAnsi="Arial;Helvetica;sans-serif"/>
          <w:color w:val="000000"/>
          <w:sz w:val="18"/>
        </w:rPr>
        <w:t xml:space="preserve">RESOLVED, that the compensation paid to the Company’s Named Executive Officers, as disclosed pursuant to Item 402 of Regulation S-K, including the compensation tables and narrative discussion is hereby APPROVED.” </w:t>
      </w:r>
    </w:p>
    <w:p>
      <w:pPr>
        <w:pStyle w:val="TextBody"/>
        <w:bidi w:val="0"/>
        <w:spacing w:lineRule="atLeast" w:line="270"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Unless the Board decides to modify its policy regarding the frequency of soliciting advisory votes on the compensation of the Company’s Named Executive Officers, the next scheduled say-on-pay vote will be at the 2027 Annual Meeting of Stockholders. </w:t>
      </w:r>
    </w:p>
    <w:p>
      <w:pPr>
        <w:pStyle w:val="TextBody"/>
        <w:bidi w:val="0"/>
        <w:spacing w:before="39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The Board Recommends a Vote “For” Proposal No. 2.</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69089x2_def14a_109-prop3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63" w:name="tP3R"/>
      <w:bookmarkStart w:id="64" w:name="tPROP3"/>
      <w:bookmarkEnd w:id="63"/>
      <w:bookmarkEnd w:id="64"/>
      <w:r>
        <w:rPr>
          <w:rFonts w:ascii="Arial;Helvetica;sans-serif" w:hAnsi="Arial;Helvetica;sans-serif"/>
          <w:color w:val="000000"/>
          <w:sz w:val="64"/>
        </w:rPr>
        <w:t xml:space="preserve">Proposal No. 3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Ratification of Selection of Independent Registered Public Accounting Firm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has selected MGO as our independent registered public accounting firm for the year ending December 31, 2026 and has further directed that management submit the selection of its independent registered public accounting firm for ratification by the stockholders at the Annual Meeting. Representatives of MGO are expected to be present at the Annual Meeting. They will have an opportunity to make a statement if they so desire and will be available to respond to appropriate questions.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Neither our Bylaws nor other governing documents or law require stockholder ratification of the selection of MGO as our independent registered public accounting firm. However, the Audit Committee is submitting the selection of MGO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for us and our stockholders.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Change in Independent Registered Accounting Firm </w:t>
      </w:r>
    </w:p>
    <w:p>
      <w:pPr>
        <w:pStyle w:val="TextBody"/>
        <w:bidi w:val="0"/>
        <w:spacing w:before="15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Dismissal of Baker Tilly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April 3, 2026, the Audit Committee approved the appointment of MGO as our independent registered public accounting firm to audit our consolidated financial statements for the year ending December 31, 2026, in place of Baker Tilly. As previously disclosed, on April 3, 2026, following approval by the Audit Committee, we dismissed Baker Tilly as our independent registered public accounting, effective immediately. The audit reports of Baker Tilly on the Company’s financial statements for the years ended December 31, 2025 and 2024, and for the years then ended, and internal control over financial reporting as of December 31, 2025, contained an unqualified opinion on the consolidated financials and an adverse opinion on the effectiveness of internal control over financial reporting due to material weaknesses.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years ended December 31, 2025 and 2024, and the subsequent interim period through the date of our Current Report on Form 8-K filed with the SEC on April 7, 2026, there were no (i) “disagreements,” within the meaning of Item 304(a)(1)(iv) of Regulation S-K promulgated under the Exchange Act (“Regulation S-K”), and the related instructions thereto, with Baker Tilly on any matter of accounting principles or practices, financial statement disclosure, or auditing scope or procedure, which, if not resolved to Baker Tilly’s satisfaction, would have caused it to make reference to the subject matter of the disagreements in connection with its reports on the Company’s financial statements, or (ii) reportable events requiring disclosure pursuant to Item 304(a)(1)(v) of Regulation S-K and the related instructions thereto, except that (a) as disclosed in our Annual Report on Form 10-K for the year ended December 31, 2024, we reported that our internal control over financial reporting was not effective as of December 31, 2024 due to material weaknesses in our internal controls and (b) as disclosed in the Company’s Annual Report on Form 10-K for the year ended December 31, 2025, we reported that our internal control over financial reporting was not effective as of December 31, 2025 due to material weaknesses in our internal controls.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previously provided Baker Tilly with a copy of the foregoing disclosures and received from Baker Tilly a letter addressed to the SEC stating that it agreed with the statements made by the Company as set forth in Item 4.01 of the Current Report on Form 8-K filed with the SEC on April 7, 2026. The letter from Baker Tilly, dated April 7, 2026, was filed as Exhibit 16.1 to our Current Report on Form 8-K filed with the SEC on April 7, 2026.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69089x2_def14a_109-prop3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Resignation of Moss Adams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June 3, 2025, the Audit Committee approved the appointment of Baker Tilly as our independent registered public accounting firm to audit our consolidated financial statements for the year ending December 31, 2025, in place of Moss Adams LLP (“Moss Adams”).On June 3, 2025, we were notified by Moss Adams of its decision to resign as our independence registered public accounting firm due to its merger with Baker Tilly. The audit reports of Moss Adams on the Company’s consolidated financial statements for the years ended December 31, 2024 and 2023, and for the years then ended, and internal control over financial reporting as of December 31, 2024, contained an unqualified opinion on the consolidated financial statements and an adverse opinion on the effectiveness of internal control over financial reporting due to material weaknesses.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years ended December 31, 2024 and 2023, and the subsequent interim period through the date of our Current Report on Form 8-K filed with SEC on June 9, 2025, there were no (i) “disagreements,” within the meaning of Item 304(a)(1)(iv) of Regulation S-K, and the related instructions thereto, with Moss Adams on any matter of accounting principles or practices, financial statement disclosure, or auditing scope or procedure, which, if not resolved to Moss Adams’ satisfaction, would have caused it to make reference to the subject matter of the disagreements in connection with its reports on the Company’s financial statements, or (ii) reportable events requiring disclosure pursuant to Item 304(a)(1)(v) of Regulation S-K and the related instructions thereto, except that (a) as disclosed in our Annual Report on Form 10-K for the year ended December 31, 2023, we reported that our internal control over financial reporting was not effective as of December 31, 2023 due to material weaknesses in our internal controls and (b) as disclosed in our Annual Report on Form 10-K for the year ended December 31, 2024, we reported that our internal control over financial reporting was not effective as of December 31, 2024 due to material weaknesses in our internal controls.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Moss Adams did not seek our consent to its decision to resign as our independent registered public accounting firm. As a result, the Board of Directors or Audit Committee did not recommend or approve such decision.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previously provided Moss Adams with a copy of the foregoing disclosures and received from Moss Adams a letter addressed to the SEC stating that it agreed with the statements made by the Company as set forth in Item 4.01 of the Current Report on Form 8-K filed with the SEC on June 9, 2025. The letter from Moss Adams, dated June 9, 2025, was filed as Exhibit 16.1 to our Current Report on Form 8-K filed with the SEC on June 9, 2025. </w:t>
      </w:r>
    </w:p>
    <w:p>
      <w:pPr>
        <w:pStyle w:val="TextBody"/>
        <w:bidi w:val="0"/>
        <w:spacing w:before="430" w:after="283"/>
        <w:ind w:left="0" w:right="0" w:hanging="0"/>
        <w:jc w:val="left"/>
        <w:rPr>
          <w:rFonts w:ascii="Arial;Helvetica;sans-serif" w:hAnsi="Arial;Helvetica;sans-serif"/>
          <w:b/>
          <w:color w:val="40C0C0"/>
          <w:sz w:val="24"/>
        </w:rPr>
      </w:pPr>
      <w:bookmarkStart w:id="66" w:name="tPAF"/>
      <w:bookmarkEnd w:id="66"/>
      <w:r>
        <w:rPr>
          <w:rFonts w:ascii="Arial;Helvetica;sans-serif" w:hAnsi="Arial;Helvetica;sans-serif"/>
          <w:b/>
          <w:color w:val="40C0C0"/>
          <w:sz w:val="24"/>
        </w:rPr>
        <w:t xml:space="preserve">Principal Accountant Fees and Services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represents aggregate fees billed to the Company for the years ended December 31, 2025 and 2024, by Baker Tilly, the Company’s previous principal accountant for the year ended December 31, 2025, and Moss Adams, the Company’s previous principal accountant for the year ended December 31, 2024.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Baker Tilly </w:t>
      </w:r>
    </w:p>
    <w:tbl>
      <w:tblPr>
        <w:tblW w:w="4815" w:type="dxa"/>
        <w:jc w:val="left"/>
        <w:tblInd w:w="0" w:type="dxa"/>
        <w:tblLayout w:type="fixed"/>
        <w:tblCellMar>
          <w:top w:w="0" w:type="dxa"/>
          <w:left w:w="0" w:type="dxa"/>
          <w:bottom w:w="0" w:type="dxa"/>
          <w:right w:w="0" w:type="dxa"/>
        </w:tblCellMar>
      </w:tblPr>
      <w:tblGrid>
        <w:gridCol w:w="185"/>
        <w:gridCol w:w="1565"/>
        <w:gridCol w:w="170"/>
        <w:gridCol w:w="170"/>
        <w:gridCol w:w="2510"/>
        <w:gridCol w:w="215"/>
      </w:tblGrid>
      <w:tr>
        <w:trPr/>
        <w:tc>
          <w:tcPr>
            <w:tcW w:w="185" w:type="dxa"/>
            <w:tcBorders/>
            <w:shd w:fill="000000" w:val="clear"/>
            <w:vAlign w:val="center"/>
          </w:tcPr>
          <w:p>
            <w:pPr>
              <w:pStyle w:val="TableContents"/>
              <w:bidi w:val="0"/>
              <w:spacing w:before="0" w:after="0"/>
              <w:jc w:val="left"/>
              <w:rPr/>
            </w:pPr>
            <w:r>
              <w:rPr/>
              <w:t> </w:t>
            </w:r>
          </w:p>
        </w:tc>
        <w:tc>
          <w:tcPr>
            <w:tcW w:w="156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1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565"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shd w:fill="000000" w:val="clear"/>
            <w:tcMar>
              <w:bottom w:w="6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Ended December 31, 2025 </w:t>
            </w:r>
          </w:p>
        </w:tc>
        <w:tc>
          <w:tcPr>
            <w:tcW w:w="215"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 Fees</w:t>
            </w:r>
            <w:r>
              <w:rPr>
                <w:rFonts w:ascii="Arial;Helvetica;sans-serif" w:hAnsi="Arial;Helvetica;sans-serif"/>
                <w:b/>
                <w:color w:val="40C0C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$1,769,650</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Audit-Related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Tax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All Other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$1,769,650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7"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4"/>
              </w:rPr>
              <w:t xml:space="preserve">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2025 fiscal year.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69089x2_def14a_109-prop3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Moss Adams </w:t>
      </w:r>
    </w:p>
    <w:tbl>
      <w:tblPr>
        <w:tblW w:w="4980" w:type="dxa"/>
        <w:jc w:val="left"/>
        <w:tblInd w:w="0" w:type="dxa"/>
        <w:tblLayout w:type="fixed"/>
        <w:tblCellMar>
          <w:top w:w="0" w:type="dxa"/>
          <w:left w:w="0" w:type="dxa"/>
          <w:bottom w:w="0" w:type="dxa"/>
          <w:right w:w="0" w:type="dxa"/>
        </w:tblCellMar>
      </w:tblPr>
      <w:tblGrid>
        <w:gridCol w:w="185"/>
        <w:gridCol w:w="1730"/>
        <w:gridCol w:w="170"/>
        <w:gridCol w:w="170"/>
        <w:gridCol w:w="2510"/>
        <w:gridCol w:w="215"/>
      </w:tblGrid>
      <w:tr>
        <w:trPr/>
        <w:tc>
          <w:tcPr>
            <w:tcW w:w="185"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1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shd w:fill="000000" w:val="clear"/>
            <w:tcMar>
              <w:bottom w:w="6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Ended December 31, 2024 </w:t>
            </w:r>
          </w:p>
        </w:tc>
        <w:tc>
          <w:tcPr>
            <w:tcW w:w="215"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 Fees</w:t>
            </w:r>
            <w:r>
              <w:rPr>
                <w:rFonts w:ascii="Arial;Helvetica;sans-serif" w:hAnsi="Arial;Helvetica;sans-serif"/>
                <w:b/>
                <w:color w:val="40C0C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 xml:space="preserve">$1,813,868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Audit-Related Fees</w:t>
            </w:r>
            <w:r>
              <w:rPr>
                <w:rFonts w:ascii="Arial;Helvetica;sans-serif" w:hAnsi="Arial;Helvetica;sans-serif"/>
                <w:b/>
                <w:color w:val="40C0C0"/>
                <w:position w:val="5"/>
                <w:sz w:val="13"/>
                <w:sz w:val="16"/>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 xml:space="preserve">$75,000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Tax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All Other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$1,888,868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7"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4"/>
              </w:rPr>
              <w:t xml:space="preserve">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2024 fiscal year. </w:t>
            </w:r>
          </w:p>
        </w:tc>
      </w:tr>
    </w:tbl>
    <w:tbl>
      <w:tblPr>
        <w:tblW w:w="10180" w:type="dxa"/>
        <w:jc w:val="left"/>
        <w:tblInd w:w="0" w:type="dxa"/>
        <w:tblLayout w:type="fixed"/>
        <w:tblCellMar>
          <w:top w:w="0" w:type="dxa"/>
          <w:left w:w="0" w:type="dxa"/>
          <w:bottom w:w="0" w:type="dxa"/>
          <w:right w:w="0" w:type="dxa"/>
        </w:tblCellMar>
      </w:tblPr>
      <w:tblGrid>
        <w:gridCol w:w="170"/>
        <w:gridCol w:w="1001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1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4"/>
              </w:rPr>
              <w:t xml:space="preserve">Audit-Related Fees” consist of fees in connection with employee benefit plan audits, prior auditor consent and successor auditor access to workpapers. </w:t>
            </w:r>
          </w:p>
        </w:tc>
      </w:tr>
    </w:tbl>
    <w:p>
      <w:pPr>
        <w:pStyle w:val="TextBody"/>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2025 and 2024 fees described above were pre-approved by the Audit Committee. </w:t>
      </w:r>
    </w:p>
    <w:p>
      <w:pPr>
        <w:pStyle w:val="TextBody"/>
        <w:bidi w:val="0"/>
        <w:spacing w:before="420" w:after="283"/>
        <w:ind w:left="0" w:right="0" w:hanging="0"/>
        <w:jc w:val="left"/>
        <w:rPr>
          <w:rFonts w:ascii="Arial;Helvetica;sans-serif" w:hAnsi="Arial;Helvetica;sans-serif"/>
          <w:b/>
          <w:color w:val="40C0C0"/>
          <w:sz w:val="24"/>
        </w:rPr>
      </w:pPr>
      <w:bookmarkStart w:id="68" w:name="tPAP"/>
      <w:bookmarkEnd w:id="68"/>
      <w:r>
        <w:rPr>
          <w:rFonts w:ascii="Arial;Helvetica;sans-serif" w:hAnsi="Arial;Helvetica;sans-serif"/>
          <w:b/>
          <w:color w:val="40C0C0"/>
          <w:sz w:val="24"/>
        </w:rPr>
        <w:t xml:space="preserve">Pre-Approval Policies and Procedures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Audit Committee has adopted a policy and procedures for the pre-approval of audit and non-audit services rendered by our independent registered public accounting firm, MGO.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Audit Committee has determined that the rendering of services other than audit services by MGO is compatible with maintaining the principal accountant’s independence.</w:t>
      </w:r>
    </w:p>
    <w:p>
      <w:pPr>
        <w:pStyle w:val="TextBody"/>
        <w:bidi w:val="0"/>
        <w:spacing w:before="40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The Board Recommends a Vote “For” Proposal No. 3.</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9" w:name="ny20069089x2_def14a_110-prop4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70" w:name="tP4A"/>
      <w:bookmarkEnd w:id="70"/>
      <w:r>
        <w:rPr>
          <w:rFonts w:ascii="Arial;Helvetica;sans-serif" w:hAnsi="Arial;Helvetica;sans-serif"/>
          <w:color w:val="000000"/>
          <w:sz w:val="64"/>
        </w:rPr>
        <w:t xml:space="preserve">Proposal No. 4a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Election of Directors if Proposal No. 1 is Approved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Upon the recommendation of the Nominating and Corporate Governance Committee, the Board has considered and nominated the following nominees, each of whom is currently a member of our Board, to stand for election for a one-year term expiring at the 2027 annual meeting of stockholders and until his or her successor has been duly elected and qualified, or, if sooner, until the director’s death, disqualification, resignation or removal, if Proposal No. 1 is approved, and when the Declassification Charter Amendments are filed with the Secretary of State of the State of Delaware at the Annual Meeting: Anthony Bay, Brent Cox, Harry DeMott, Douglas Francis, Brenda Freeman, Glenn Ibbott, and Nick Rellas. Our stockholders will be asked to vote on this Nominee Alternative Proposal A only if the Declassification Charter Amendments in the Declassification Proposal are approved.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of Messrs. Bay, Francis and Ibbott and Ms. Freeman are currently directors who were previously elected by the stockholders. Each of Messrs. Cox, DeMott and Rellas are currently directors who were recommended for nomination to the Board by the Nominating and Corporate Governance Committee whose nominations were approved by the Board pursuant to the Bylaws. Our policy is to encourage directors and nominees for director to attend the Annual Meeting. None of the current directors attended the 2025 Annual Meeting of Stockholders.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represented by executed proxies will be voted, if authority to do so is not withheld, for the election of the seven nominees named in this Proposal No. 4a.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our stockholders do not approve Proposal No. 1, however, then we will not file the Declassification Charter Amendments with the Secretary of State of the State of Delaware to effect the declassification of the Board during the Annual Meeting as described under Proposal No. 1, and our stockholders will proceed to vote on Proposal No. 4b and not this Proposal No. 4a.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biographies and qualifications of the seven director nominees in this Proposal No. 4a are set forth below under the heading “Director Biographies and Qualifications.” </w:t>
      </w:r>
    </w:p>
    <w:p>
      <w:pPr>
        <w:pStyle w:val="TextBody"/>
        <w:bidi w:val="0"/>
        <w:spacing w:before="40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The Board Recommends a Vote “For” Each Named Nominee.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69089x2_def14a_110-prop4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72" w:name="tP4b"/>
      <w:bookmarkStart w:id="73" w:name="tPROP4b"/>
      <w:bookmarkEnd w:id="72"/>
      <w:bookmarkEnd w:id="73"/>
      <w:r>
        <w:rPr>
          <w:rFonts w:ascii="Arial;Helvetica;sans-serif" w:hAnsi="Arial;Helvetica;sans-serif"/>
          <w:color w:val="000000"/>
          <w:sz w:val="64"/>
        </w:rPr>
        <w:t xml:space="preserve">Proposal No. 4b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Election of Directors if Proposal No. 1 is not Approved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Currently, pursuant to our Certificate of Incorporation and Bylaws, the Board is divided into three classes, with only one class of directors being elected in each year and each class, Class I, Class II and Class III, serving a three-year term. Each Class II director has a term that expires at this Annual Meeting, each Class III director has a term that expires at the Company’s 2027 annual meeting of stockholders and each Class I director has a term that expires at the Company’s 2028 annual meeting of stockholders, or in each case until their respective successors are duly elected and qualified, or until their earlier death, disqualification, resignation, or removal.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until such director’s earlier death, disqualification, resignation or removal.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presently has seven members. There are three directors in the class whose term of office expires in 2026. Brenda Freeman is currently a director who was previously elected by the stockholders. Brent Cox and Harry DeMott are currently directors who were recommended for nomination to the Board by the Nominating and Corporate Governance Committee whose nominations were approved by the Board pursuant to the Bylaws. If elected at the Annual Meeting, each of these nominees would serve until the 2029 annual meeting and until his or her successor has been duly elected and qualified, or, if sooner, until the director’s death, disqualification, resignation or removal. Our stockholders will be asked to vote on this Nominee Alternative B Proposal only if the Declassification Charter Amendments in the Declassification Proposal are not approved. If our stockholders approve the Declassification Proposal, however, then we will file the Declassification Charter Amendments with the Secretary of State of the State of Delaware to effect the declassification of the Board during the Annual Meeting as described under the Declassification Proposal, and the stockholders will proceed to vote on the Nominee Alternative A Proposal and not this Nominee Alternative B Proposal.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represented by executed proxies will be voted, if authority to do so is not withheld, for the election of the three nominees named in this Proposal No. 4b.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October 2025, we adopted a Director Resignation Policy, pursuant to which any incumbent director nominee in an uncontested election, including a stockholder election conducted on an advisory basis, who does not receive a majority of the votes cast will promptly submit his or her resignation for consideration by the Nominating and Corporate Governance Committee and the Board. The Nominating and Corporate Governance Committee will make a recommendation to the Board as to whether to accept or reject the tendered resignation, or whether other actions should be taken. The Board will act on the tendered resignation, taking into account the Nominating and Corporate Governance Committee’s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in making its recommendation, and the Board in making its decision, may each consider any factors or other information that it considers appropriate and relevant. The director who tenders his or her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69089x2_def14a_110-prop4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resignation will not participate in the recommendation of the Nominating and Corporate Governance Committee or the decision of the Board with respect to his or her resignation. If such incumbent director’s resignation is not accepted by the Board, such director shall continue to serve until the next annual meeting and until his or her successor is duly elected, or his or her earlier resignation or removal.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biographies and qualifications of the three director nominees in this Proposal No. 4b are set forth below under the heading “Director Biographies and Qualifications.” </w:t>
      </w:r>
    </w:p>
    <w:p>
      <w:pPr>
        <w:pStyle w:val="TextBody"/>
        <w:bidi w:val="0"/>
        <w:spacing w:before="41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The Board Recommends a Vote “For” Each Named Nominee. </w:t>
      </w:r>
    </w:p>
    <w:p>
      <w:pPr>
        <w:pStyle w:val="TextBody"/>
        <w:bidi w:val="0"/>
        <w:spacing w:before="4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Biographies and Qualifications </w:t>
      </w:r>
    </w:p>
    <w:p>
      <w:pPr>
        <w:pStyle w:val="TextBody"/>
        <w:bidi w:val="0"/>
        <w:spacing w:before="27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brief biography of each nominee.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Class II Director Nominees for Election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Brenda Freeman</w:t>
      </w:r>
      <w:r>
        <w:rPr>
          <w:rFonts w:ascii="Arial;Helvetica;sans-serif" w:hAnsi="Arial;Helvetica;sans-serif"/>
          <w:i w:val="false"/>
          <w:caps w:val="false"/>
          <w:smallCaps w:val="false"/>
          <w:color w:val="000000"/>
          <w:sz w:val="18"/>
        </w:rPr>
        <w:t xml:space="preserve">. Ms. Freeman, age 61, has served as a member of the Board since June 2021. Ms. Freeman founded and has served as President of Joyeux Advisory Group LLC, a firm providing advisory services to early-stage startups and Fortune 500 companies, since January 2018. Since January 2025, Ms. Freeman has also served as fractional Chief Marketing Officer for Fearless Technology, a government contracting IT services company.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Caleres, Inc. since April 2017 and of Avnet, Inc. since November 2018. Ms. Freeman previously served on the board of directors of Blue Apron Holdings, Inc. from October 2020 to December 2023, Herman Miller, Inc. from January 2016 to June 2019 and on the board of directors of RTW Retailwinds, Inc. from April 2019 to April 2020. Ms. Freeman holds a B.S. degree in chemical engineering and an M.B.A degree from the University of Maryland.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Freeman was selected to serve on the Board based on her business experience and technology industry expertise.</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Brent Cox</w:t>
      </w:r>
      <w:r>
        <w:rPr>
          <w:rFonts w:ascii="Arial;Helvetica;sans-serif" w:hAnsi="Arial;Helvetica;sans-serif"/>
          <w:i w:val="false"/>
          <w:caps w:val="false"/>
          <w:smallCaps w:val="false"/>
          <w:color w:val="000000"/>
          <w:sz w:val="18"/>
        </w:rPr>
        <w:t xml:space="preserve">. Mr. Cox, age 43, has served as a member of our Board since February 2026. Mr. Cox is an experienced private equity investment professional, entrepreneur, and board advisor with a background in sourcing, executing and managing investments across multiple industries. He also serves as the Founder and Managing Principal of Subtext Holdings, a private investment firm, a position he has held since 2016. Mr. Cox is also currently serving as a director and Chief Executive Officer of Cambridge Acquisition Corp. (Nasdaq: CAQUU) since November 2025. Mr. Cox was a Co-Founder and Partner of The Inception Companies, a private investment firm also founded in 2016 with an emphasis on high-growth emerging markets and regulated industries. From September 2008 to April 2016, he served as a principal investor of the Yucaipa Companies, a private equity firm specializing in LBO's, rollups, and turnarounds, where he was responsible for sourcing, analyzing and executing investment opportunities, structuring financing for investments, and monitoring the performance and strategic initiatives of its portfolio companies. From 2006 to 2008, Mr. Cox served as an investment banking analyst in the Leveraged Finance Group of Jefferies &amp; Co., a multinational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ny20069089x2_def14a_110-prop4_pg4"/>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independent investment bank. Mr. Cox currently serves as a director and member of the compensation and audit committee at Ispire Technology (Nasdaq: ISPR) since April 2023. From April 2024 to August 2025, he served as a director and member of the nomination and audit committee of CleanCore Solutions, Inc. (NYSE: ZONE). Since January 2024, he has been serving as a director and audit committee at Viridescent Realty Trust, Inc. Mr. Cox previously served on the boards of Medmen Enterprises Inc. (OTC: MMNFF), The Pharm, LLC, Pacific Dutch Group, LLC, and has also served as a board observer for Soho House &amp; Co Inc. (NYSE: SHCO), Americold Realty Trust (NYSE: COLD), Versacold International Corp, Stephen Webster Limited, Garrard &amp; Co. Limited, and Eimskipafélag Íslands hf. (IC: EIM), since November 2025. Mr. Cox received a Bachelor of Science degree in Accounting from the University of Southern California.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Cox was selected to serve on the Board based on his professional experience in regulated business, including the cannabis business.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Harry DeMott</w:t>
      </w:r>
      <w:r>
        <w:rPr>
          <w:rFonts w:ascii="Arial;Helvetica;sans-serif" w:hAnsi="Arial;Helvetica;sans-serif"/>
          <w:i w:val="false"/>
          <w:caps w:val="false"/>
          <w:smallCaps w:val="false"/>
          <w:color w:val="000000"/>
          <w:sz w:val="18"/>
        </w:rPr>
        <w:t xml:space="preserve">. Mr. DeMott, age 59, has served as a member of our Board since February 2026. Mr. DeMott is an investor, operator, and board member with experience spanning cannabis and technology. Since February 2011, Mr. DeMott has served as a General Partner of Raptor Ventures, a venture capital investment firm, which he co-founded. Since November 2024, Mr. DeMott has also served as the Chief Executive Officer of Outsider Labs, Inc., an AI startup, which he also co-founded. Mr. DeMott has served on the board of directors of Security Point Media, an airport security checkpoint advertising company, since October 2013. Mr. DeMott previously founded and served as CEO of Proper, a data company focused on the cannabis industry, from December 2016 to September 2023, and as CEO of Australis Capital (AUSA), a spinoff of Aurora focused on U.S. cannabis, from September 2020 to January 2021. Mr. DeMott has also served on public-company boards including Workhorse Group Inc. (WKHS), from June 2019 to May 2023, where he chaired the compensation committee, and Achari Ventures Holdings Corp. (AVHIU), from January 2021 to September 2024, where he chaired the audit committee. He holds an A.B. in Economics from Princeton University and an M.B.A. from New York University’s Stern School of Business.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DeMott was selected to serve on the Board based on his executive leadership experience, his experience in the cannabis industry, and his prior board service at publicly-listed companies.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Class III Director Nominees for Election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Douglas Francis</w:t>
      </w:r>
      <w:r>
        <w:rPr>
          <w:rFonts w:ascii="Arial;Helvetica;sans-serif" w:hAnsi="Arial;Helvetica;sans-serif"/>
          <w:i w:val="false"/>
          <w:caps w:val="false"/>
          <w:smallCaps w:val="false"/>
          <w:color w:val="000000"/>
          <w:sz w:val="18"/>
        </w:rPr>
        <w:t xml:space="preserve">. Mr. Francis, age 48, has served as a member of the Board since June 2021, and our Chief Executive Officer since November 2024, and prior to that as our Executive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Francis was selected to serve on the Board based on his perspective, experience and institutional knowledge as WMH’s co-founder and his long tenure as WMH’s President and Chief Executive Officer.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Nick Rellas</w:t>
      </w:r>
      <w:r>
        <w:rPr>
          <w:rFonts w:ascii="Arial;Helvetica;sans-serif" w:hAnsi="Arial;Helvetica;sans-serif"/>
          <w:i w:val="false"/>
          <w:caps w:val="false"/>
          <w:smallCaps w:val="false"/>
          <w:color w:val="000000"/>
          <w:sz w:val="18"/>
        </w:rPr>
        <w:t xml:space="preserve">. Nick Rellas, age 36, has served as a member of Board since March 2026. Mr. Rellas brings extensive experience building and scaling consumer marketplaces in regulated industries. From founding to August 2018, Mr. Rellas served as the co-founder and CEO of Drizly, a retail-to-consumer alcohol e-commerce company, prior to its sale to Uber, which pioneered retail-to-consumer alcohol e-commerce prior to sale to Uber. Since November 2022, Mr. Rellas has served as the founder, CEO and as a director of Greater Industries Labs, Inc., a software company focused on developing deep-learning based, operations layer solutions for the wholesale distribution industry. Mr. Rellas holds a B.S. in Corporate Reporting and Analysis &amp; Finance from Boston College.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Rellas was selected to serve on the Board based on his executive leadership experience, including as chief executive officer, and his experience working in regulated industries.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69089x2_def14a_110-prop4_pg5"/>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Class I Directors Nominees for Election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Anthony Bay</w:t>
      </w:r>
      <w:r>
        <w:rPr>
          <w:rFonts w:ascii="Arial;Helvetica;sans-serif" w:hAnsi="Arial;Helvetica;sans-serif"/>
          <w:i w:val="false"/>
          <w:caps w:val="false"/>
          <w:smallCaps w:val="false"/>
          <w:color w:val="000000"/>
          <w:sz w:val="18"/>
        </w:rPr>
        <w:t xml:space="preserve">. Mr. Bay, age 70, has served as a member of the Board since March 2022. Prior to joining the Board, 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Bay was selected to serve on the Board based on his business experience as a founder, chief executive officer and various leadership positions of technology companies, and as a director of private and publicly-listed companies.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Glen Ibbott</w:t>
      </w:r>
      <w:r>
        <w:rPr>
          <w:rFonts w:ascii="Arial;Helvetica;sans-serif" w:hAnsi="Arial;Helvetica;sans-serif"/>
          <w:i w:val="false"/>
          <w:caps w:val="false"/>
          <w:smallCaps w:val="false"/>
          <w:color w:val="000000"/>
          <w:sz w:val="18"/>
        </w:rPr>
        <w:t xml:space="preserve">. Mr. Ibbott, age 63, has served as a member of the Board since October 2024. Since February 2024, Mr. Ibbott has served as the founder of GK Financial Ventures, a financial consulting company. From November 2025, Mr. Ibbott has also served as Chief Financial Officer of Rubicon Organics Inc., a publicly-traded Canadian cannabis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Ibbott was selected to serve on the Board based on his business experience as a chief financial officer and various leadership positions in publicly-listed companies, and his experience in the cannabis sector.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Former Directors who served in 2025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Tony Aquila served as a member of our Board from June 2021 until his resignation from the Board on September 2, 2025. Olga Gonzalez served as a member of our Board from June 2021 until her resignation from the Board on September 2, 2025. Scott Gordon served as a member of our Board from June 2021 until his resignation from the Board on April 6, 2026.</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69089x2_def14a_111-executive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78" w:name="tEXO"/>
      <w:bookmarkEnd w:id="78"/>
      <w:r>
        <w:rPr>
          <w:rFonts w:ascii="Arial;Helvetica;sans-serif" w:hAnsi="Arial;Helvetica;sans-serif"/>
          <w:color w:val="000000"/>
          <w:sz w:val="64"/>
        </w:rPr>
        <w:t xml:space="preserve">Executive Officers </w:t>
      </w:r>
    </w:p>
    <w:p>
      <w:pPr>
        <w:pStyle w:val="TextBody"/>
        <w:bidi w:val="0"/>
        <w:spacing w:before="3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certain information with respect to our current executive officers as of Tuesday, April 28, 2026. </w:t>
      </w:r>
    </w:p>
    <w:tbl>
      <w:tblPr>
        <w:tblW w:w="6900" w:type="dxa"/>
        <w:jc w:val="left"/>
        <w:tblInd w:w="0" w:type="dxa"/>
        <w:tblLayout w:type="fixed"/>
        <w:tblCellMar>
          <w:top w:w="0" w:type="dxa"/>
          <w:left w:w="0" w:type="dxa"/>
          <w:bottom w:w="0" w:type="dxa"/>
          <w:right w:w="0" w:type="dxa"/>
        </w:tblCellMar>
      </w:tblPr>
      <w:tblGrid>
        <w:gridCol w:w="185"/>
        <w:gridCol w:w="1490"/>
        <w:gridCol w:w="170"/>
        <w:gridCol w:w="170"/>
        <w:gridCol w:w="365"/>
        <w:gridCol w:w="170"/>
        <w:gridCol w:w="170"/>
        <w:gridCol w:w="3965"/>
        <w:gridCol w:w="215"/>
      </w:tblGrid>
      <w:tr>
        <w:trPr/>
        <w:tc>
          <w:tcPr>
            <w:tcW w:w="185"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6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96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9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Position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Executive Officers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48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Executive Officer and Chairperson of the Board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Susan Echard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61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Financial Officer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36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Technology Officer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General Counsel and Secretary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sets forth biographical information with respect to our executive officers who are not directors. The biography of Douglas Francis is set forth in ‘Proposal 4b – Election of Directors if Proposal No. 1 is not Approved” above.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Susan Echard</w:t>
      </w:r>
      <w:r>
        <w:rPr>
          <w:rFonts w:ascii="Arial;Helvetica;sans-serif" w:hAnsi="Arial;Helvetica;sans-serif"/>
          <w:b w:val="false"/>
          <w:color w:val="000000"/>
          <w:sz w:val="18"/>
        </w:rPr>
        <w:t xml:space="preserve">. Ms. Echard has served as Chief Financial Officer since November 2024 after having served as our Interim Chief Financial Officer from February 2024 through November 2024. Ms. Echard was a Partner at SeatonHill Partners, LP (“SeatonHill”) a CFO services firm until she joined us as an employee on January 29, 2026.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Sarah Griffis</w:t>
      </w:r>
      <w:r>
        <w:rPr>
          <w:rFonts w:ascii="Arial;Helvetica;sans-serif" w:hAnsi="Arial;Helvetica;sans-serif"/>
          <w:b w:val="false"/>
          <w:color w:val="000000"/>
          <w:sz w:val="18"/>
        </w:rPr>
        <w:t xml:space="preserve">. Ms. Griffis has served as our Chief Technology Officer since January 2025. Prior to joining, Ms. Griffis served as Chief Technology Officer for Cerebral Inc., a healthcare company, from January 2022 to December 2024 and as Director of Engineering for GoodRx, a healthcare company, from May 2020 to January 2022. Ms. Griffis was also a founding member and Head of Engineering for Kindbody, a healthcare company, from July 2018 to May 2020. Ms. Griffis holds a B.S. in Environmental and Science Engineering from the California Institute of Technology.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Brian Camire</w:t>
      </w:r>
      <w:r>
        <w:rPr>
          <w:rFonts w:ascii="Arial;Helvetica;sans-serif" w:hAnsi="Arial;Helvetica;sans-serif"/>
          <w:b w:val="false"/>
          <w:color w:val="000000"/>
          <w:sz w:val="18"/>
        </w:rPr>
        <w:t xml:space="preserve">. Mr. Camire has served as our General Counsel and Secretary since June 2021. Mr. Camire 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69089x2_def14a_111-executive_pg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80" w:name="tSOO"/>
      <w:bookmarkEnd w:id="80"/>
      <w:r>
        <w:rPr>
          <w:rFonts w:ascii="Arial;Helvetica;sans-serif" w:hAnsi="Arial;Helvetica;sans-serif"/>
          <w:color w:val="000000"/>
          <w:sz w:val="64"/>
        </w:rPr>
        <w:t xml:space="preserve">Security Ownership of Certain Beneficial Owners and Management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known to us regarding the beneficial ownership of our Common Stock as of April 15, 2026,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each person who is known by us to be the beneficial owner of more than 5% of the outstanding shares of our Class A Common Stock and Class V Common Stock; </w:t>
            </w:r>
          </w:p>
        </w:tc>
      </w:tr>
    </w:tbl>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each of our current Named Executive Officers and directors; and </w:t>
            </w:r>
          </w:p>
        </w:tc>
      </w:tr>
    </w:tbl>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all of our current executive officers and directors, as a group.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beneficial ownership percentages set forth in the table below are based on 159,228,945 shares of our Class A Common Stock and Class V Common Stock issued and outstanding as of Wednesday, April 15, 2026 and do not take into account the issuance of any shares of Class A Common Stock upon (i) the exercise of 19,499,973 Warrants to purchase an aggregate of 19,499,973 shares of Class A Common Stock or (ii) the exchange of 13,803,732 Class P Units for up to 13,803,732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Unless otherwise noted in the footnotes to the following table, and subject to applicable community property laws, the persons and entities named in the table, to the best of our knowledge, have sole voting and investment power with respect to their beneficially owned shares of our Common Stock.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69089x2_def14a_111-executive_pg3"/>
        <w:bookmarkEnd w:id="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3082"/>
        <w:gridCol w:w="170"/>
        <w:gridCol w:w="170"/>
        <w:gridCol w:w="1237"/>
        <w:gridCol w:w="170"/>
        <w:gridCol w:w="170"/>
        <w:gridCol w:w="819"/>
        <w:gridCol w:w="170"/>
        <w:gridCol w:w="170"/>
        <w:gridCol w:w="1237"/>
        <w:gridCol w:w="170"/>
        <w:gridCol w:w="170"/>
        <w:gridCol w:w="819"/>
        <w:gridCol w:w="170"/>
        <w:gridCol w:w="170"/>
        <w:gridCol w:w="909"/>
        <w:gridCol w:w="217"/>
      </w:tblGrid>
      <w:tr>
        <w:trPr/>
        <w:tc>
          <w:tcPr>
            <w:tcW w:w="185" w:type="dxa"/>
            <w:tcBorders/>
            <w:shd w:fill="000000" w:val="clear"/>
            <w:vAlign w:val="center"/>
          </w:tcPr>
          <w:p>
            <w:pPr>
              <w:pStyle w:val="TableContents"/>
              <w:bidi w:val="0"/>
              <w:spacing w:before="0" w:after="0"/>
              <w:jc w:val="left"/>
              <w:rPr/>
            </w:pPr>
            <w:r>
              <w:rPr/>
              <w:t> </w:t>
            </w:r>
          </w:p>
        </w:tc>
        <w:tc>
          <w:tcPr>
            <w:tcW w:w="308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9"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082"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A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Owned</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A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V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Owned</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V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Combined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Power</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Directors and Named Executive Officers: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350,580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Brent Cox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Harry DeMott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r>
              <w:rPr>
                <w:rFonts w:ascii="Arial;Helvetica;sans-serif" w:hAnsi="Arial;Helvetica;sans-serif"/>
                <w:b/>
                <w:color w:val="40C0C0"/>
                <w:position w:val="5"/>
                <w:sz w:val="13"/>
                <w:sz w:val="16"/>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 xml:space="preserve">6,296,586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 xml:space="preserve">5.6%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 xml:space="preserve">22,970,182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rFonts w:ascii="Arial;Helvetica;sans-serif" w:hAnsi="Arial;Helvetica;sans-serif"/>
                <w:color w:val="000000"/>
                <w:sz w:val="16"/>
              </w:rPr>
            </w:pPr>
            <w:r>
              <w:rPr>
                <w:rFonts w:ascii="Arial;Helvetica;sans-serif" w:hAnsi="Arial;Helvetica;sans-serif"/>
                <w:color w:val="000000"/>
                <w:sz w:val="16"/>
              </w:rPr>
              <w:t xml:space="preserve">48.0%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18.3%</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276,442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Glen Ibbott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117,845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 xml:space="preserve">Nick Rellas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928,692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082" w:type="dxa"/>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478,968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9" w:type="dxa"/>
            <w:tcBorders>
              <w:bottom w:val="single" w:sz="8" w:space="0" w:color="000000"/>
            </w:tcBorders>
            <w:tcMar>
              <w:bottom w:w="133"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082" w:type="dxa"/>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All Directors and Current Executive Officers of </w:t>
            </w:r>
          </w:p>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the Company as a Group (10 Individuals)</w:t>
            </w:r>
            <w:r>
              <w:rPr>
                <w:rFonts w:ascii="Arial;Helvetica;sans-serif" w:hAnsi="Arial;Helvetica;sans-serif"/>
                <w:b/>
                <w:color w:val="000000"/>
                <w:position w:val="5"/>
                <w:sz w:val="13"/>
                <w:sz w:val="16"/>
              </w:rPr>
              <w:t>(5)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8,450,113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7.5%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22,970,182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03" w:right="0" w:hanging="0"/>
              <w:jc w:val="left"/>
              <w:rPr>
                <w:rFonts w:ascii="Arial;Helvetica;sans-serif" w:hAnsi="Arial;Helvetica;sans-serif"/>
                <w:color w:val="000000"/>
                <w:sz w:val="16"/>
              </w:rPr>
            </w:pPr>
            <w:r>
              <w:rPr>
                <w:rFonts w:ascii="Arial;Helvetica;sans-serif" w:hAnsi="Arial;Helvetica;sans-serif"/>
                <w:color w:val="000000"/>
                <w:sz w:val="16"/>
              </w:rPr>
              <w:t>48.0%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9" w:type="dxa"/>
            <w:tcBorders>
              <w:bottom w:val="single" w:sz="8" w:space="0" w:color="000000"/>
            </w:tcBorders>
            <w:tcMar>
              <w:bottom w:w="133"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 xml:space="preserve">19.6%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082" w:type="dxa"/>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Five Percent Holders: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366"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96"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273"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03"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9" w:type="dxa"/>
            <w:tcBorders>
              <w:bottom w:val="single" w:sz="8" w:space="0" w:color="000000"/>
            </w:tcBorders>
            <w:tcMar>
              <w:bottom w:w="133" w:type="dxa"/>
            </w:tcMar>
            <w:vAlign w:val="center"/>
          </w:tcPr>
          <w:p>
            <w:pPr>
              <w:pStyle w:val="TableContents"/>
              <w:bidi w:val="0"/>
              <w:spacing w:before="0" w:after="283"/>
              <w:ind w:left="285" w:right="0" w:hanging="0"/>
              <w:jc w:val="left"/>
              <w:rPr>
                <w:color w:val="000000"/>
              </w:rPr>
            </w:pPr>
            <w:r>
              <w:rPr>
                <w:color w:val="000000"/>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Ghost Media Group, LLC</w:t>
            </w:r>
            <w:r>
              <w:rPr>
                <w:rFonts w:ascii="Arial;Helvetica;sans-serif" w:hAnsi="Arial;Helvetica;sans-serif"/>
                <w:b/>
                <w:color w:val="40C0C0"/>
                <w:position w:val="5"/>
                <w:sz w:val="13"/>
                <w:sz w:val="16"/>
              </w:rPr>
              <w:t>(4)(6)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8,469,191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rFonts w:ascii="Arial;Helvetica;sans-serif" w:hAnsi="Arial;Helvetica;sans-serif"/>
                <w:color w:val="000000"/>
                <w:sz w:val="16"/>
              </w:rPr>
            </w:pPr>
            <w:r>
              <w:rPr>
                <w:rFonts w:ascii="Arial;Helvetica;sans-serif" w:hAnsi="Arial;Helvetica;sans-serif"/>
                <w:color w:val="000000"/>
                <w:sz w:val="16"/>
              </w:rPr>
              <w:t>17.7%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5.3%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Morgan Stanley</w:t>
            </w:r>
            <w:r>
              <w:rPr>
                <w:rFonts w:ascii="Arial;Helvetica;sans-serif" w:hAnsi="Arial;Helvetica;sans-serif"/>
                <w:b/>
                <w:color w:val="40C0C0"/>
                <w:position w:val="5"/>
                <w:sz w:val="13"/>
                <w:sz w:val="16"/>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5,647,358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5.1%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3.5%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Justin Hartfield</w:t>
            </w:r>
            <w:r>
              <w:rPr>
                <w:rFonts w:ascii="Arial;Helvetica;sans-serif" w:hAnsi="Arial;Helvetica;sans-serif"/>
                <w:b/>
                <w:color w:val="40C0C0"/>
                <w:position w:val="5"/>
                <w:sz w:val="13"/>
                <w:sz w:val="16"/>
              </w:rPr>
              <w:t>(6)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28"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61,679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28"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29,318,217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28" w:type="dxa"/>
            </w:tcMar>
            <w:vAlign w:val="center"/>
          </w:tcPr>
          <w:p>
            <w:pPr>
              <w:pStyle w:val="TableContents"/>
              <w:bidi w:val="0"/>
              <w:spacing w:before="0" w:after="283"/>
              <w:ind w:left="203" w:right="0" w:hanging="0"/>
              <w:jc w:val="left"/>
              <w:rPr>
                <w:color w:val="000000"/>
              </w:rPr>
            </w:pPr>
            <w:r>
              <w:rPr>
                <w:color w:val="000000"/>
              </w:rPr>
              <w:t>​</w:t>
            </w:r>
            <w:r>
              <w:rPr>
                <w:rFonts w:ascii="Arial;Helvetica;sans-serif" w:hAnsi="Arial;Helvetica;sans-serif"/>
                <w:color w:val="000000"/>
                <w:sz w:val="16"/>
              </w:rPr>
              <w:t>61.3%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28"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18.5%</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330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Represents beneficial ownership of less than 1%. </w:t>
            </w:r>
          </w:p>
        </w:tc>
      </w:tr>
    </w:tbl>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87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Unless otherwise noted, the business address of each of the following entities or individuals is 41 Discovery, Irvine, California 92618.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6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 </w:t>
            </w:r>
          </w:p>
        </w:tc>
      </w:tr>
    </w:tbl>
    <w:tbl>
      <w:tblPr>
        <w:tblW w:w="9445" w:type="dxa"/>
        <w:jc w:val="left"/>
        <w:tblInd w:w="0" w:type="dxa"/>
        <w:tblLayout w:type="fixed"/>
        <w:tblCellMar>
          <w:top w:w="0" w:type="dxa"/>
          <w:left w:w="0" w:type="dxa"/>
          <w:bottom w:w="0" w:type="dxa"/>
          <w:right w:w="0" w:type="dxa"/>
        </w:tblCellMar>
      </w:tblPr>
      <w:tblGrid>
        <w:gridCol w:w="170"/>
        <w:gridCol w:w="927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927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Represents percentage of voting power of the holders of Class A Common Stock and Class V Common Stock voting together as a single class.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7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number of Class V Common Stock beneficially owned includes 3,740,393 shares of Class V Common Stock held by Mr. Francis, 8,691,425 shares of Class V Common Stock held by Rebecca Francis Legacy Trust,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6,296,586 shares of Class A Common Stock held by Mr. Francis include 361,865 shares of underlying restricted stock units (“RSUs”) that vest within 60 days of April 15, 2026.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6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Class A Common shares consist of (i) 7,775,293 shares held of record by our current executive officers and directors, and (ii) 674,820 shares issuable upon the vesting of RSUs within 60 days of April 15, 2026.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69089x2_def14a_111-executive_pg4"/>
        <w:bookmarkEnd w:id="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5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Based solely on information obtained from a Schedule 13G/A filed by Morgan Stanley on May 7, 2025, includes 5,647,358 shares of Class A Common Stock. The business address of the reporting person is 1585 Broadway, New York, NY 10036. </w:t>
            </w:r>
          </w:p>
        </w:tc>
      </w:tr>
    </w:tbl>
    <w:p>
      <w:pPr>
        <w:pStyle w:val="TextBody"/>
        <w:bidi w:val="0"/>
        <w:spacing w:before="38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Equity Compensation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summarizes information about our equity compensation plans as of December 31, 2025. Information is included for equity compensation plans approved by our stockholders. We do not have any non-stockholder approved equity compensation plans. </w:t>
      </w:r>
    </w:p>
    <w:tbl>
      <w:tblPr>
        <w:tblW w:w="10205" w:type="dxa"/>
        <w:jc w:val="left"/>
        <w:tblInd w:w="0" w:type="dxa"/>
        <w:tblLayout w:type="fixed"/>
        <w:tblCellMar>
          <w:top w:w="0" w:type="dxa"/>
          <w:left w:w="0" w:type="dxa"/>
          <w:bottom w:w="0" w:type="dxa"/>
          <w:right w:w="0" w:type="dxa"/>
        </w:tblCellMar>
      </w:tblPr>
      <w:tblGrid>
        <w:gridCol w:w="185"/>
        <w:gridCol w:w="3910"/>
        <w:gridCol w:w="170"/>
        <w:gridCol w:w="170"/>
        <w:gridCol w:w="1436"/>
        <w:gridCol w:w="170"/>
        <w:gridCol w:w="170"/>
        <w:gridCol w:w="1511"/>
        <w:gridCol w:w="170"/>
        <w:gridCol w:w="170"/>
        <w:gridCol w:w="1927"/>
        <w:gridCol w:w="216"/>
      </w:tblGrid>
      <w:tr>
        <w:trPr/>
        <w:tc>
          <w:tcPr>
            <w:tcW w:w="185" w:type="dxa"/>
            <w:tcBorders/>
            <w:shd w:fill="000000" w:val="clear"/>
            <w:vAlign w:val="center"/>
          </w:tcPr>
          <w:p>
            <w:pPr>
              <w:pStyle w:val="TableContents"/>
              <w:bidi w:val="0"/>
              <w:spacing w:before="0" w:after="0"/>
              <w:jc w:val="left"/>
              <w:rPr/>
            </w:pPr>
            <w:r>
              <w:rPr/>
              <w:t> </w:t>
            </w:r>
          </w:p>
        </w:tc>
        <w:tc>
          <w:tcPr>
            <w:tcW w:w="39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1"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27"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91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6"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Number of shares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to be issued upon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exercise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outstanding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and rights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1"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Weighted-average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exercise price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of outstanding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and rights</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27"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Number of shares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future issuance under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equity compensation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plans (excluding shares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reflected in column (a))</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910" w:type="dxa"/>
            <w:tcBorders/>
            <w:shd w:fill="000000" w:val="clear"/>
            <w:vAlign w:val="center"/>
          </w:tcPr>
          <w:p>
            <w:pPr>
              <w:pStyle w:val="TableContents"/>
              <w:bidi w:val="0"/>
              <w:spacing w:before="0" w:after="283"/>
              <w:ind w:left="8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1"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27"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Equity compensation plan approved by stockholders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36" w:type="dxa"/>
            <w:tcBorders>
              <w:bottom w:val="single" w:sz="8" w:space="0" w:color="999999"/>
            </w:tcBorders>
            <w:tcMar>
              <w:bottom w:w="128" w:type="dxa"/>
            </w:tcMar>
            <w:vAlign w:val="center"/>
          </w:tcPr>
          <w:p>
            <w:pPr>
              <w:pStyle w:val="TableContents"/>
              <w:bidi w:val="0"/>
              <w:spacing w:before="0" w:after="283"/>
              <w:ind w:left="452" w:right="0" w:hanging="0"/>
              <w:jc w:val="left"/>
              <w:rPr>
                <w:color w:val="000000"/>
              </w:rPr>
            </w:pPr>
            <w:r>
              <w:rPr>
                <w:color w:val="000000"/>
              </w:rPr>
              <w:t>​</w:t>
            </w:r>
            <w:r>
              <w:rPr>
                <w:rFonts w:ascii="Arial;Helvetica;sans-serif" w:hAnsi="Arial;Helvetica;sans-serif"/>
                <w:color w:val="000000"/>
                <w:sz w:val="16"/>
              </w:rPr>
              <w:t>12,258,357</w:t>
            </w:r>
            <w:r>
              <w:rPr>
                <w:rFonts w:ascii="Arial;Helvetica;sans-serif" w:hAnsi="Arial;Helvetica;sans-serif"/>
                <w:color w:val="00000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11" w:type="dxa"/>
            <w:tcBorders>
              <w:bottom w:val="single" w:sz="8" w:space="0" w:color="999999"/>
            </w:tcBorders>
            <w:tcMar>
              <w:bottom w:w="128" w:type="dxa"/>
            </w:tcMar>
            <w:vAlign w:val="center"/>
          </w:tcPr>
          <w:p>
            <w:pPr>
              <w:pStyle w:val="TableContents"/>
              <w:bidi w:val="0"/>
              <w:spacing w:before="0" w:after="283"/>
              <w:ind w:left="110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927" w:type="dxa"/>
            <w:tcBorders>
              <w:bottom w:val="single" w:sz="8" w:space="0" w:color="999999"/>
            </w:tcBorders>
            <w:tcMar>
              <w:bottom w:w="128" w:type="dxa"/>
            </w:tcMar>
            <w:vAlign w:val="center"/>
          </w:tcPr>
          <w:p>
            <w:pPr>
              <w:pStyle w:val="TableContents"/>
              <w:bidi w:val="0"/>
              <w:spacing w:before="0" w:after="283"/>
              <w:ind w:left="943" w:right="0" w:hanging="0"/>
              <w:jc w:val="left"/>
              <w:rPr>
                <w:color w:val="000000"/>
              </w:rPr>
            </w:pPr>
            <w:r>
              <w:rPr>
                <w:color w:val="000000"/>
              </w:rPr>
              <w:t>​</w:t>
            </w:r>
            <w:r>
              <w:rPr>
                <w:rFonts w:ascii="Arial;Helvetica;sans-serif" w:hAnsi="Arial;Helvetica;sans-serif"/>
                <w:color w:val="000000"/>
                <w:sz w:val="16"/>
              </w:rPr>
              <w:t>31,295,538</w:t>
            </w:r>
            <w:r>
              <w:rPr>
                <w:rFonts w:ascii="Arial;Helvetica;sans-serif" w:hAnsi="Arial;Helvetica;sans-serif"/>
                <w:color w:val="000000"/>
                <w:position w:val="5"/>
                <w:sz w:val="13"/>
                <w:sz w:val="16"/>
              </w:rPr>
              <w:t>(4)</w:t>
            </w:r>
            <w:r>
              <w:rPr>
                <w:rFonts w:ascii="Arial;Helvetica;sans-serif" w:hAnsi="Arial;Helvetica;sans-serif"/>
                <w:color w:val="000000"/>
                <w:sz w:val="16"/>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Equity compensation plan not approved by stockholders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36" w:type="dxa"/>
            <w:tcBorders>
              <w:bottom w:val="single" w:sz="8" w:space="0" w:color="999999"/>
            </w:tcBorders>
            <w:tcMar>
              <w:bottom w:w="128" w:type="dxa"/>
            </w:tcMar>
            <w:vAlign w:val="center"/>
          </w:tcPr>
          <w:p>
            <w:pPr>
              <w:pStyle w:val="TableContents"/>
              <w:bidi w:val="0"/>
              <w:spacing w:before="0" w:after="283"/>
              <w:ind w:left="45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11" w:type="dxa"/>
            <w:tcBorders>
              <w:bottom w:val="single" w:sz="8" w:space="0" w:color="999999"/>
            </w:tcBorders>
            <w:tcMar>
              <w:bottom w:w="128" w:type="dxa"/>
            </w:tcMar>
            <w:vAlign w:val="center"/>
          </w:tcPr>
          <w:p>
            <w:pPr>
              <w:pStyle w:val="TableContents"/>
              <w:bidi w:val="0"/>
              <w:spacing w:before="0" w:after="283"/>
              <w:ind w:left="110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927" w:type="dxa"/>
            <w:tcBorders>
              <w:bottom w:val="single" w:sz="8" w:space="0" w:color="999999"/>
            </w:tcBorders>
            <w:tcMar>
              <w:bottom w:w="128" w:type="dxa"/>
            </w:tcMar>
            <w:vAlign w:val="center"/>
          </w:tcPr>
          <w:p>
            <w:pPr>
              <w:pStyle w:val="TableContents"/>
              <w:bidi w:val="0"/>
              <w:spacing w:before="0" w:after="283"/>
              <w:ind w:left="943" w:right="0" w:hanging="0"/>
              <w:jc w:val="left"/>
              <w:rPr>
                <w:color w:val="000000"/>
              </w:rPr>
            </w:pPr>
            <w:r>
              <w:rPr>
                <w:color w:val="000000"/>
              </w:rPr>
              <w:t>—</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6" w:type="dxa"/>
            <w:tcBorders/>
            <w:vAlign w:val="center"/>
          </w:tcPr>
          <w:p>
            <w:pPr>
              <w:pStyle w:val="TableContents"/>
              <w:bidi w:val="0"/>
              <w:spacing w:before="0" w:after="283"/>
              <w:ind w:left="452" w:right="0" w:hanging="0"/>
              <w:jc w:val="left"/>
              <w:rPr>
                <w:color w:val="000000"/>
              </w:rPr>
            </w:pPr>
            <w:r>
              <w:rPr>
                <w:color w:val="000000"/>
              </w:rPr>
              <w:t>​</w:t>
            </w:r>
            <w:r>
              <w:rPr>
                <w:rFonts w:ascii="Arial;Helvetica;sans-serif" w:hAnsi="Arial;Helvetica;sans-serif"/>
                <w:color w:val="000000"/>
                <w:sz w:val="16"/>
              </w:rPr>
              <w:t>12,258,357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283"/>
              <w:ind w:left="110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283"/>
              <w:ind w:left="943" w:right="0" w:hanging="0"/>
              <w:jc w:val="left"/>
              <w:rPr>
                <w:color w:val="000000"/>
              </w:rPr>
            </w:pPr>
            <w:r>
              <w:rPr>
                <w:color w:val="000000"/>
              </w:rPr>
              <w:t>​</w:t>
            </w:r>
            <w:r>
              <w:rPr>
                <w:rFonts w:ascii="Arial;Helvetica;sans-serif" w:hAnsi="Arial;Helvetica;sans-serif"/>
                <w:color w:val="000000"/>
                <w:sz w:val="16"/>
              </w:rPr>
              <w:t>31,295,538</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number of shares to be issued upon exercise of outstanding options, warrants and rights includes shares that will be issued upon the vesting of outstanding RSU awards of 7,915,966 shares and performance based restricted stock units (“PRSUs”) awards of 4,342,391 shares.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5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weighted-average exercise price of outstanding options, warrants and rights does not reflect the shares that will be issued upon the vesting of outstanding awards of RSUs and PRSUs, which have no exercise price.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Our 2021 Equity Plan provides that on the first day of each fiscal year beginning with the 2022 fiscal year, the number of shares of Class A Common stock reserved for issuance under the 2021 Equity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5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number consists of 22,856,490 shares of our common stock reserved for issuance under our 2021 Equity Plan and 8,439,048 shares of our common stock reserved for issuance under our 2021 Employee Stock Purchase Plan.</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69089x2_def14a_112-execomp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84" w:name="tEXC"/>
      <w:bookmarkEnd w:id="84"/>
      <w:r>
        <w:rPr>
          <w:rFonts w:ascii="Arial;Helvetica;sans-serif" w:hAnsi="Arial;Helvetica;sans-serif"/>
          <w:color w:val="000000"/>
          <w:sz w:val="64"/>
        </w:rPr>
        <w:t xml:space="preserve">Executive Compensation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2025 compensation program for our Named Executive Officers.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for the year ended December 31, 2025, are: </w:t>
      </w:r>
    </w:p>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Douglas Francis, our principal executive officer and Chairperson of the Board </w:t>
            </w:r>
          </w:p>
        </w:tc>
      </w:tr>
    </w:tbl>
    <w:tbl>
      <w:tblPr>
        <w:tblW w:w="4330" w:type="dxa"/>
        <w:jc w:val="left"/>
        <w:tblInd w:w="0" w:type="dxa"/>
        <w:tblLayout w:type="fixed"/>
        <w:tblCellMar>
          <w:top w:w="0" w:type="dxa"/>
          <w:left w:w="0" w:type="dxa"/>
          <w:bottom w:w="0" w:type="dxa"/>
          <w:right w:w="0" w:type="dxa"/>
        </w:tblCellMar>
      </w:tblPr>
      <w:tblGrid>
        <w:gridCol w:w="140"/>
        <w:gridCol w:w="4190"/>
      </w:tblGrid>
      <w:tr>
        <w:trPr/>
        <w:tc>
          <w:tcPr>
            <w:tcW w:w="14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Brian Camire, our General Counsel and Secretary </w:t>
            </w:r>
          </w:p>
        </w:tc>
      </w:tr>
    </w:tbl>
    <w:tbl>
      <w:tblPr>
        <w:tblW w:w="3685" w:type="dxa"/>
        <w:jc w:val="left"/>
        <w:tblInd w:w="0" w:type="dxa"/>
        <w:tblLayout w:type="fixed"/>
        <w:tblCellMar>
          <w:top w:w="0" w:type="dxa"/>
          <w:left w:w="0" w:type="dxa"/>
          <w:bottom w:w="0" w:type="dxa"/>
          <w:right w:w="0" w:type="dxa"/>
        </w:tblCellMar>
      </w:tblPr>
      <w:tblGrid>
        <w:gridCol w:w="140"/>
        <w:gridCol w:w="3545"/>
      </w:tblGrid>
      <w:tr>
        <w:trPr/>
        <w:tc>
          <w:tcPr>
            <w:tcW w:w="14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Sarah Griffis, our Chief Technology Officer </w:t>
            </w:r>
          </w:p>
        </w:tc>
      </w:tr>
    </w:tbl>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Relationship Between Pay and Performance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emphasize variable compensation that appropriately rewards our Named Executive Officers through two separate compensation elements: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First, we provide the opportunity for our Named Executive Officers to receive annual cash bonus payments based on corporate and individual performance. The Compensation Committee approved performance cash bonuses for 2025 that provided our Named Executive Officers with cash bonus payments based on the short-term financial, operational, and strategic results that met pre-established corporate performance goals established by management and included the evaluation of individual contributions in achieving those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69089x2_def14a_112-execomp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2025, approximately 50% of our Chief Executive Officer’s target total direct compensation and approximately 33%, on average, of Mr. Camire’s and Ms. Griffis’ target total direct compensation consisted of variable, “at-risk” compensation. For additional information, see “—Executive Employment Arrangements” below.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Executive Compensation Policies and Practices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2025: </w:t>
      </w:r>
    </w:p>
    <w:tbl>
      <w:tblPr>
        <w:tblW w:w="10205" w:type="dxa"/>
        <w:jc w:val="left"/>
        <w:tblInd w:w="0" w:type="dxa"/>
        <w:tblLayout w:type="fixed"/>
        <w:tblCellMar>
          <w:top w:w="0" w:type="dxa"/>
          <w:left w:w="0" w:type="dxa"/>
          <w:bottom w:w="0" w:type="dxa"/>
          <w:right w:w="0" w:type="dxa"/>
        </w:tblCellMar>
      </w:tblPr>
      <w:tblGrid>
        <w:gridCol w:w="187"/>
        <w:gridCol w:w="170"/>
        <w:gridCol w:w="170"/>
        <w:gridCol w:w="3796"/>
        <w:gridCol w:w="170"/>
        <w:gridCol w:w="170"/>
        <w:gridCol w:w="170"/>
        <w:gridCol w:w="172"/>
        <w:gridCol w:w="170"/>
        <w:gridCol w:w="170"/>
        <w:gridCol w:w="4643"/>
        <w:gridCol w:w="217"/>
      </w:tblGrid>
      <w:tr>
        <w:trPr/>
        <w:tc>
          <w:tcPr>
            <w:tcW w:w="4323" w:type="dxa"/>
            <w:gridSpan w:val="4"/>
            <w:tcBorders/>
            <w:shd w:fill="40C0C0" w:val="clear"/>
            <w:vAlign w:val="center"/>
          </w:tcPr>
          <w:p>
            <w:pPr>
              <w:pStyle w:val="TableContents"/>
              <w:bidi w:val="0"/>
              <w:spacing w:before="0" w:after="0"/>
              <w:jc w:val="left"/>
              <w:rPr/>
            </w:pPr>
            <w:r>
              <w:rPr/>
              <w:t> </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5" w:type="dxa"/>
            <w:gridSpan w:val="4"/>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4323" w:type="dxa"/>
            <w:gridSpan w:val="4"/>
            <w:tcBorders/>
            <w:shd w:fill="40C0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WHAT WE DO</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FFFFFF"/>
              </w:rPr>
            </w:pPr>
            <w:r>
              <w:rPr>
                <w:color w:val="FFFFFF"/>
              </w:rPr>
              <w:t> </w:t>
            </w:r>
          </w:p>
        </w:tc>
        <w:tc>
          <w:tcPr>
            <w:tcW w:w="5155"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WHAT WE DON’T DO </w:t>
            </w:r>
          </w:p>
        </w:tc>
        <w:tc>
          <w:tcPr>
            <w:tcW w:w="217" w:type="dxa"/>
            <w:tcBorders/>
            <w:shd w:fill="000000" w:val="clear"/>
            <w:vAlign w:val="center"/>
          </w:tcPr>
          <w:p>
            <w:pPr>
              <w:pStyle w:val="TableContents"/>
              <w:bidi w:val="0"/>
              <w:spacing w:before="0" w:after="0"/>
              <w:jc w:val="left"/>
              <w:rPr/>
            </w:pPr>
            <w:r>
              <w:rPr/>
              <w:t> </w:t>
            </w:r>
          </w:p>
        </w:tc>
      </w:tr>
      <w:tr>
        <w:trPr/>
        <w:tc>
          <w:tcPr>
            <w:tcW w:w="187" w:type="dxa"/>
            <w:tcBorders>
              <w:bottom w:val="single" w:sz="8" w:space="0" w:color="999999"/>
            </w:tcBorders>
            <w:tcMar>
              <w:bottom w:w="88" w:type="dxa"/>
            </w:tcMar>
            <w:vAlign w:val="center"/>
          </w:tcPr>
          <w:p>
            <w:pPr>
              <w:pStyle w:val="TableContents"/>
              <w:bidi w:val="0"/>
              <w:spacing w:before="6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88" w:type="dxa"/>
            </w:tcMar>
            <w:vAlign w:val="center"/>
          </w:tcPr>
          <w:p>
            <w:pPr>
              <w:pStyle w:val="TableContents"/>
              <w:bidi w:val="0"/>
              <w:spacing w:before="6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Maintain Independent Compensation Committee.</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60" w:after="283"/>
              <w:ind w:left="0" w:right="0" w:hanging="0"/>
              <w:jc w:val="left"/>
              <w:rPr>
                <w:color w:val="000000"/>
              </w:rPr>
            </w:pPr>
            <w:r>
              <w:rPr>
                <w:color w:val="000000"/>
              </w:rPr>
              <w:t> </w:t>
            </w:r>
          </w:p>
        </w:tc>
        <w:tc>
          <w:tcPr>
            <w:tcW w:w="172" w:type="dxa"/>
            <w:tcBorders>
              <w:bottom w:val="single" w:sz="8" w:space="0" w:color="999999"/>
            </w:tcBorders>
            <w:tcMar>
              <w:bottom w:w="88" w:type="dxa"/>
            </w:tcMar>
            <w:vAlign w:val="center"/>
          </w:tcPr>
          <w:p>
            <w:pPr>
              <w:pStyle w:val="TableContents"/>
              <w:bidi w:val="0"/>
              <w:spacing w:before="6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643" w:type="dxa"/>
            <w:tcBorders>
              <w:bottom w:val="single" w:sz="8" w:space="0" w:color="999999"/>
            </w:tcBorders>
            <w:tcMar>
              <w:bottom w:w="88" w:type="dxa"/>
            </w:tcMar>
            <w:vAlign w:val="center"/>
          </w:tcPr>
          <w:p>
            <w:pPr>
              <w:pStyle w:val="TableContents"/>
              <w:bidi w:val="0"/>
              <w:spacing w:before="6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 Executive Officer Retirement Plans.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We do not 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7"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Retain an Independent Compensation Consultant.</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In 2025, the Compensation Committee engaged its own compensation consultant to provide information, analysis, and other advice on compensation matters independent of management. This compensation consultant performed no other services for us during 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643"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Limited Executive Officer Perquisites.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We generally provide benefits to our Named Executive Officers on the same basis as provided to all of our employees, including health, dental and vision insurance; accidental death and dismemberment insurance; disability insurance; and a tax-qualified Section 401(k) plan.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7"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Annual Executive Compensation Review.</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The Compensation Committee reviews and approves our compensation strategy and policies planned to be done annually, including review and approval of the 2025 short-term incentive awards for executive officers.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643"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 Tax Payments on Change-in-Control Arrangements.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We do not provide any excise tax reimbursement payments (including “gross-ups”) on payments or benefits that are contingent upon a change-in-control of the Company.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7" w:type="dxa"/>
            <w:tcBorders>
              <w:bottom w:val="single" w:sz="8" w:space="0" w:color="999999"/>
            </w:tcBorders>
            <w:tcMar>
              <w:bottom w:w="93"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93"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Compensation “At-Risk.”</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Other than the 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bottom w:val="single" w:sz="8" w:space="0" w:color="000000"/>
            </w:tcBorders>
            <w:tcMar>
              <w:bottom w:w="93"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43" w:type="dxa"/>
            <w:tcBorders>
              <w:bottom w:val="single" w:sz="8" w:space="0" w:color="000000"/>
            </w:tcBorders>
            <w:tcMar>
              <w:bottom w:w="93"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 Hedging or Pledging of our Securities.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283"/>
              <w:jc w:val="righ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6" w:type="dxa"/>
            <w:tcBorders/>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Use of “Pay-for-Performance” Philosophy.</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At least one-third of our Named Executive Officers’ target annual total direct compensation is directly linked to our financial results and our stock price performance.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7"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69089x2_def14a_112-execomp_pg3"/>
        <w:bookmarkEnd w:id="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9"/>
        <w:gridCol w:w="170"/>
        <w:gridCol w:w="170"/>
        <w:gridCol w:w="8118"/>
        <w:gridCol w:w="170"/>
        <w:gridCol w:w="170"/>
        <w:gridCol w:w="170"/>
        <w:gridCol w:w="208"/>
        <w:gridCol w:w="208"/>
        <w:gridCol w:w="208"/>
        <w:gridCol w:w="208"/>
        <w:gridCol w:w="216"/>
      </w:tblGrid>
      <w:tr>
        <w:trPr/>
        <w:tc>
          <w:tcPr>
            <w:tcW w:w="8647" w:type="dxa"/>
            <w:gridSpan w:val="4"/>
            <w:tcBorders/>
            <w:shd w:fill="40C0C0" w:val="clear"/>
            <w:vAlign w:val="center"/>
          </w:tcPr>
          <w:p>
            <w:pPr>
              <w:pStyle w:val="TableContents"/>
              <w:bidi w:val="0"/>
              <w:spacing w:before="0" w:after="0"/>
              <w:jc w:val="left"/>
              <w:rPr/>
            </w:pPr>
            <w:r>
              <w:rPr/>
              <w:t> </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gridSpan w:val="4"/>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8647" w:type="dxa"/>
            <w:gridSpan w:val="4"/>
            <w:tcBorders/>
            <w:shd w:fill="40C0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WHAT WE DO</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FFFFFF"/>
              </w:rPr>
            </w:pPr>
            <w:r>
              <w:rPr>
                <w:color w:val="FFFFFF"/>
              </w:rPr>
              <w:t> </w:t>
            </w:r>
          </w:p>
        </w:tc>
        <w:tc>
          <w:tcPr>
            <w:tcW w:w="832"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WHAT WE DON’T DO </w:t>
            </w:r>
          </w:p>
        </w:tc>
        <w:tc>
          <w:tcPr>
            <w:tcW w:w="216" w:type="dxa"/>
            <w:tcBorders/>
            <w:shd w:fill="000000" w:val="clear"/>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 xml:space="preserve">Multi-Year Vesting Requirements. </w:t>
            </w:r>
            <w:r>
              <w:rPr>
                <w:rFonts w:ascii="Arial;Helvetica;sans-serif" w:hAnsi="Arial;Helvetica;sans-serif"/>
                <w:i w:val="false"/>
                <w:caps w:val="false"/>
                <w:smallCaps w:val="false"/>
                <w:color w:val="000000"/>
                <w:sz w:val="16"/>
              </w:rPr>
              <w:t>The annual equity awards granted to our Named Executive Officers are earned and/or vest over multi-year periods, consistent with current market practice and our retention objectives.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Maintain “Double-Trigger” Change-in-Control Arrangements.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Our Named Executive Officers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Only Broad-Based Health and Welfare Benefits.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Our Named Executive Officers participate in broad-based Company-sponsored health and welfare benefit programs on the same basis as our other employees.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Clawback Policy.</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We require compensation recoupment with respect to our executive officers pursuant to the terms of our clawback policy.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vAlign w:val="center"/>
          </w:tcPr>
          <w:p>
            <w:pPr>
              <w:pStyle w:val="TableContents"/>
              <w:bidi w:val="0"/>
              <w:spacing w:before="0" w:after="283"/>
              <w:jc w:val="righ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Succession Planning. We review the risks associated with our key executive officer positions to ensure adequate succession plans are in place.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1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95"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Stockholder Advisory Votes on Named Executive Officer Compensation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annual meeting to which this Proxy Statement relates, we will be conducting a non-binding vote on the compensation of our Named Executive Officers (commonly known as a “Say-on-Pay” vote).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See “Proposal No. 2: Advisory Vote, on a Non-binding Basis, to Approve the Compensation of Our Named Executive Officers for the Year Ended 2025” in this Proxy Statement.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Although these are non-binding, advisory votes, we value the opinions of our stockholders. At our 2025 Annual Meeting of Stockholders, our stockholders approved, on an advisory basis, the compensation of our Named Executive Officers (94.76% of votes cast). The Board and the Compensation Committee believe this level of stockholder support reflects a very strong endorsement of our compensation policies and decisions. The Compensation Committee considered the results of this advisory vote in connection with developing our compensation policies and making compensation decisions for 2026.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will consider the outcome of the 2026 Say-on-Pay vote, in addition to other relevant stockholder feedback that may be received throughout the year, when making future compensation decisions for our Named Executive Officers.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69089x2_def14a_112-execomp_pg4"/>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Executive Compensation Philosophy and Objectives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i/>
                <w:color w:val="000000"/>
                <w:sz w:val="18"/>
              </w:rPr>
              <w:t>Attract Top Talent</w:t>
            </w:r>
            <w:r>
              <w:rPr>
                <w:rFonts w:ascii="Arial;Helvetica;sans-serif" w:hAnsi="Arial;Helvetica;sans-serif"/>
                <w:color w:val="000000"/>
                <w:sz w:val="18"/>
              </w:rPr>
              <w:t xml:space="preserve"> – Given the nature of our business and our long-term financial and strategic objectives, we must compete with other top technology companies for talent to build and grow our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i/>
                <w:color w:val="000000"/>
                <w:sz w:val="18"/>
              </w:rPr>
              <w:t>Develop and Maintain a Performance-Based Culture</w:t>
            </w:r>
            <w:r>
              <w:rPr>
                <w:rFonts w:ascii="Arial;Helvetica;sans-serif" w:hAnsi="Arial;Helvetica;sans-serif"/>
                <w:color w:val="000000"/>
                <w:sz w:val="18"/>
              </w:rPr>
              <w:t xml:space="preserve"> – To be successful in a highly competitive market for talent, we must create consistency through a compensation program that motivates exceptional performance by expanding the reach of our employees’ incentives so that they may share in the success of our business with our stockholders;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i/>
                <w:color w:val="000000"/>
                <w:sz w:val="18"/>
              </w:rPr>
              <w:t>Retain Exceptional Employees</w:t>
            </w:r>
            <w:r>
              <w:rPr>
                <w:rFonts w:ascii="Arial;Helvetica;sans-serif" w:hAnsi="Arial;Helvetica;sans-serif"/>
                <w:color w:val="000000"/>
                <w:sz w:val="18"/>
              </w:rPr>
              <w:t xml:space="preserve"> – To ensure that we can meet our objectives, we must foster a culture that instills a sense of commitment to the organization and each other while, at the same time, recognizing and rewarding individual contributions and impact.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Compensation Elements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Generally, our executive compensation program consists of three principal elements – base salary, cash bonus opportunities, and long-term incentive compensation in the form of equity awards. </w:t>
      </w:r>
    </w:p>
    <w:tbl>
      <w:tblPr>
        <w:tblW w:w="10205" w:type="dxa"/>
        <w:jc w:val="left"/>
        <w:tblInd w:w="0" w:type="dxa"/>
        <w:tblLayout w:type="fixed"/>
        <w:tblCellMar>
          <w:top w:w="0" w:type="dxa"/>
          <w:left w:w="0" w:type="dxa"/>
          <w:bottom w:w="0" w:type="dxa"/>
          <w:right w:w="0" w:type="dxa"/>
        </w:tblCellMar>
      </w:tblPr>
      <w:tblGrid>
        <w:gridCol w:w="185"/>
        <w:gridCol w:w="1338"/>
        <w:gridCol w:w="170"/>
        <w:gridCol w:w="170"/>
        <w:gridCol w:w="794"/>
        <w:gridCol w:w="170"/>
        <w:gridCol w:w="170"/>
        <w:gridCol w:w="3237"/>
        <w:gridCol w:w="170"/>
        <w:gridCol w:w="170"/>
        <w:gridCol w:w="3414"/>
        <w:gridCol w:w="217"/>
      </w:tblGrid>
      <w:tr>
        <w:trPr/>
        <w:tc>
          <w:tcPr>
            <w:tcW w:w="185" w:type="dxa"/>
            <w:tcBorders/>
            <w:shd w:fill="000000" w:val="clear"/>
            <w:vAlign w:val="center"/>
          </w:tcPr>
          <w:p>
            <w:pPr>
              <w:pStyle w:val="TableContents"/>
              <w:bidi w:val="0"/>
              <w:spacing w:before="0" w:after="0"/>
              <w:jc w:val="left"/>
              <w:rPr/>
            </w:pPr>
            <w:r>
              <w:rPr/>
              <w:t> </w:t>
            </w:r>
          </w:p>
        </w:tc>
        <w:tc>
          <w:tcPr>
            <w:tcW w:w="1338"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9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2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414"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338"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Element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9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Type of Element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237"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Compensation Element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41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Objective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8" w:type="dxa"/>
            <w:tcBorders>
              <w:bottom w:val="single" w:sz="8" w:space="0" w:color="000000"/>
            </w:tcBorders>
            <w:tcMar>
              <w:bottom w:w="8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Base Salary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Fixed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7"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Designed to attract and retain executives by providing a competitive fixed amount of cash compensation based on the executive’s role, prior experience, and expected contributions to the Company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8" w:type="dxa"/>
            <w:tcBorders>
              <w:bottom w:val="single" w:sz="8" w:space="0" w:color="000000"/>
            </w:tcBorders>
            <w:tcMar>
              <w:bottom w:w="8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Cash Bonuses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Variable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7"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Designed to motivate our executives to achieve business objectives tied to specific Company metrics and which are aligned to our annual priorities, with the payout opportunity based on Company and individual performance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 xml:space="preserve">Long Term </w:t>
            </w:r>
          </w:p>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Variable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awards in the form of RSU awards that may be settled for shares of our Class A Common Stock and PRSU awards that may be earned and settled for shares of our Class A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Designed to align the interests of our executives and our stockholders while helping to attract and retain talented leaders by paying for performance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69089x2_def14a_112-execomp_pg5"/>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Base Salary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annual base salaries of our Named Executive Officers for 2025 were as follows: </w:t>
      </w:r>
    </w:p>
    <w:tbl>
      <w:tblPr>
        <w:tblW w:w="4410" w:type="dxa"/>
        <w:jc w:val="left"/>
        <w:tblInd w:w="0" w:type="dxa"/>
        <w:tblLayout w:type="fixed"/>
        <w:tblCellMar>
          <w:top w:w="0" w:type="dxa"/>
          <w:left w:w="0" w:type="dxa"/>
          <w:bottom w:w="0" w:type="dxa"/>
          <w:right w:w="0" w:type="dxa"/>
        </w:tblCellMar>
      </w:tblPr>
      <w:tblGrid>
        <w:gridCol w:w="185"/>
        <w:gridCol w:w="2000"/>
        <w:gridCol w:w="170"/>
        <w:gridCol w:w="170"/>
        <w:gridCol w:w="167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Base Salary ($)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0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70" w:type="dxa"/>
            <w:tcBorders>
              <w:bottom w:val="single" w:sz="8" w:space="0" w:color="999999"/>
            </w:tcBorders>
            <w:tcMar>
              <w:bottom w:w="108" w:type="dxa"/>
            </w:tcMar>
            <w:vAlign w:val="center"/>
          </w:tcPr>
          <w:p>
            <w:pPr>
              <w:pStyle w:val="TableContents"/>
              <w:bidi w:val="0"/>
              <w:spacing w:before="0" w:after="283"/>
              <w:ind w:left="758" w:right="0" w:hanging="0"/>
              <w:jc w:val="left"/>
              <w:rPr>
                <w:rFonts w:ascii="Arial;Helvetica;sans-serif" w:hAnsi="Arial;Helvetica;sans-serif"/>
                <w:color w:val="000000"/>
                <w:sz w:val="16"/>
              </w:rPr>
            </w:pPr>
            <w:r>
              <w:rPr>
                <w:rFonts w:ascii="Arial;Helvetica;sans-serif" w:hAnsi="Arial;Helvetica;sans-serif"/>
                <w:color w:val="000000"/>
                <w:sz w:val="16"/>
              </w:rPr>
              <w:t xml:space="preserve">$750,000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0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70" w:type="dxa"/>
            <w:tcBorders>
              <w:bottom w:val="single" w:sz="8" w:space="0" w:color="999999"/>
            </w:tcBorders>
            <w:tcMar>
              <w:bottom w:w="108" w:type="dxa"/>
            </w:tcMar>
            <w:vAlign w:val="center"/>
          </w:tcPr>
          <w:p>
            <w:pPr>
              <w:pStyle w:val="TableContents"/>
              <w:bidi w:val="0"/>
              <w:spacing w:before="0" w:after="283"/>
              <w:ind w:left="758" w:right="0" w:hanging="0"/>
              <w:jc w:val="left"/>
              <w:rPr>
                <w:rFonts w:ascii="Arial;Helvetica;sans-serif" w:hAnsi="Arial;Helvetica;sans-serif"/>
                <w:color w:val="000000"/>
                <w:sz w:val="16"/>
              </w:rPr>
            </w:pPr>
            <w:r>
              <w:rPr>
                <w:rFonts w:ascii="Arial;Helvetica;sans-serif" w:hAnsi="Arial;Helvetica;sans-serif"/>
                <w:color w:val="000000"/>
                <w:sz w:val="16"/>
              </w:rPr>
              <w:t xml:space="preserve">$450,000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758" w:right="0" w:hanging="0"/>
              <w:jc w:val="left"/>
              <w:rPr>
                <w:rFonts w:ascii="Arial;Helvetica;sans-serif" w:hAnsi="Arial;Helvetica;sans-serif"/>
                <w:color w:val="000000"/>
                <w:sz w:val="16"/>
              </w:rPr>
            </w:pPr>
            <w:r>
              <w:rPr>
                <w:rFonts w:ascii="Arial;Helvetica;sans-serif" w:hAnsi="Arial;Helvetica;sans-serif"/>
                <w:color w:val="000000"/>
                <w:sz w:val="16"/>
              </w:rPr>
              <w:t>$400,000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Upon review, the Compensation Committee made no adjustment to, the annual base salaries of Messrs. Francis and Camire and Ms. Griffis, as part of its annual review of our executive compensation program.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total base salaries paid to our Named Executive Officers during 2025 are set forth in the “Summary Compensation Table” below. </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Cash Bonuses </w:t>
      </w:r>
    </w:p>
    <w:p>
      <w:pPr>
        <w:pStyle w:val="TextBody"/>
        <w:bidi w:val="0"/>
        <w:spacing w:before="15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Target Bonus Opportunities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made no adjustments to the target cash bonus opportunities for Messrs. Francis and Camire and Ms. Griffis, as part of its annual review of our executive compensation program.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target cash bonus opportunities of our Named Executive Officers for 2025, as a percentage of annual base salary, were as follows: </w:t>
      </w:r>
    </w:p>
    <w:tbl>
      <w:tblPr>
        <w:tblW w:w="5550" w:type="dxa"/>
        <w:jc w:val="left"/>
        <w:tblInd w:w="0" w:type="dxa"/>
        <w:tblLayout w:type="fixed"/>
        <w:tblCellMar>
          <w:top w:w="0" w:type="dxa"/>
          <w:left w:w="0" w:type="dxa"/>
          <w:bottom w:w="0" w:type="dxa"/>
          <w:right w:w="0" w:type="dxa"/>
        </w:tblCellMar>
      </w:tblPr>
      <w:tblGrid>
        <w:gridCol w:w="185"/>
        <w:gridCol w:w="2000"/>
        <w:gridCol w:w="170"/>
        <w:gridCol w:w="170"/>
        <w:gridCol w:w="1400"/>
        <w:gridCol w:w="170"/>
        <w:gridCol w:w="170"/>
        <w:gridCol w:w="107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Target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Opportunity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(as a percentage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of base salary)</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Target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Opportunity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128" w:type="dxa"/>
            </w:tcMar>
            <w:vAlign w:val="center"/>
          </w:tcPr>
          <w:p>
            <w:pPr>
              <w:pStyle w:val="TableContents"/>
              <w:bidi w:val="0"/>
              <w:spacing w:before="0" w:after="283"/>
              <w:ind w:left="747" w:right="0" w:hanging="0"/>
              <w:jc w:val="lef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 xml:space="preserve">$750,000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128" w:type="dxa"/>
            </w:tcMar>
            <w:vAlign w:val="center"/>
          </w:tcPr>
          <w:p>
            <w:pPr>
              <w:pStyle w:val="TableContents"/>
              <w:bidi w:val="0"/>
              <w:spacing w:before="0" w:after="283"/>
              <w:ind w:left="747" w:right="0" w:hanging="0"/>
              <w:jc w:val="left"/>
              <w:rPr>
                <w:rFonts w:ascii="Arial;Helvetica;sans-serif" w:hAnsi="Arial;Helvetica;sans-serif"/>
                <w:color w:val="000000"/>
                <w:sz w:val="16"/>
              </w:rPr>
            </w:pPr>
            <w:r>
              <w:rPr>
                <w:rFonts w:ascii="Arial;Helvetica;sans-serif" w:hAnsi="Arial;Helvetica;sans-serif"/>
                <w:color w:val="000000"/>
                <w:sz w:val="16"/>
              </w:rPr>
              <w:t>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 xml:space="preserve">$225,000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747" w:right="0" w:hanging="0"/>
              <w:jc w:val="left"/>
              <w:rPr>
                <w:rFonts w:ascii="Arial;Helvetica;sans-serif" w:hAnsi="Arial;Helvetica;sans-serif"/>
                <w:color w:val="000000"/>
                <w:sz w:val="16"/>
              </w:rPr>
            </w:pPr>
            <w:r>
              <w:rPr>
                <w:rFonts w:ascii="Arial;Helvetica;sans-serif" w:hAnsi="Arial;Helvetica;sans-serif"/>
                <w:color w:val="000000"/>
                <w:sz w:val="16"/>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$200,000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69089x2_def14a_112-execomp_pg6"/>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Evaluation of Performance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cash bonuses awarded for 2025 by the Compensation Committee for Messrs. Francis and Camire and Ms. Griffis was 100% based on Company performance against Revenue and Adj. EBITDA targets set by management for fiscal year 2025 in the same manner as the core bonus plan for the rest of the employees of the Company. See the paragraph immediately below, </w:t>
      </w:r>
      <w:r>
        <w:rPr>
          <w:rFonts w:ascii="Arial;Helvetica;sans-serif" w:hAnsi="Arial;Helvetica;sans-serif"/>
          <w:i/>
          <w:color w:val="000000"/>
          <w:sz w:val="18"/>
        </w:rPr>
        <w:t>Cash Bonus Payments</w:t>
      </w:r>
      <w:r>
        <w:rPr>
          <w:rFonts w:ascii="Arial;Helvetica;sans-serif" w:hAnsi="Arial;Helvetica;sans-serif"/>
          <w:color w:val="000000"/>
          <w:sz w:val="18"/>
        </w:rPr>
        <w:t xml:space="preserve"> for additional details regarding our cash bonus payments.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Cash Bonus Payments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March 2026 the Compensation Committee approved the short-term incentive payments for 2025, which was 100% based on our actual financial performance for the year. The company performance award was based on (i) fiscal year 2025 Revenue achievement, and (ii) fiscal year 2025 Adj. EBITDA achievement (See Part II, Item 7. Management’s Discussion and Analysis of Financial Condition and Results of Operations—Non-GAAP Financial Measures in our Annual Report on Form 10-K for the fiscal year ended December 31, 2025 for a definition of non-GAAP, Adjusted EBIDTA and other information, including a reconciliation of net income (loss) to non-GAAP EBITDA and Adjusted EBIDTA for the fiscal years ended December 31, 2025 and 2024. The Compensation Committee reviewed and provided input on our Chief Executive Officer’s determinations as to each Named Executive Officer’s cash bonus target.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March 2026, upon review and consideration of executive performance for 2025, our Compensation Committee determined that the 2025 short-term incentive goals achieved at 84% based on the 2025 Revenue, and 2025 Adjusted EBITDA (See Part II, Item 7. Management’s Discussion and Analysis of Financial Condition and Results of Operations—Non-GAAP Financial Measures in our Annual Report on Form 10-K for the fiscal year ended December 31, 2025 for a definition of non-GAAP, Adjusted EBIDTA and other information, including a reconciliation of net income (loss) to non-GAAP EBITDA and Adjusted EBIDTA for the fiscal years ended December 31, 2025 and 2024). </w:t>
      </w:r>
    </w:p>
    <w:tbl>
      <w:tblPr>
        <w:tblW w:w="8250" w:type="dxa"/>
        <w:jc w:val="left"/>
        <w:tblInd w:w="0" w:type="dxa"/>
        <w:tblLayout w:type="fixed"/>
        <w:tblCellMar>
          <w:top w:w="0" w:type="dxa"/>
          <w:left w:w="0" w:type="dxa"/>
          <w:bottom w:w="0" w:type="dxa"/>
          <w:right w:w="0" w:type="dxa"/>
        </w:tblCellMar>
      </w:tblPr>
      <w:tblGrid>
        <w:gridCol w:w="185"/>
        <w:gridCol w:w="2000"/>
        <w:gridCol w:w="170"/>
        <w:gridCol w:w="170"/>
        <w:gridCol w:w="1640"/>
        <w:gridCol w:w="170"/>
        <w:gridCol w:w="170"/>
        <w:gridCol w:w="1070"/>
        <w:gridCol w:w="170"/>
        <w:gridCol w:w="170"/>
        <w:gridCol w:w="212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4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Target Cash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Bonus Opportunity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Actual 2025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Actual 2025 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(as a percentage of target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opportunity)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40" w:type="dxa"/>
            <w:tcBorders>
              <w:bottom w:val="single" w:sz="8" w:space="0" w:color="999999"/>
            </w:tcBorders>
            <w:tcMar>
              <w:bottom w:w="128" w:type="dxa"/>
            </w:tcMar>
            <w:vAlign w:val="center"/>
          </w:tcPr>
          <w:p>
            <w:pPr>
              <w:pStyle w:val="TableContents"/>
              <w:bidi w:val="0"/>
              <w:spacing w:before="0" w:after="283"/>
              <w:ind w:left="688"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$630,000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20" w:type="dxa"/>
            <w:tcBorders>
              <w:bottom w:val="single" w:sz="8" w:space="0" w:color="999999"/>
            </w:tcBorders>
            <w:tcMar>
              <w:bottom w:w="128" w:type="dxa"/>
            </w:tcMar>
            <w:vAlign w:val="center"/>
          </w:tcPr>
          <w:p>
            <w:pPr>
              <w:pStyle w:val="TableContents"/>
              <w:bidi w:val="0"/>
              <w:spacing w:before="0" w:after="283"/>
              <w:ind w:left="1496" w:right="0" w:hanging="0"/>
              <w:jc w:val="left"/>
              <w:rPr>
                <w:rFonts w:ascii="Arial;Helvetica;sans-serif" w:hAnsi="Arial;Helvetica;sans-serif"/>
                <w:color w:val="000000"/>
                <w:sz w:val="16"/>
              </w:rPr>
            </w:pPr>
            <w:r>
              <w:rPr>
                <w:rFonts w:ascii="Arial;Helvetica;sans-serif" w:hAnsi="Arial;Helvetica;sans-serif"/>
                <w:color w:val="000000"/>
                <w:sz w:val="16"/>
              </w:rPr>
              <w:t xml:space="preserve">84%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40" w:type="dxa"/>
            <w:tcBorders>
              <w:bottom w:val="single" w:sz="8" w:space="0" w:color="999999"/>
            </w:tcBorders>
            <w:tcMar>
              <w:bottom w:w="128" w:type="dxa"/>
            </w:tcMar>
            <w:vAlign w:val="center"/>
          </w:tcPr>
          <w:p>
            <w:pPr>
              <w:pStyle w:val="TableContents"/>
              <w:bidi w:val="0"/>
              <w:spacing w:before="0" w:after="283"/>
              <w:ind w:left="688" w:right="0" w:hanging="0"/>
              <w:jc w:val="left"/>
              <w:rPr>
                <w:rFonts w:ascii="Arial;Helvetica;sans-serif" w:hAnsi="Arial;Helvetica;sans-serif"/>
                <w:color w:val="000000"/>
                <w:sz w:val="16"/>
              </w:rPr>
            </w:pPr>
            <w:r>
              <w:rPr>
                <w:rFonts w:ascii="Arial;Helvetica;sans-serif" w:hAnsi="Arial;Helvetica;sans-serif"/>
                <w:color w:val="000000"/>
                <w:sz w:val="16"/>
              </w:rPr>
              <w:t>$225,000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$189,000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20" w:type="dxa"/>
            <w:tcBorders>
              <w:bottom w:val="single" w:sz="8" w:space="0" w:color="999999"/>
            </w:tcBorders>
            <w:tcMar>
              <w:bottom w:w="128" w:type="dxa"/>
            </w:tcMar>
            <w:vAlign w:val="center"/>
          </w:tcPr>
          <w:p>
            <w:pPr>
              <w:pStyle w:val="TableContents"/>
              <w:bidi w:val="0"/>
              <w:spacing w:before="0" w:after="283"/>
              <w:ind w:left="1496" w:right="0" w:hanging="0"/>
              <w:jc w:val="left"/>
              <w:rPr>
                <w:rFonts w:ascii="Arial;Helvetica;sans-serif" w:hAnsi="Arial;Helvetica;sans-serif"/>
                <w:color w:val="000000"/>
                <w:sz w:val="16"/>
              </w:rPr>
            </w:pPr>
            <w:r>
              <w:rPr>
                <w:rFonts w:ascii="Arial;Helvetica;sans-serif" w:hAnsi="Arial;Helvetica;sans-serif"/>
                <w:color w:val="000000"/>
                <w:sz w:val="16"/>
              </w:rPr>
              <w:t xml:space="preserve">84%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88" w:right="0" w:hanging="0"/>
              <w:jc w:val="left"/>
              <w:rPr>
                <w:rFonts w:ascii="Arial;Helvetica;sans-serif" w:hAnsi="Arial;Helvetica;sans-serif"/>
                <w:color w:val="000000"/>
                <w:sz w:val="16"/>
              </w:rPr>
            </w:pPr>
            <w:r>
              <w:rPr>
                <w:rFonts w:ascii="Arial;Helvetica;sans-serif" w:hAnsi="Arial;Helvetica;sans-serif"/>
                <w:color w:val="000000"/>
                <w:sz w:val="16"/>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$168,000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1496" w:right="0" w:hanging="0"/>
              <w:jc w:val="left"/>
              <w:rPr>
                <w:rFonts w:ascii="Arial;Helvetica;sans-serif" w:hAnsi="Arial;Helvetica;sans-serif"/>
                <w:color w:val="000000"/>
                <w:sz w:val="16"/>
              </w:rPr>
            </w:pPr>
            <w:r>
              <w:rPr>
                <w:rFonts w:ascii="Arial;Helvetica;sans-serif" w:hAnsi="Arial;Helvetica;sans-serif"/>
                <w:color w:val="000000"/>
                <w:sz w:val="16"/>
              </w:rPr>
              <w:t>84%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Going forward, we anticipate the Compensation Committee will design and adopt a similar cash bonus plan for our Named Executive Officers as part of its annual review of our executive compensation program.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annual bonuses awarded to our Named Executive Officers for 2025 are set forth in the “Summary Compensation Table” below.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on January 6, 2025, in connection with Ms. Griffis commencement of employment as of Chief Technology Officer, and in accordance with the terms of her executive employment agreement, Ms. Griffis received a signing bonus in the amount of $25,000.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Long-Term Equity Incentive Compensation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69089x2_def14a_112-execomp_pg7"/>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December 2021, we granted time-based RSU awards and PRSU awards, which may be settled for shares of our Class A Common Stock, to motivate and reward our Named Executive Officers for long-term increases in the value of our Class A Common Stock. Ms. Griffis was not a Named Executive Officer at that time. In November 2024, we granted time-based RSU awards and PRSU awards, which may be settled for shares of our Class A Common Stock, to motivate and reward our Chief Executive Officer for long-term increases in the value of our Class A Common Stock. Mr. Camire did not receive any RSU awards in 2024 in his role as General Counsel. Ms. Griffis was not a Named Executive Officer at that time. In January 2025, we granted a time-based RSU award, which may be settled for shares of our Class A Common Stock, to Ms. Griffis in connection with the commencement of her employment as our Chief Technology Officer. In March 2025, we granted a time-based RSU award, which may be settled for share of our Class A Common Stock, to Mr. Camire in connection with our annual assessment of executive officer compensation to provide market-competitive compensation.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Ms. Griffis in January 2025 and Mr. Camire in March 2025. Based upon these factors, the Compensation Committee determined the size of each equity award at levels considered appropriate to create a meaningful opportunity for reward predicated on the creation of long-term stockholder value.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69089x2_def14a_112-execomp_pg8"/>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equity awards granted to our Named Executive Officers in 2025 under the WM Technology, Inc. 2021 Equity Incentive Plan (the “2021 Equity Plan”), were as follows: </w:t>
      </w:r>
    </w:p>
    <w:tbl>
      <w:tblPr>
        <w:tblW w:w="8805" w:type="dxa"/>
        <w:jc w:val="left"/>
        <w:tblInd w:w="0" w:type="dxa"/>
        <w:tblLayout w:type="fixed"/>
        <w:tblCellMar>
          <w:top w:w="0" w:type="dxa"/>
          <w:left w:w="0" w:type="dxa"/>
          <w:bottom w:w="0" w:type="dxa"/>
          <w:right w:w="0" w:type="dxa"/>
        </w:tblCellMar>
      </w:tblPr>
      <w:tblGrid>
        <w:gridCol w:w="185"/>
        <w:gridCol w:w="2000"/>
        <w:gridCol w:w="170"/>
        <w:gridCol w:w="170"/>
        <w:gridCol w:w="1490"/>
        <w:gridCol w:w="170"/>
        <w:gridCol w:w="170"/>
        <w:gridCol w:w="1085"/>
        <w:gridCol w:w="170"/>
        <w:gridCol w:w="170"/>
        <w:gridCol w:w="1280"/>
        <w:gridCol w:w="170"/>
        <w:gridCol w:w="170"/>
        <w:gridCol w:w="119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8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units)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85"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(grant date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8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(target number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units)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(grant date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128" w:type="dxa"/>
            </w:tcMar>
            <w:vAlign w:val="center"/>
          </w:tcPr>
          <w:p>
            <w:pPr>
              <w:pStyle w:val="TableContents"/>
              <w:bidi w:val="0"/>
              <w:spacing w:before="0" w:after="283"/>
              <w:ind w:left="49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85" w:type="dxa"/>
            <w:tcBorders>
              <w:bottom w:val="single" w:sz="8" w:space="0" w:color="999999"/>
            </w:tcBorders>
            <w:tcMar>
              <w:bottom w:w="128" w:type="dxa"/>
            </w:tcMar>
            <w:vAlign w:val="center"/>
          </w:tcPr>
          <w:p>
            <w:pPr>
              <w:pStyle w:val="TableContents"/>
              <w:bidi w:val="0"/>
              <w:spacing w:before="0" w:after="283"/>
              <w:ind w:left="7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128" w:type="dxa"/>
            </w:tcMar>
            <w:vAlign w:val="center"/>
          </w:tcPr>
          <w:p>
            <w:pPr>
              <w:pStyle w:val="TableContents"/>
              <w:bidi w:val="0"/>
              <w:spacing w:before="0" w:after="283"/>
              <w:ind w:left="93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28" w:type="dxa"/>
            </w:tcMar>
            <w:vAlign w:val="center"/>
          </w:tcPr>
          <w:p>
            <w:pPr>
              <w:pStyle w:val="TableContents"/>
              <w:bidi w:val="0"/>
              <w:spacing w:before="0" w:after="283"/>
              <w:ind w:left="861"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12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1,800,000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85" w:type="dxa"/>
            <w:tcBorders>
              <w:bottom w:val="single" w:sz="8" w:space="0" w:color="999999"/>
            </w:tcBorders>
            <w:tcMar>
              <w:bottom w:w="128"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$2,322,000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128" w:type="dxa"/>
            </w:tcMar>
            <w:vAlign w:val="center"/>
          </w:tcPr>
          <w:p>
            <w:pPr>
              <w:pStyle w:val="TableContents"/>
              <w:bidi w:val="0"/>
              <w:spacing w:before="0" w:after="283"/>
              <w:ind w:left="93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28" w:type="dxa"/>
            </w:tcMar>
            <w:vAlign w:val="center"/>
          </w:tcPr>
          <w:p>
            <w:pPr>
              <w:pStyle w:val="TableContents"/>
              <w:bidi w:val="0"/>
              <w:spacing w:before="0" w:after="283"/>
              <w:ind w:left="861"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$2,664,000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9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61"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RSU Awards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RSU awards granted to Mr. Camire in 2021, September 2023, and to Mr. Francis in November 2024 each vest in equal quarterly installments over three years following the vesting commencement date. The RSU award granted to Mr. Camire in March 2025 vests in equal quarterly installments over three years (except that 34% of Mr. Camire’s grant vested on the first quarterly date following the vesting commencement date). Vesting terminates upon the Named Executive Officer’s termination of continuous service with us. Each unit granted pursuant to these RSU awards represents a contingent right to receive one share of our Class A Common Stock for each unit that vests.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RSU award granted to Ms. Griffis in January 2026 vested in equal quarterly installments over three years commencing on the first vest date (except that 33.33% of Ms. Griffis’ first grant vested on a one-year cliff first vest date), and vesting terminates upon Ms. Griffis’ termination of continuous service with us. Each unit granted pursuant to this RSU award represents a contingent right to receive one share of our Class A Common Stock for each unit that vests. </w:t>
      </w:r>
    </w:p>
    <w:p>
      <w:pPr>
        <w:pStyle w:val="TextBody"/>
        <w:bidi w:val="0"/>
        <w:spacing w:before="3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PRSU Awards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PRSUs granted to Mr. Francis vest only if we achieved specified stock performance milestones during the performance period beginning on November 7, 2024 and ending on December 31, 2027 (the “Performance Period”). The actual number of PRSUs that vest will be determined based upon the following milestone achievements: (i) one half of the PRSUs will vest if the volume weighted average price of our Class A Common Stock during any period of 30 trading days during the Performance Period equals or exceeds $3.25, and (ii) one half of the PRSUs will vest if the volume weighted average price of our Class A Common Stock during any period of 30 trading days during the Performance Period equals or exceeds $5.00.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number of PRSUs that vest will be determined by our Compensation Committee at any applicable time during Performance Period that an achievement milestone is met, but in no event past the 90-day period following the end of the Performance Period. Mr. Francis must remain employed by us through the determination date for the PRSU award to vest.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equity awards vested to our Named Executive Officers during the performance period are set forth in the “Summary Compensation Table” below.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Health and Welfare Benefits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 In addition, Mr. Francis is eligible for a reimbursement of the annual membership fee for a concierge medical plan selected by Mr. Francis, subject to a net after-tax maximum yearly amount of $24,000, and, in 2025, Mr. Francis was reimbursed $39,571 (before tax).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69089x2_def14a_112-execomp_pg9"/>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Section 401(k)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Perquisites and Other Personal Benefits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2025, our Named Executive Officers did not receive perquisites or other personal benefits that were, in the aggregate, $10,000 or more for each individual.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Equity Award Grant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It is also our intent that no equity awards will be backdated, nor will the timing of the public release of material information or of the grant of an equity award be manipulated with the intent of benefiting an award recipient.</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69089x2_def14a_113-summary_pg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94" w:name="tSCT"/>
      <w:bookmarkEnd w:id="94"/>
      <w:r>
        <w:rPr>
          <w:rFonts w:ascii="Arial;Helvetica;sans-serif" w:hAnsi="Arial;Helvetica;sans-serif"/>
          <w:b/>
          <w:color w:val="40C0C0"/>
          <w:sz w:val="24"/>
        </w:rPr>
        <w:t xml:space="preserve">Summary Compensation Table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compensation awarded or paid to, or earned by, our Named Executive Officers with respect to the years ended 2025 and 2024.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our Named Executive Officers were: </w:t>
      </w:r>
    </w:p>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Douglas Francis, our principal executive officer and Chief Executive Officer; </w:t>
            </w:r>
          </w:p>
        </w:tc>
      </w:tr>
    </w:tbl>
    <w:tbl>
      <w:tblPr>
        <w:tblW w:w="4375" w:type="dxa"/>
        <w:jc w:val="left"/>
        <w:tblInd w:w="0" w:type="dxa"/>
        <w:tblLayout w:type="fixed"/>
        <w:tblCellMar>
          <w:top w:w="0" w:type="dxa"/>
          <w:left w:w="0" w:type="dxa"/>
          <w:bottom w:w="0" w:type="dxa"/>
          <w:right w:w="0" w:type="dxa"/>
        </w:tblCellMar>
      </w:tblPr>
      <w:tblGrid>
        <w:gridCol w:w="140"/>
        <w:gridCol w:w="4235"/>
      </w:tblGrid>
      <w:tr>
        <w:trPr/>
        <w:tc>
          <w:tcPr>
            <w:tcW w:w="14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Brian Camire, our General Counsel and Secretary. </w:t>
            </w:r>
          </w:p>
        </w:tc>
      </w:tr>
    </w:tbl>
    <w:tbl>
      <w:tblPr>
        <w:tblW w:w="3715" w:type="dxa"/>
        <w:jc w:val="left"/>
        <w:tblInd w:w="0" w:type="dxa"/>
        <w:tblLayout w:type="fixed"/>
        <w:tblCellMar>
          <w:top w:w="0" w:type="dxa"/>
          <w:left w:w="0" w:type="dxa"/>
          <w:bottom w:w="0" w:type="dxa"/>
          <w:right w:w="0" w:type="dxa"/>
        </w:tblCellMar>
      </w:tblPr>
      <w:tblGrid>
        <w:gridCol w:w="140"/>
        <w:gridCol w:w="3575"/>
      </w:tblGrid>
      <w:tr>
        <w:trPr/>
        <w:tc>
          <w:tcPr>
            <w:tcW w:w="14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Susan Griffis, our Chief Technology Officer </w:t>
            </w:r>
          </w:p>
        </w:tc>
      </w:tr>
    </w:tbl>
    <w:tbl>
      <w:tblPr>
        <w:tblW w:w="11895" w:type="dxa"/>
        <w:jc w:val="left"/>
        <w:tblInd w:w="0" w:type="dxa"/>
        <w:tblLayout w:type="fixed"/>
        <w:tblCellMar>
          <w:top w:w="0" w:type="dxa"/>
          <w:left w:w="0" w:type="dxa"/>
          <w:bottom w:w="0" w:type="dxa"/>
          <w:right w:w="0" w:type="dxa"/>
        </w:tblCellMar>
      </w:tblPr>
      <w:tblGrid>
        <w:gridCol w:w="185"/>
        <w:gridCol w:w="1025"/>
        <w:gridCol w:w="170"/>
        <w:gridCol w:w="170"/>
        <w:gridCol w:w="410"/>
        <w:gridCol w:w="170"/>
        <w:gridCol w:w="170"/>
        <w:gridCol w:w="635"/>
        <w:gridCol w:w="170"/>
        <w:gridCol w:w="170"/>
        <w:gridCol w:w="635"/>
        <w:gridCol w:w="170"/>
        <w:gridCol w:w="170"/>
        <w:gridCol w:w="770"/>
        <w:gridCol w:w="170"/>
        <w:gridCol w:w="170"/>
        <w:gridCol w:w="620"/>
        <w:gridCol w:w="170"/>
        <w:gridCol w:w="170"/>
        <w:gridCol w:w="1190"/>
        <w:gridCol w:w="170"/>
        <w:gridCol w:w="170"/>
        <w:gridCol w:w="1190"/>
        <w:gridCol w:w="170"/>
        <w:gridCol w:w="170"/>
        <w:gridCol w:w="1190"/>
        <w:gridCol w:w="170"/>
        <w:gridCol w:w="170"/>
        <w:gridCol w:w="770"/>
        <w:gridCol w:w="215"/>
      </w:tblGrid>
      <w:tr>
        <w:trPr/>
        <w:tc>
          <w:tcPr>
            <w:tcW w:w="185"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Name and Principal </w:t>
            </w:r>
          </w:p>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Position(1)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Non-equity</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plan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Change in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pension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value and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nonqualified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deferred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earnings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r>
              <w:rPr>
                <w:rFonts w:ascii="Arial;Helvetica;sans-serif" w:hAnsi="Arial;Helvetica;sans-serif"/>
                <w:b/>
                <w:color w:val="000000"/>
                <w:sz w:val="16"/>
              </w:rPr>
              <w:t xml:space="preserve"> Chief Executive Officer and Chairperson of the Board</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754,533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630,000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503" w:right="0" w:hanging="0"/>
              <w:jc w:val="left"/>
              <w:rPr>
                <w:color w:val="000000"/>
              </w:rPr>
            </w:pPr>
            <w:r>
              <w:rPr>
                <w:color w:val="000000"/>
              </w:rPr>
              <w:t>​</w:t>
            </w:r>
            <w:r>
              <w:rPr>
                <w:rFonts w:ascii="Arial;Helvetica;sans-serif" w:hAnsi="Arial;Helvetica;sans-serif"/>
                <w:color w:val="000000"/>
                <w:sz w:val="16"/>
              </w:rPr>
              <w:t>52,636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1,437,169</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025" w:type="dxa"/>
            <w:vMerge w:val="continue"/>
            <w:tcBorders>
              <w:bottom w:val="single" w:sz="8" w:space="0" w:color="000000"/>
            </w:tcBorders>
            <w:tcMar>
              <w:bottom w:w="1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987,346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835,000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4,993,750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675,000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17,931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7,509,027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 xml:space="preserve">Brian Camire, </w:t>
            </w:r>
            <w:r>
              <w:rPr>
                <w:rFonts w:ascii="Arial;Helvetica;sans-serif" w:hAnsi="Arial;Helvetica;sans-serif"/>
                <w:b/>
                <w:color w:val="000000"/>
                <w:sz w:val="16"/>
              </w:rPr>
              <w:t xml:space="preserve">General Counsel </w:t>
            </w:r>
          </w:p>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and Secretary</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445,335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2,322,000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189,000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13,065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2,969,400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025" w:type="dxa"/>
            <w:vMerge w:val="continue"/>
            <w:tcBorders>
              <w:bottom w:val="single" w:sz="8" w:space="0" w:color="000000"/>
            </w:tcBorders>
            <w:tcMar>
              <w:bottom w:w="1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413,154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184,950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14,238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612,342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r>
              <w:rPr>
                <w:rFonts w:ascii="Arial;Helvetica;sans-serif" w:hAnsi="Arial;Helvetica;sans-serif"/>
                <w:b/>
                <w:color w:val="000000"/>
                <w:sz w:val="16"/>
              </w:rPr>
              <w:t xml:space="preserve"> </w:t>
            </w:r>
          </w:p>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Chief Technology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397,802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168,000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11,754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3,266,556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Ms. Griffis was appointed as our Chief Technology Officer, effective January 6, 2025. Because Ms. Griffis was not a Named Executive Officer prior to 2025, compensation information is not provided for 2024.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5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amounts represent performance-based, discretionary bonuses, including a performance bonus of $835,000 for Mr. Francis, and a sign-on bonus of $25,000 for Ms. Griffis in connection with the commencement of her employment as our Chief Technology Officer on January 6, 2025.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Amounts reflect the grant date fair value of all time-based restricted stock unit (“RSU”) awards and performance-based restricted stock unit (“PRSU”) awards in accordance with ASC 718. The grant date fair value of each RSU award was measured based on the per share closing price of our Class A Common Stock on the date of grant. The grant date fair value of each PRSU awards was measured using a Monte Carlo simulation model. The amounts reported do not correspond to the economic value received by each Named Executive Officer from the equity award. For additional information regarding the market value of outstanding stock awards, see “Outstanding Equity Awards at Fiscal Year-End” below. For information regarding assumptions underlying the value of equity awards, see Note 13 to our financial statements included in our Annual Report on Form 10-K for the year ended December 31, 2025. </w:t>
            </w:r>
          </w:p>
        </w:tc>
      </w:tr>
    </w:tbl>
    <w:tbl>
      <w:tblPr>
        <w:tblW w:w="9025" w:type="dxa"/>
        <w:jc w:val="left"/>
        <w:tblInd w:w="0" w:type="dxa"/>
        <w:tblLayout w:type="fixed"/>
        <w:tblCellMar>
          <w:top w:w="0" w:type="dxa"/>
          <w:left w:w="0" w:type="dxa"/>
          <w:bottom w:w="0" w:type="dxa"/>
          <w:right w:w="0" w:type="dxa"/>
        </w:tblCellMar>
      </w:tblPr>
      <w:tblGrid>
        <w:gridCol w:w="170"/>
        <w:gridCol w:w="885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88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Includes amounts paid under the short-term incentive plan (“STIP”). as further described in the “Cash Bonus Payments” section above.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6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amounts include (i) group term life insurance premiums in excess of the broad-based benefit level of $815, $815 and $446 for 2025 for Messrs. Francis and Camire and Ms. Griffis, respectively and $816 and 806 for 2024 for Messrs. Francis and Camire, respectively; (ii) matching contributions under our 401(k) plan of $12,250, $12,250 and $11,308 for 2025 for Messrs. Francis and Camire and Ms. Griffis, respectively and $17,115 and $13,432 for 2024 for Messrs. Francis and Camire, respectively; and (iii) medical reimbursement of $39,571 for 2025 for Mr. Francis.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69089x2_def14a_113-summary_pg2"/>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96" w:name="tOEA"/>
      <w:bookmarkEnd w:id="96"/>
      <w:r>
        <w:rPr>
          <w:rFonts w:ascii="Arial;Helvetica;sans-serif" w:hAnsi="Arial;Helvetica;sans-serif"/>
          <w:b/>
          <w:color w:val="40C0C0"/>
          <w:sz w:val="24"/>
        </w:rPr>
        <w:t xml:space="preserve">Outstanding Equity Awards at Fiscal Year-End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certain information regarding outstanding equity awards for the Named Executive Officers as of December 31, 2025: </w:t>
      </w:r>
    </w:p>
    <w:tbl>
      <w:tblPr>
        <w:tblW w:w="12720" w:type="dxa"/>
        <w:jc w:val="left"/>
        <w:tblInd w:w="0" w:type="dxa"/>
        <w:tblLayout w:type="fixed"/>
        <w:tblCellMar>
          <w:top w:w="0" w:type="dxa"/>
          <w:left w:w="0" w:type="dxa"/>
          <w:bottom w:w="0" w:type="dxa"/>
          <w:right w:w="0" w:type="dxa"/>
        </w:tblCellMar>
      </w:tblPr>
      <w:tblGrid>
        <w:gridCol w:w="185"/>
        <w:gridCol w:w="650"/>
        <w:gridCol w:w="170"/>
        <w:gridCol w:w="170"/>
        <w:gridCol w:w="410"/>
        <w:gridCol w:w="170"/>
        <w:gridCol w:w="170"/>
        <w:gridCol w:w="530"/>
        <w:gridCol w:w="170"/>
        <w:gridCol w:w="170"/>
        <w:gridCol w:w="830"/>
        <w:gridCol w:w="170"/>
        <w:gridCol w:w="170"/>
        <w:gridCol w:w="950"/>
        <w:gridCol w:w="170"/>
        <w:gridCol w:w="170"/>
        <w:gridCol w:w="830"/>
        <w:gridCol w:w="170"/>
        <w:gridCol w:w="170"/>
        <w:gridCol w:w="605"/>
        <w:gridCol w:w="170"/>
        <w:gridCol w:w="170"/>
        <w:gridCol w:w="695"/>
        <w:gridCol w:w="170"/>
        <w:gridCol w:w="170"/>
        <w:gridCol w:w="770"/>
        <w:gridCol w:w="170"/>
        <w:gridCol w:w="170"/>
        <w:gridCol w:w="770"/>
        <w:gridCol w:w="170"/>
        <w:gridCol w:w="170"/>
        <w:gridCol w:w="77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5270" w:type="dxa"/>
            <w:gridSpan w:val="13"/>
            <w:tcBorders/>
            <w:shd w:fill="808080" w:val="clear"/>
            <w:vAlign w:val="center"/>
          </w:tcPr>
          <w:p>
            <w:pPr>
              <w:pStyle w:val="TableContents"/>
              <w:bidi w:val="0"/>
              <w:spacing w:before="0" w:after="0"/>
              <w:jc w:val="left"/>
              <w:rPr/>
            </w:pPr>
            <w:r>
              <w:rPr/>
              <w:t> </w:t>
            </w:r>
          </w:p>
        </w:tc>
        <w:tc>
          <w:tcPr>
            <w:tcW w:w="170" w:type="dxa"/>
            <w:tcBorders>
              <w:right w:val="single" w:sz="8" w:space="0" w:color="FFFFFF"/>
            </w:tcBorders>
            <w:shd w:fill="808080" w:val="clear"/>
            <w:tcMar>
              <w:right w:w="28" w:type="dxa"/>
            </w:tcMar>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4100" w:type="dxa"/>
            <w:gridSpan w:val="10"/>
            <w:tcBorders/>
            <w:shd w:fill="808080" w:val="clear"/>
            <w:vAlign w:val="center"/>
          </w:tcPr>
          <w:p>
            <w:pPr>
              <w:pStyle w:val="TableContents"/>
              <w:bidi w:val="0"/>
              <w:spacing w:before="0" w:after="0"/>
              <w:jc w:val="left"/>
              <w:rPr/>
            </w:pPr>
            <w:r>
              <w:rPr/>
              <w:t>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8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5270" w:type="dxa"/>
            <w:gridSpan w:val="13"/>
            <w:tcBorders/>
            <w:shd w:fill="80808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 Awards</w:t>
            </w:r>
          </w:p>
        </w:tc>
        <w:tc>
          <w:tcPr>
            <w:tcW w:w="170" w:type="dxa"/>
            <w:tcBorders>
              <w:right w:val="single" w:sz="8" w:space="0" w:color="FFFFFF"/>
            </w:tcBorders>
            <w:shd w:fill="808080" w:val="clear"/>
            <w:tcMar>
              <w:right w:w="28" w:type="dxa"/>
            </w:tcMar>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4100" w:type="dxa"/>
            <w:gridSpan w:val="10"/>
            <w:tcBorders/>
            <w:shd w:fill="80808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Awards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65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Grant Date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exercisable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unexercisable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plan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0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exercise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price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expiration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of shares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or units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of stock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Market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shares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units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stock that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units 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other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rights that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Market 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payout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units 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other rights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that have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not 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000000"/>
            </w:tcBorders>
            <w:tcMar>
              <w:bottom w:w="95" w:type="dxa"/>
            </w:tcMar>
            <w:vAlign w:val="center"/>
          </w:tcPr>
          <w:p>
            <w:pPr>
              <w:pStyle w:val="TableContents"/>
              <w:bidi w:val="0"/>
              <w:spacing w:before="0" w:after="283"/>
              <w:ind w:left="80" w:right="0" w:hanging="0"/>
              <w:jc w:val="left"/>
              <w:rPr>
                <w:rFonts w:ascii="Arial;Helvetica;sans-serif" w:hAnsi="Arial;Helvetica;sans-serif"/>
                <w:b/>
                <w:color w:val="40C0C0"/>
                <w:sz w:val="15"/>
              </w:rPr>
            </w:pPr>
            <w:r>
              <w:rPr>
                <w:rFonts w:ascii="Arial;Helvetica;sans-serif" w:hAnsi="Arial;Helvetica;sans-serif"/>
                <w:b/>
                <w:color w:val="40C0C0"/>
                <w:sz w:val="15"/>
              </w:rPr>
              <w:t>Douglas Francis</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11/7/2024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5"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19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5"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5" w:type="dxa"/>
            </w:tcMar>
            <w:vAlign w:val="center"/>
          </w:tcPr>
          <w:p>
            <w:pPr>
              <w:pStyle w:val="TableContents"/>
              <w:bidi w:val="0"/>
              <w:spacing w:before="0" w:after="283"/>
              <w:ind w:left="13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5"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2,894,931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2,388,608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11/7/2024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95"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19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95"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95" w:type="dxa"/>
            </w:tcMar>
            <w:vAlign w:val="center"/>
          </w:tcPr>
          <w:p>
            <w:pPr>
              <w:pStyle w:val="TableContents"/>
              <w:bidi w:val="0"/>
              <w:spacing w:before="0" w:after="283"/>
              <w:ind w:left="13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95"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rFonts w:ascii="Arial;Helvetica;sans-serif" w:hAnsi="Arial;Helvetica;sans-serif"/>
                <w:color w:val="000000"/>
                <w:sz w:val="15"/>
              </w:rPr>
            </w:pPr>
            <w:r>
              <w:rPr>
                <w:rFonts w:ascii="Arial;Helvetica;sans-serif" w:hAnsi="Arial;Helvetica;sans-serif"/>
                <w:color w:val="000000"/>
                <w:sz w:val="15"/>
              </w:rPr>
              <w:t>4,342,391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rFonts w:ascii="Arial;Helvetica;sans-serif" w:hAnsi="Arial;Helvetica;sans-serif"/>
                <w:color w:val="000000"/>
                <w:sz w:val="15"/>
              </w:rPr>
            </w:pPr>
            <w:r>
              <w:rPr>
                <w:rFonts w:ascii="Arial;Helvetica;sans-serif" w:hAnsi="Arial;Helvetica;sans-serif"/>
                <w:color w:val="000000"/>
                <w:sz w:val="15"/>
              </w:rPr>
              <w:t xml:space="preserve">3,582,907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000000"/>
            </w:tcBorders>
            <w:tcMar>
              <w:bottom w:w="95" w:type="dxa"/>
            </w:tcMar>
            <w:vAlign w:val="center"/>
          </w:tcPr>
          <w:p>
            <w:pPr>
              <w:pStyle w:val="TableContents"/>
              <w:bidi w:val="0"/>
              <w:spacing w:before="0" w:after="283"/>
              <w:ind w:left="80" w:right="0" w:hanging="0"/>
              <w:jc w:val="left"/>
              <w:rPr>
                <w:rFonts w:ascii="Arial;Helvetica;sans-serif" w:hAnsi="Arial;Helvetica;sans-serif"/>
                <w:b/>
                <w:color w:val="40C0C0"/>
                <w:sz w:val="15"/>
              </w:rPr>
            </w:pPr>
            <w:r>
              <w:rPr>
                <w:rFonts w:ascii="Arial;Helvetica;sans-serif" w:hAnsi="Arial;Helvetica;sans-serif"/>
                <w:b/>
                <w:color w:val="40C0C0"/>
                <w:sz w:val="15"/>
              </w:rPr>
              <w:t>Brian Camire</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3/5/2025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5"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 xml:space="preserve">(4)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195"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5" w:type="dxa"/>
            </w:tcMar>
            <w:vAlign w:val="center"/>
          </w:tcPr>
          <w:p>
            <w:pPr>
              <w:pStyle w:val="TableContents"/>
              <w:bidi w:val="0"/>
              <w:spacing w:before="0" w:after="283"/>
              <w:ind w:left="738"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632"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5" w:type="dxa"/>
            </w:tcMar>
            <w:vAlign w:val="center"/>
          </w:tcPr>
          <w:p>
            <w:pPr>
              <w:pStyle w:val="TableContents"/>
              <w:bidi w:val="0"/>
              <w:spacing w:before="0" w:after="283"/>
              <w:ind w:left="130"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5" w:type="dxa"/>
            </w:tcMar>
            <w:vAlign w:val="center"/>
          </w:tcPr>
          <w:p>
            <w:pPr>
              <w:pStyle w:val="TableContents"/>
              <w:bidi w:val="0"/>
              <w:spacing w:before="0" w:after="283"/>
              <w:ind w:left="514"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975,001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804,473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w:t>
            </w: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9/30/2023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0"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19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0"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0" w:type="dxa"/>
            </w:tcMar>
            <w:vAlign w:val="center"/>
          </w:tcPr>
          <w:p>
            <w:pPr>
              <w:pStyle w:val="TableContents"/>
              <w:bidi w:val="0"/>
              <w:spacing w:before="0" w:after="283"/>
              <w:ind w:left="13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0"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163,870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135,209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12/8/2020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0" w:type="dxa"/>
            </w:tcMar>
            <w:vAlign w:val="center"/>
          </w:tcPr>
          <w:p>
            <w:pPr>
              <w:pStyle w:val="TableContents"/>
              <w:bidi w:val="0"/>
              <w:spacing w:before="0" w:after="283"/>
              <w:ind w:left="380"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195" w:right="0" w:hanging="0"/>
              <w:jc w:val="left"/>
              <w:rPr>
                <w:rFonts w:ascii="Arial;Helvetica;sans-serif" w:hAnsi="Arial;Helvetica;sans-serif"/>
                <w:color w:val="000000"/>
                <w:sz w:val="15"/>
              </w:rPr>
            </w:pPr>
            <w:r>
              <w:rPr>
                <w:rFonts w:ascii="Arial;Helvetica;sans-serif" w:hAnsi="Arial;Helvetica;sans-serif"/>
                <w:color w:val="000000"/>
                <w:sz w:val="15"/>
              </w:rPr>
              <w:t>247,909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0"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0" w:type="dxa"/>
            </w:tcMar>
            <w:vAlign w:val="center"/>
          </w:tcPr>
          <w:p>
            <w:pPr>
              <w:pStyle w:val="TableContents"/>
              <w:bidi w:val="0"/>
              <w:spacing w:before="0" w:after="283"/>
              <w:ind w:left="130" w:right="0" w:hanging="0"/>
              <w:jc w:val="left"/>
              <w:rPr>
                <w:rFonts w:ascii="Arial;Helvetica;sans-serif" w:hAnsi="Arial;Helvetica;sans-serif"/>
                <w:color w:val="000000"/>
                <w:sz w:val="15"/>
              </w:rPr>
            </w:pPr>
            <w:r>
              <w:rPr>
                <w:rFonts w:ascii="Arial;Helvetica;sans-serif" w:hAnsi="Arial;Helvetica;sans-serif"/>
                <w:color w:val="000000"/>
                <w:sz w:val="15"/>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0"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11/12/2019</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95" w:type="dxa"/>
            </w:tcMar>
            <w:vAlign w:val="center"/>
          </w:tcPr>
          <w:p>
            <w:pPr>
              <w:pStyle w:val="TableContents"/>
              <w:bidi w:val="0"/>
              <w:spacing w:before="0" w:after="283"/>
              <w:ind w:left="38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195" w:right="0" w:hanging="0"/>
              <w:jc w:val="left"/>
              <w:rPr>
                <w:rFonts w:ascii="Arial;Helvetica;sans-serif" w:hAnsi="Arial;Helvetica;sans-serif"/>
                <w:color w:val="000000"/>
                <w:sz w:val="15"/>
              </w:rPr>
            </w:pPr>
            <w:r>
              <w:rPr>
                <w:rFonts w:ascii="Arial;Helvetica;sans-serif" w:hAnsi="Arial;Helvetica;sans-serif"/>
                <w:color w:val="000000"/>
                <w:sz w:val="15"/>
              </w:rPr>
              <w:t>433,840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95"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95" w:type="dxa"/>
            </w:tcMar>
            <w:vAlign w:val="center"/>
          </w:tcPr>
          <w:p>
            <w:pPr>
              <w:pStyle w:val="TableContents"/>
              <w:bidi w:val="0"/>
              <w:spacing w:before="0" w:after="283"/>
              <w:ind w:left="130" w:right="0" w:hanging="0"/>
              <w:jc w:val="left"/>
              <w:rPr>
                <w:rFonts w:ascii="Arial;Helvetica;sans-serif" w:hAnsi="Arial;Helvetica;sans-serif"/>
                <w:color w:val="000000"/>
                <w:sz w:val="15"/>
              </w:rPr>
            </w:pPr>
            <w:r>
              <w:rPr>
                <w:rFonts w:ascii="Arial;Helvetica;sans-serif" w:hAnsi="Arial;Helvetica;sans-serif"/>
                <w:color w:val="000000"/>
                <w:sz w:val="15"/>
              </w:rPr>
              <w:t>8.03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95"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80" w:right="0" w:hanging="0"/>
              <w:jc w:val="left"/>
              <w:rPr>
                <w:rFonts w:ascii="Arial;Helvetica;sans-serif" w:hAnsi="Arial;Helvetica;sans-serif"/>
                <w:b/>
                <w:color w:val="40C0C0"/>
                <w:sz w:val="15"/>
              </w:rPr>
            </w:pPr>
            <w:r>
              <w:rPr>
                <w:rFonts w:ascii="Arial;Helvetica;sans-serif" w:hAnsi="Arial;Helvetica;sans-serif"/>
                <w:b/>
                <w:color w:val="40C0C0"/>
                <w:sz w:val="15"/>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5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1,800,000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1,485,180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4"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750" w:type="dxa"/>
        <w:jc w:val="left"/>
        <w:tblInd w:w="0" w:type="dxa"/>
        <w:tblLayout w:type="fixed"/>
        <w:tblCellMar>
          <w:top w:w="0" w:type="dxa"/>
          <w:left w:w="0" w:type="dxa"/>
          <w:bottom w:w="0" w:type="dxa"/>
          <w:right w:w="0" w:type="dxa"/>
        </w:tblCellMar>
      </w:tblPr>
      <w:tblGrid>
        <w:gridCol w:w="170"/>
        <w:gridCol w:w="758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75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market value is based on the closing price of our common stock as of December 31, 2025 of $0.8251 per share. </w:t>
            </w:r>
          </w:p>
        </w:tc>
      </w:tr>
    </w:tbl>
    <w:tbl>
      <w:tblPr>
        <w:tblW w:w="9865" w:type="dxa"/>
        <w:jc w:val="left"/>
        <w:tblInd w:w="0" w:type="dxa"/>
        <w:tblLayout w:type="fixed"/>
        <w:tblCellMar>
          <w:top w:w="0" w:type="dxa"/>
          <w:left w:w="0" w:type="dxa"/>
          <w:bottom w:w="0" w:type="dxa"/>
          <w:right w:w="0" w:type="dxa"/>
        </w:tblCellMar>
      </w:tblPr>
      <w:tblGrid>
        <w:gridCol w:w="170"/>
        <w:gridCol w:w="969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969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remaining unvested RSU award vests in eight equal quarterly installments beginning on February 15, 2026, subject to continued service with us.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5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PRSU award vests based upon achieving certain target prices for the Company’s common stock in accordance with the performance-based vesting conditions described above under “</w:t>
            </w:r>
            <w:r>
              <w:rPr>
                <w:rFonts w:ascii="Arial;Helvetica;sans-serif" w:hAnsi="Arial;Helvetica;sans-serif"/>
                <w:b/>
                <w:i/>
                <w:color w:val="000000"/>
                <w:sz w:val="14"/>
              </w:rPr>
              <w:t>Long-Term Equity Incentive Compensation.”</w:t>
            </w:r>
            <w:r>
              <w:rPr>
                <w:rFonts w:ascii="Arial;Helvetica;sans-serif" w:hAnsi="Arial;Helvetica;sans-serif"/>
                <w:b/>
                <w:color w:val="000000"/>
                <w:sz w:val="14"/>
              </w:rPr>
              <w:t xml:space="preserve"> </w:t>
            </w:r>
          </w:p>
        </w:tc>
      </w:tr>
    </w:tbl>
    <w:tbl>
      <w:tblPr>
        <w:tblW w:w="9625" w:type="dxa"/>
        <w:jc w:val="left"/>
        <w:tblInd w:w="0" w:type="dxa"/>
        <w:tblLayout w:type="fixed"/>
        <w:tblCellMar>
          <w:top w:w="0" w:type="dxa"/>
          <w:left w:w="0" w:type="dxa"/>
          <w:bottom w:w="0" w:type="dxa"/>
          <w:right w:w="0" w:type="dxa"/>
        </w:tblCellMar>
      </w:tblPr>
      <w:tblGrid>
        <w:gridCol w:w="170"/>
        <w:gridCol w:w="945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94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remaining unvested RSU awards vest in nine equal quarterly installments beginning February 15, 2026, subject to continued service with us. </w:t>
            </w:r>
          </w:p>
        </w:tc>
      </w:tr>
    </w:tbl>
    <w:tbl>
      <w:tblPr>
        <w:tblW w:w="9880" w:type="dxa"/>
        <w:jc w:val="left"/>
        <w:tblInd w:w="0" w:type="dxa"/>
        <w:tblLayout w:type="fixed"/>
        <w:tblCellMar>
          <w:top w:w="0" w:type="dxa"/>
          <w:left w:w="0" w:type="dxa"/>
          <w:bottom w:w="0" w:type="dxa"/>
          <w:right w:w="0" w:type="dxa"/>
        </w:tblCellMar>
      </w:tblPr>
      <w:tblGrid>
        <w:gridCol w:w="170"/>
        <w:gridCol w:w="971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97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remaining unvested RSU award vests in three equal quarterly installments beginning on February 15, 2026, subject to continued service with us.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4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One-third of the unvested RSU vests on February 16, 2026 and the remaining unvested RSU award vests in eight equal quarterly installments beginning May 15, 2026, subject to continued service with us.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69089x2_def14a_113-summary_pg3"/>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Narrative to Summary Compensation Table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the compensation programs for our Named Executive Officers consisted of base salary, cash bonuses and equity-based incentive awards. Detailed information about these compensation programs can be found above in the section </w:t>
      </w:r>
      <w:r>
        <w:rPr>
          <w:rFonts w:ascii="Arial;Helvetica;sans-serif" w:hAnsi="Arial;Helvetica;sans-serif"/>
          <w:i/>
          <w:color w:val="000000"/>
          <w:sz w:val="18"/>
        </w:rPr>
        <w:t>Executive Compensation – Compensation Elements</w:t>
      </w:r>
      <w:r>
        <w:rPr>
          <w:rFonts w:ascii="Arial;Helvetica;sans-serif" w:hAnsi="Arial;Helvetica;sans-serif"/>
          <w:color w:val="000000"/>
          <w:sz w:val="18"/>
        </w:rPr>
        <w:t xml:space="preserve">.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Executive Employment Arrangements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of our Named Executive Officers have entered into an offer letter with Ghost Management Group, LLC, which provides for employment on an at-will basis.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Douglas Francis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Francis entered into an offer of continued employment with Ghost Management Group, LLC, dated November 7, 2024, reflecting his continued service as our Chief Executive Officer. Pursuant to the terms of the offer letter, Mr. Francis’ annual base salary is $750,000. Mr. Francis also is eligible to participate in the employee benefit plans generally available to our employees and maintained by us. In addition, Mr. Francis is eligible for a reimbursement of the annual membership fee for a concierge medical plan selected by Mr. Francis, subject to a net after-tax maximum yearly amount of $24,000.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Brian Camire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Camire previously entered into an offer letter with Ghost Management Group, LLC, dated April 4, 2019. Pursuant to the terms of the offer letter, Mr. Camire’s annual base salary was $350,000, which increased to $410,000 per year, and which further increased to $450,000 in March 2025. Mr. Camire also is eligible to participate in the employee benefit plans generally available to our employees and maintained by us.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Sarah Griffis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Ms. Griffis previously entered into an offer letter with Ghost Management Group, LLC, dated December 2, 2024. Pursuant to the terms of the offer letter, Ms. Griffis’ annual base salary is $400,000. Ms. Griffis also is eligible to participate in the employee benefit plans generally available to our employees and maintained by us. </w:t>
      </w:r>
    </w:p>
    <w:p>
      <w:pPr>
        <w:pStyle w:val="TextBody"/>
        <w:bidi w:val="0"/>
        <w:spacing w:before="420" w:after="283"/>
        <w:ind w:left="0" w:right="0" w:hanging="0"/>
        <w:jc w:val="left"/>
        <w:rPr>
          <w:rFonts w:ascii="Arial;Helvetica;sans-serif" w:hAnsi="Arial;Helvetica;sans-serif"/>
          <w:b/>
          <w:color w:val="40C0C0"/>
          <w:sz w:val="24"/>
        </w:rPr>
      </w:pPr>
      <w:bookmarkStart w:id="98" w:name="tPPU"/>
      <w:bookmarkEnd w:id="98"/>
      <w:r>
        <w:rPr>
          <w:rFonts w:ascii="Arial;Helvetica;sans-serif" w:hAnsi="Arial;Helvetica;sans-serif"/>
          <w:b/>
          <w:color w:val="40C0C0"/>
          <w:sz w:val="24"/>
        </w:rPr>
        <w:t xml:space="preserve">Potential Payments Upon Termination or Change in Control </w:t>
      </w:r>
    </w:p>
    <w:p>
      <w:pPr>
        <w:pStyle w:val="TextBody"/>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of Messrs. Francis and Camire and Ms. Griffis is eligible to participate in the Severance Plan, which provides certain benefits.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Severance Plan provides for severance and change in control benefits to our Named Executive Officers upon a “change in control termination” or a “regular termination” (each, as described below). Upon a change in control termination, Mr. Camire and Ms. Griffis are entitled to (i) a lump sum payment equal to 12 months of his or her base salary, (ii) a lump sum payment equal to 100% of his or her annual target cash bonus, (iii) full vesting acceleration of all outstanding equity awards (with any performance-based vesting awards deemed achieved at target level), and (iv) payment of group health insurance premiums for 12 months. Upon a change in control termination, Mr. Francis (together with Mr. Camire and Ms. Griffis, our current Named Executive Officers eligible to participate in the Severance Plan) is entitled to (i) a lump sum payment equal to 18 months of his base salary, (ii) a lump sum payment equal to 150% of his annual target cash bonus, (iii) full vesting acceleration of all outstanding equity awards (with any performance-based vesting awards deemed achieved at target level), and (iv) payment of group health insurance premiums for 18 months. Upon a regular termination, Mr. Camire and Ms. Griffis are entitled to (i) continued payment of his or her base salary for 9 months, (ii) a lump sum payment equal to 75% of his or her annual target cash bonus, and (iii) payment of group health insurance premiums for 9 months. Upon a regular termination, Mr. Francis is entitled to (i) continued payment of his base salary for 12 months, (ii) a lump sum payment equal to 100% of his annual target cash bonus, and (iii) payment of group health insurance premiums for 12 months. All benefits under the Severance Plan are subject to the Named Executive Officer’s execution of an effective release of claims against us.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69089x2_def14a_113-summary_pg4"/>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2025. </w:t>
      </w:r>
    </w:p>
    <w:tbl>
      <w:tblPr>
        <w:tblW w:w="10205" w:type="dxa"/>
        <w:jc w:val="left"/>
        <w:tblInd w:w="0" w:type="dxa"/>
        <w:tblLayout w:type="fixed"/>
        <w:tblCellMar>
          <w:top w:w="0" w:type="dxa"/>
          <w:left w:w="0" w:type="dxa"/>
          <w:bottom w:w="0" w:type="dxa"/>
          <w:right w:w="0" w:type="dxa"/>
        </w:tblCellMar>
      </w:tblPr>
      <w:tblGrid>
        <w:gridCol w:w="185"/>
        <w:gridCol w:w="1125"/>
        <w:gridCol w:w="170"/>
        <w:gridCol w:w="170"/>
        <w:gridCol w:w="2339"/>
        <w:gridCol w:w="170"/>
        <w:gridCol w:w="170"/>
        <w:gridCol w:w="770"/>
        <w:gridCol w:w="170"/>
        <w:gridCol w:w="170"/>
        <w:gridCol w:w="770"/>
        <w:gridCol w:w="170"/>
        <w:gridCol w:w="170"/>
        <w:gridCol w:w="919"/>
        <w:gridCol w:w="170"/>
        <w:gridCol w:w="170"/>
        <w:gridCol w:w="1069"/>
        <w:gridCol w:w="170"/>
        <w:gridCol w:w="170"/>
        <w:gridCol w:w="770"/>
        <w:gridCol w:w="218"/>
      </w:tblGrid>
      <w:tr>
        <w:trPr/>
        <w:tc>
          <w:tcPr>
            <w:tcW w:w="185" w:type="dxa"/>
            <w:tcBorders/>
            <w:shd w:fill="000000" w:val="clear"/>
            <w:vAlign w:val="center"/>
          </w:tcPr>
          <w:p>
            <w:pPr>
              <w:pStyle w:val="TableContents"/>
              <w:bidi w:val="0"/>
              <w:spacing w:before="0" w:after="0"/>
              <w:jc w:val="left"/>
              <w:rPr/>
            </w:pPr>
            <w:r>
              <w:rPr/>
              <w:t> </w:t>
            </w:r>
          </w:p>
        </w:tc>
        <w:tc>
          <w:tcPr>
            <w:tcW w:w="11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33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6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12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339"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Triggering Event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1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Continued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6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Acceleration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125" w:type="dxa"/>
            <w:vMerge w:val="restart"/>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(non-CIC)</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35,376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1,535,376</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1125" w:type="dxa"/>
            <w:vMerge w:val="continue"/>
            <w:tcBorders>
              <w:bottom w:val="single" w:sz="8" w:space="0" w:color="999999"/>
            </w:tcBorders>
            <w:tcMar>
              <w:bottom w:w="128"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during CIC period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53,064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rFonts w:ascii="Arial;Helvetica;sans-serif" w:hAnsi="Arial;Helvetica;sans-serif"/>
                <w:color w:val="000000"/>
                <w:sz w:val="16"/>
              </w:rPr>
            </w:pPr>
            <w:r>
              <w:rPr>
                <w:rFonts w:ascii="Arial;Helvetica;sans-serif" w:hAnsi="Arial;Helvetica;sans-serif"/>
                <w:color w:val="000000"/>
                <w:sz w:val="16"/>
              </w:rPr>
              <w:t>5,971,514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8,274,578</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125" w:type="dxa"/>
            <w:vMerge w:val="restart"/>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(non-CIC)</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337,500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168,750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18,528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524,778</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1125" w:type="dxa"/>
            <w:vMerge w:val="continue"/>
            <w:tcBorders>
              <w:bottom w:val="single" w:sz="8" w:space="0" w:color="999999"/>
            </w:tcBorders>
            <w:tcMar>
              <w:bottom w:w="128"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during CIC period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24,703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rFonts w:ascii="Arial;Helvetica;sans-serif" w:hAnsi="Arial;Helvetica;sans-serif"/>
                <w:color w:val="000000"/>
                <w:sz w:val="16"/>
              </w:rPr>
            </w:pPr>
            <w:r>
              <w:rPr>
                <w:rFonts w:ascii="Arial;Helvetica;sans-serif" w:hAnsi="Arial;Helvetica;sans-serif"/>
                <w:color w:val="000000"/>
                <w:sz w:val="16"/>
              </w:rPr>
              <w:t>939,682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1,639,385</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125" w:type="dxa"/>
            <w:vMerge w:val="restart"/>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(non-CIC)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8,480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1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458,480</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3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during CIC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11,306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176" w:right="0" w:hanging="0"/>
              <w:jc w:val="left"/>
              <w:rPr>
                <w:rFonts w:ascii="Arial;Helvetica;sans-serif" w:hAnsi="Arial;Helvetica;sans-serif"/>
                <w:color w:val="000000"/>
                <w:sz w:val="16"/>
              </w:rPr>
            </w:pPr>
            <w:r>
              <w:rPr>
                <w:rFonts w:ascii="Arial;Helvetica;sans-serif" w:hAnsi="Arial;Helvetica;sans-serif"/>
                <w:color w:val="000000"/>
                <w:sz w:val="16"/>
              </w:rPr>
              <w:t>1,485,180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2,096,486</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9895" w:type="dxa"/>
        <w:jc w:val="left"/>
        <w:tblInd w:w="0" w:type="dxa"/>
        <w:tblLayout w:type="fixed"/>
        <w:tblCellMar>
          <w:top w:w="0" w:type="dxa"/>
          <w:left w:w="0" w:type="dxa"/>
          <w:bottom w:w="0" w:type="dxa"/>
          <w:right w:w="0" w:type="dxa"/>
        </w:tblCellMar>
      </w:tblPr>
      <w:tblGrid>
        <w:gridCol w:w="170"/>
        <w:gridCol w:w="972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972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market value of equity acceleration is calculated based on the closing price of our common stock as of December 31, 2025 of $0.8251 per share. </w:t>
            </w:r>
          </w:p>
        </w:tc>
      </w:tr>
    </w:tbl>
    <w:p>
      <w:pPr>
        <w:pStyle w:val="TextBody"/>
        <w:bidi w:val="0"/>
        <w:spacing w:before="39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Pension Benefits and Retirement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did not participate in, or otherwise receive any benefits under, any pension or retirement plan sponsored by us during 2025 other than the 401(k) Plan.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Clawback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2023, we adopted our Incentive Compensation Recoupment Policy in compliance with requirements under the Dodd Frank Wall Street Reform and Consumer Protection Act and related Nasdaq listing rules, which was amended and restated in 2024. Our Incentive Compensation Recoupment Policy is filed as Exhibit 97.1 to our Annual Report on Form 10-K for the year ended December 31, 2025. </w:t>
      </w:r>
    </w:p>
    <w:p>
      <w:pPr>
        <w:pStyle w:val="TextBody"/>
        <w:bidi w:val="0"/>
        <w:spacing w:before="3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Policies and Practices Related to the Grant of Certain Equity Awards Close in Time to the Release of Material Nonpublic Information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does not grant stock options, stock appreciation rights, or similar instruments with option-like features and has no policies or practices to disclose pursuant to Item 402(x)(1) of Regulation S-K.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0" w:name="ny20069089x2_def14a_113-summary_pg5"/>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101" w:name="tDIC"/>
      <w:bookmarkEnd w:id="101"/>
      <w:r>
        <w:rPr>
          <w:rFonts w:ascii="Arial;Helvetica;sans-serif" w:hAnsi="Arial;Helvetica;sans-serif"/>
          <w:b/>
          <w:color w:val="40C0C0"/>
          <w:sz w:val="24"/>
        </w:rPr>
        <w:t xml:space="preserve">Director Compensation </w:t>
      </w:r>
    </w:p>
    <w:p>
      <w:pPr>
        <w:pStyle w:val="TextBody"/>
        <w:bidi w:val="0"/>
        <w:spacing w:before="1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Non-Employee Director Compensation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2025, we compensated our non-employee directors in accordance with a Non-Employee Director Compensation Policy. The Non-Employee Director Compensation Policy is intended to provide a total compensation package that enables us to attract and retain, on a long-term basis, high-caliber directors who are not our employees or officers.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Non-Employee Director Compensation Policy was amended in 2023 with changes effective on 1/1/2023. The Non-Employee Director Compensation Policy, as amended, that remained effective for 2025 consisted of the following elements: </w:t>
      </w:r>
    </w:p>
    <w:tbl>
      <w:tblPr>
        <w:tblW w:w="7995" w:type="dxa"/>
        <w:jc w:val="left"/>
        <w:tblInd w:w="0" w:type="dxa"/>
        <w:tblLayout w:type="fixed"/>
        <w:tblCellMar>
          <w:top w:w="0" w:type="dxa"/>
          <w:left w:w="0" w:type="dxa"/>
          <w:bottom w:w="0" w:type="dxa"/>
          <w:right w:w="0" w:type="dxa"/>
        </w:tblCellMar>
      </w:tblPr>
      <w:tblGrid>
        <w:gridCol w:w="185"/>
        <w:gridCol w:w="6515"/>
        <w:gridCol w:w="170"/>
        <w:gridCol w:w="170"/>
        <w:gridCol w:w="740"/>
        <w:gridCol w:w="215"/>
      </w:tblGrid>
      <w:tr>
        <w:trPr/>
        <w:tc>
          <w:tcPr>
            <w:tcW w:w="185" w:type="dxa"/>
            <w:tcBorders/>
            <w:shd w:fill="000000" w:val="clear"/>
            <w:vAlign w:val="center"/>
          </w:tcPr>
          <w:p>
            <w:pPr>
              <w:pStyle w:val="TableContents"/>
              <w:bidi w:val="0"/>
              <w:spacing w:before="0" w:after="0"/>
              <w:jc w:val="left"/>
              <w:rPr/>
            </w:pPr>
            <w:r>
              <w:rPr/>
              <w:t> </w:t>
            </w:r>
          </w:p>
        </w:tc>
        <w:tc>
          <w:tcPr>
            <w:tcW w:w="65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651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Description of Non-Employee Director Compensation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Amount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Annual Retainer for Board Membership</w:t>
            </w:r>
            <w:r>
              <w:rPr>
                <w:rFonts w:ascii="Arial;Helvetica;sans-serif" w:hAnsi="Arial;Helvetica;sans-serif"/>
                <w:b/>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New Director Grant of RSUs for New Non-Employee Directors</w:t>
            </w:r>
            <w:r>
              <w:rPr>
                <w:rFonts w:ascii="Arial;Helvetica;sans-serif" w:hAnsi="Arial;Helvetica;sans-serif"/>
                <w:b/>
                <w:color w:val="000000"/>
                <w:position w:val="5"/>
                <w:sz w:val="13"/>
                <w:sz w:val="16"/>
              </w:rPr>
              <w:t>(3)(4)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Initial Term Grants for Existing Non-Employee Directors</w:t>
            </w:r>
            <w:r>
              <w:rPr>
                <w:rFonts w:ascii="Arial;Helvetica;sans-serif" w:hAnsi="Arial;Helvetica;sans-serif"/>
                <w:b/>
                <w:color w:val="000000"/>
                <w:position w:val="5"/>
                <w:sz w:val="13"/>
                <w:sz w:val="16"/>
              </w:rPr>
              <w:t>(4)(5)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Annual RSU Grant for All Non-Employee Directors</w:t>
            </w:r>
            <w:r>
              <w:rPr>
                <w:rFonts w:ascii="Arial;Helvetica;sans-serif" w:hAnsi="Arial;Helvetica;sans-serif"/>
                <w:b/>
                <w:color w:val="000000"/>
                <w:position w:val="5"/>
                <w:sz w:val="13"/>
                <w:sz w:val="16"/>
              </w:rPr>
              <w:t>(5)(6)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Committee Additional Cash Retainer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Audit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Audit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7,500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Nominating and Corporate Governance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Nominating and Corporate Governance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Technology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Technology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7,500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Additional Annual Retainer for Chairperson of the Board (if a Non-Employee Director)</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Additional Annual Retainer for Lead Independent Director</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15" w:type="dxa"/>
            <w:tcBorders/>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Additional Meeting Fees for each Director</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625" w:type="dxa"/>
        <w:jc w:val="left"/>
        <w:tblInd w:w="0" w:type="dxa"/>
        <w:tblLayout w:type="fixed"/>
        <w:tblCellMar>
          <w:top w:w="0" w:type="dxa"/>
          <w:left w:w="0" w:type="dxa"/>
          <w:bottom w:w="0" w:type="dxa"/>
          <w:right w:w="0" w:type="dxa"/>
        </w:tblCellMar>
      </w:tblPr>
      <w:tblGrid>
        <w:gridCol w:w="170"/>
        <w:gridCol w:w="945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94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Vested upon payment and paid in arrears on the last business day of each fiscal quarter in which the Non-Employee Director’s service occurred.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6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69089x2_def14a_113-summary_pg6"/>
        <w:bookmarkEnd w:id="1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7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7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6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At the close of business on the date of each annual meeting of our stockholders, each Non-Employee Director who is re-elected by our stockholders to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6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certain information with respect to the compensation of all non-employee directors of the Company in 2025. These amounts reflect our accounting expense for these RSUs, as further described in the footnotes to the table, and do not represent the actual economic value that was realized in 2025 or may be realized upon vesting by the non-employee director. </w:t>
      </w:r>
    </w:p>
    <w:tbl>
      <w:tblPr>
        <w:tblW w:w="10205" w:type="dxa"/>
        <w:jc w:val="left"/>
        <w:tblInd w:w="0" w:type="dxa"/>
        <w:tblLayout w:type="fixed"/>
        <w:tblCellMar>
          <w:top w:w="0" w:type="dxa"/>
          <w:left w:w="0" w:type="dxa"/>
          <w:bottom w:w="0" w:type="dxa"/>
          <w:right w:w="0" w:type="dxa"/>
        </w:tblCellMar>
      </w:tblPr>
      <w:tblGrid>
        <w:gridCol w:w="185"/>
        <w:gridCol w:w="1019"/>
        <w:gridCol w:w="170"/>
        <w:gridCol w:w="170"/>
        <w:gridCol w:w="843"/>
        <w:gridCol w:w="170"/>
        <w:gridCol w:w="170"/>
        <w:gridCol w:w="664"/>
        <w:gridCol w:w="170"/>
        <w:gridCol w:w="170"/>
        <w:gridCol w:w="634"/>
        <w:gridCol w:w="170"/>
        <w:gridCol w:w="170"/>
        <w:gridCol w:w="1204"/>
        <w:gridCol w:w="170"/>
        <w:gridCol w:w="170"/>
        <w:gridCol w:w="1204"/>
        <w:gridCol w:w="170"/>
        <w:gridCol w:w="170"/>
        <w:gridCol w:w="1204"/>
        <w:gridCol w:w="170"/>
        <w:gridCol w:w="170"/>
        <w:gridCol w:w="649"/>
        <w:gridCol w:w="219"/>
      </w:tblGrid>
      <w:tr>
        <w:trPr/>
        <w:tc>
          <w:tcPr>
            <w:tcW w:w="185" w:type="dxa"/>
            <w:tcBorders/>
            <w:shd w:fill="000000" w:val="clear"/>
            <w:vAlign w:val="center"/>
          </w:tcPr>
          <w:p>
            <w:pPr>
              <w:pStyle w:val="TableContents"/>
              <w:bidi w:val="0"/>
              <w:spacing w:before="0" w:after="0"/>
              <w:jc w:val="left"/>
              <w:rPr/>
            </w:pPr>
            <w:r>
              <w:rPr/>
              <w:t> </w:t>
            </w:r>
          </w:p>
        </w:tc>
        <w:tc>
          <w:tcPr>
            <w:tcW w:w="10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3"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6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49" w:type="dxa"/>
            <w:tcBorders/>
            <w:shd w:fill="000000" w:val="clear"/>
            <w:vAlign w:val="center"/>
          </w:tcPr>
          <w:p>
            <w:pPr>
              <w:pStyle w:val="TableContents"/>
              <w:bidi w:val="0"/>
              <w:spacing w:before="0" w:after="0"/>
              <w:jc w:val="left"/>
              <w:rPr/>
            </w:pPr>
            <w:r>
              <w:rPr/>
              <w:t>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019"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3"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Fees Earned 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Paid in Cash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6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Nonqualified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deferred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earnings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4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Tony Aquila</w:t>
            </w:r>
            <w:r>
              <w:rPr>
                <w:rFonts w:ascii="Arial;Helvetica;sans-serif" w:hAnsi="Arial;Helvetica;sans-serif"/>
                <w:b/>
                <w:color w:val="40C0C0"/>
                <w:position w:val="5"/>
                <w:sz w:val="13"/>
                <w:sz w:val="16"/>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88,750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88,750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90,000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506,727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596,727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145,000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145,000</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Olga Gonzalez</w:t>
            </w:r>
            <w:r>
              <w:rPr>
                <w:rFonts w:ascii="Arial;Helvetica;sans-serif" w:hAnsi="Arial;Helvetica;sans-serif"/>
                <w:b/>
                <w:color w:val="40C0C0"/>
                <w:position w:val="5"/>
                <w:sz w:val="13"/>
                <w:sz w:val="16"/>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92,935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92,935</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Scott Gordon</w:t>
            </w:r>
            <w:r>
              <w:rPr>
                <w:rFonts w:ascii="Arial;Helvetica;sans-serif" w:hAnsi="Arial;Helvetica;sans-serif"/>
                <w:b/>
                <w:color w:val="40C0C0"/>
                <w:position w:val="5"/>
                <w:sz w:val="13"/>
                <w:sz w:val="16"/>
              </w:rPr>
              <w:t>(5)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62,500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62,500</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Glenn Ibbott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75,694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506,727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283"/>
              <w:ind w:left="3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582,421</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4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following table shows, for each named individual, the aggregate shares under stock awards and the aggregate shares underlying option awards held by that individual as of December 31, 2025.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7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13 to our financial statements included in our Annual Report on Form 10-K for the year ended December 31, 2025. </w:t>
            </w:r>
          </w:p>
        </w:tc>
      </w:tr>
    </w:tbl>
    <w:tbl>
      <w:tblPr>
        <w:tblW w:w="5200" w:type="dxa"/>
        <w:jc w:val="left"/>
        <w:tblInd w:w="0" w:type="dxa"/>
        <w:tblLayout w:type="fixed"/>
        <w:tblCellMar>
          <w:top w:w="0" w:type="dxa"/>
          <w:left w:w="0" w:type="dxa"/>
          <w:bottom w:w="0" w:type="dxa"/>
          <w:right w:w="0" w:type="dxa"/>
        </w:tblCellMar>
      </w:tblPr>
      <w:tblGrid>
        <w:gridCol w:w="170"/>
        <w:gridCol w:w="503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50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Aquila resigned as a member of the Board, effective September 2, 2025. </w:t>
            </w:r>
          </w:p>
        </w:tc>
      </w:tr>
    </w:tbl>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52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Ms. Gonzalez resigned as a member of the Board, effective September 2, 2025. </w:t>
            </w:r>
          </w:p>
        </w:tc>
      </w:tr>
    </w:tbl>
    <w:tbl>
      <w:tblPr>
        <w:tblW w:w="4885" w:type="dxa"/>
        <w:jc w:val="left"/>
        <w:tblInd w:w="0" w:type="dxa"/>
        <w:tblLayout w:type="fixed"/>
        <w:tblCellMar>
          <w:top w:w="0" w:type="dxa"/>
          <w:left w:w="0" w:type="dxa"/>
          <w:bottom w:w="0" w:type="dxa"/>
          <w:right w:w="0" w:type="dxa"/>
        </w:tblCellMar>
      </w:tblPr>
      <w:tblGrid>
        <w:gridCol w:w="170"/>
        <w:gridCol w:w="471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47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Gordon resigned as a member of the Board, effective April 6, 2026.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9089x2_def14a_113-summary_pg7"/>
        <w:bookmarkEnd w:id="103"/>
        <w:r>
          <w:rPr>
            <w:rStyle w:val="InternetLink"/>
            <w:rFonts w:ascii="Times New Roman;Times;Serif" w:hAnsi="Times New Roman;Times;Serif"/>
            <w:b/>
            <w:caps w:val="false"/>
            <w:smallCaps w:val="false"/>
            <w:color w:val="000000"/>
            <w:sz w:val="16"/>
          </w:rPr>
          <w:t>TABLE OF CONTENTS</w:t>
        </w:r>
      </w:hyperlink>
    </w:p>
    <w:tbl>
      <w:tblPr>
        <w:tblW w:w="4095" w:type="dxa"/>
        <w:jc w:val="left"/>
        <w:tblInd w:w="0" w:type="dxa"/>
        <w:tblLayout w:type="fixed"/>
        <w:tblCellMar>
          <w:top w:w="0" w:type="dxa"/>
          <w:left w:w="0" w:type="dxa"/>
          <w:bottom w:w="0" w:type="dxa"/>
          <w:right w:w="0" w:type="dxa"/>
        </w:tblCellMar>
      </w:tblPr>
      <w:tblGrid>
        <w:gridCol w:w="185"/>
        <w:gridCol w:w="1355"/>
        <w:gridCol w:w="170"/>
        <w:gridCol w:w="170"/>
        <w:gridCol w:w="2000"/>
        <w:gridCol w:w="215"/>
      </w:tblGrid>
      <w:tr>
        <w:trPr/>
        <w:tc>
          <w:tcPr>
            <w:tcW w:w="185" w:type="dxa"/>
            <w:tcBorders/>
            <w:shd w:fill="000000" w:val="clear"/>
            <w:vAlign w:val="center"/>
          </w:tcPr>
          <w:p>
            <w:pPr>
              <w:pStyle w:val="TableContents"/>
              <w:bidi w:val="0"/>
              <w:spacing w:before="0" w:after="0"/>
              <w:jc w:val="left"/>
              <w:rPr/>
            </w:pPr>
            <w:r>
              <w:rPr/>
              <w:t> </w:t>
            </w:r>
          </w:p>
        </w:tc>
        <w:tc>
          <w:tcPr>
            <w:tcW w:w="13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35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Aggregate 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Outstanding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as of December 31, 2025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Tony Aquila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 xml:space="preserve">545,454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 xml:space="preserve">156,250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Olga Gonzalez</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Scott Gordon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377,358</w:t>
            </w:r>
            <w:r>
              <w:rPr>
                <w:rFonts w:ascii="Arial;Helvetica;sans-serif" w:hAnsi="Arial;Helvetica;sans-serif"/>
                <w:color w:val="000000"/>
                <w:position w:val="5"/>
                <w:sz w:val="13"/>
                <w:sz w:val="16"/>
              </w:rPr>
              <w:t>1</w:t>
            </w:r>
            <w:r>
              <w:rPr>
                <w:rFonts w:ascii="Arial;Helvetica;sans-serif" w:hAnsi="Arial;Helvetica;sans-serif"/>
                <w:color w:val="000000"/>
                <w:sz w:val="16"/>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Glen Ibbott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545,454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In connection with Mr. Gordon's resignation from the Board, effective April 6, 2026, the Company agreed to accelerate the vesting of 188,679 RSUs subject to this award, contingent upon receipt of notice from Mr. Gordon of his intent to resign as a director of the Company, effective as of immediately prior to the effectiveness of Mr. Gordon's resignation. The remainder of the unvested RSUs were forfeited.</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4" w:name="ny20069089x2_def14a_114-pvp_pg1"/>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05" w:name="tPVP"/>
      <w:bookmarkEnd w:id="105"/>
      <w:r>
        <w:rPr>
          <w:rFonts w:ascii="Arial;Helvetica;sans-serif" w:hAnsi="Arial;Helvetica;sans-serif"/>
          <w:color w:val="000000"/>
          <w:sz w:val="64"/>
        </w:rPr>
        <w:t xml:space="preserve">Pay Versus Performance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by Section 953(a) of the Dodd-Frank Act and Item 402(v) of Regulation S-K, we are providing the following information about the relationship between compensation actually paid (“CAP”) to our principal executive officers (“PEOs”) and our non-PEO Named Executive Officers (“Non-PEO NEOs”) and certain financial performance of the Company. Also as required by the SEC, this section compares CAP to various measures used to gauge performance at the Company. Accordingly, the table below includes the following “Company-Selected Measure” as defined in Item 402(v) of Regulation S-K: Revenue. The disclosure included in this section is prescribed by SEC rules and does not necessarily align with how the Company or the Compensation Committee view the link between the Company’s performance and named executive officer pay and the Compensation Committee did not consider the disclosure below in making its pay decisions for any of the years shown. For information on our executive compensation program and the Compensation Committee’s approach, refer to the above Narrative Disclosure to Summary Compensation Table and Outstanding Equity Awards at Fiscal Year-End table.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Pay Versus Performance</w:t>
      </w:r>
    </w:p>
    <w:tbl>
      <w:tblPr>
        <w:tblW w:w="8535" w:type="dxa"/>
        <w:jc w:val="left"/>
        <w:tblInd w:w="0" w:type="dxa"/>
        <w:tblLayout w:type="fixed"/>
        <w:tblCellMar>
          <w:top w:w="0" w:type="dxa"/>
          <w:left w:w="0" w:type="dxa"/>
          <w:bottom w:w="0" w:type="dxa"/>
          <w:right w:w="0" w:type="dxa"/>
        </w:tblCellMar>
      </w:tblPr>
      <w:tblGrid>
        <w:gridCol w:w="185"/>
        <w:gridCol w:w="410"/>
        <w:gridCol w:w="170"/>
        <w:gridCol w:w="170"/>
        <w:gridCol w:w="995"/>
        <w:gridCol w:w="170"/>
        <w:gridCol w:w="170"/>
        <w:gridCol w:w="1055"/>
        <w:gridCol w:w="170"/>
        <w:gridCol w:w="170"/>
        <w:gridCol w:w="995"/>
        <w:gridCol w:w="170"/>
        <w:gridCol w:w="170"/>
        <w:gridCol w:w="935"/>
        <w:gridCol w:w="170"/>
        <w:gridCol w:w="170"/>
        <w:gridCol w:w="875"/>
        <w:gridCol w:w="170"/>
        <w:gridCol w:w="170"/>
        <w:gridCol w:w="830"/>
        <w:gridCol w:w="215"/>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2045" w:type="dxa"/>
            <w:gridSpan w:val="4"/>
            <w:tcBorders/>
            <w:shd w:fill="808080" w:val="clear"/>
            <w:vAlign w:val="center"/>
          </w:tcPr>
          <w:p>
            <w:pPr>
              <w:pStyle w:val="TableContents"/>
              <w:bidi w:val="0"/>
              <w:spacing w:before="0" w:after="0"/>
              <w:jc w:val="left"/>
              <w:rPr/>
            </w:pPr>
            <w:r>
              <w:rPr/>
              <w:t>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8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2045" w:type="dxa"/>
            <w:gridSpan w:val="4"/>
            <w:tcBorders/>
            <w:shd w:fill="80808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Initial Fixed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$100 Investment Based On: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CAP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CAP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(4)</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Shareholder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Return</w:t>
            </w:r>
            <w:r>
              <w:rPr>
                <w:rFonts w:ascii="Arial;Helvetica;sans-serif" w:hAnsi="Arial;Helvetica;sans-serif"/>
                <w:b/>
                <w:color w:val="FFFFFF"/>
                <w:position w:val="5"/>
                <w:sz w:val="11"/>
                <w:sz w:val="14"/>
              </w:rPr>
              <w:t>(5)</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Net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Income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(Loss)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(millions)</w:t>
            </w:r>
            <w:r>
              <w:rPr>
                <w:rFonts w:ascii="Arial;Helvetica;sans-serif" w:hAnsi="Arial;Helvetica;sans-serif"/>
                <w:b/>
                <w:color w:val="FFFFFF"/>
                <w:position w:val="5"/>
                <w:sz w:val="11"/>
                <w:sz w:val="14"/>
              </w:rPr>
              <w:t>(6)</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color w:val="000000"/>
              </w:rPr>
            </w:pPr>
            <w:r>
              <w:rPr>
                <w:color w:val="000000"/>
              </w:rPr>
              <w:t>​</w:t>
            </w:r>
            <w:r>
              <w:rPr>
                <w:rFonts w:ascii="Arial;Helvetica;sans-serif" w:hAnsi="Arial;Helvetica;sans-serif"/>
                <w:color w:val="000000"/>
                <w:sz w:val="16"/>
              </w:rPr>
              <w:t>1,437,169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5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(4,221,410)</w:t>
            </w:r>
            <w:r>
              <w:rPr>
                <w:rFonts w:ascii="Arial;Helvetica;sans-serif" w:hAnsi="Arial;Helvetica;sans-serif"/>
                <w:color w:val="000000"/>
                <w:position w:val="5"/>
                <w:sz w:val="13"/>
                <w:sz w:val="16"/>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3,117,978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2,177,005</w:t>
            </w:r>
            <w:r>
              <w:rPr>
                <w:rFonts w:ascii="Arial;Helvetica;sans-serif" w:hAnsi="Arial;Helvetica;sans-serif"/>
                <w:color w:val="000000"/>
                <w:position w:val="5"/>
                <w:sz w:val="13"/>
                <w:sz w:val="16"/>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5" w:type="dxa"/>
            <w:tcBorders>
              <w:bottom w:val="single" w:sz="8" w:space="0" w:color="999999"/>
            </w:tcBorders>
            <w:tcMar>
              <w:bottom w:w="128" w:type="dxa"/>
            </w:tcMar>
            <w:vAlign w:val="center"/>
          </w:tcPr>
          <w:p>
            <w:pPr>
              <w:pStyle w:val="TableContents"/>
              <w:bidi w:val="0"/>
              <w:spacing w:before="0" w:after="283"/>
              <w:ind w:left="365" w:right="0" w:hanging="0"/>
              <w:jc w:val="left"/>
              <w:rPr>
                <w:rFonts w:ascii="Arial;Helvetica;sans-serif" w:hAnsi="Arial;Helvetica;sans-serif"/>
                <w:color w:val="000000"/>
                <w:sz w:val="16"/>
              </w:rPr>
            </w:pPr>
            <w:r>
              <w:rPr>
                <w:rFonts w:ascii="Arial;Helvetica;sans-serif" w:hAnsi="Arial;Helvetica;sans-serif"/>
                <w:color w:val="000000"/>
                <w:sz w:val="16"/>
              </w:rPr>
              <w:t>81.69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128" w:type="dxa"/>
            </w:tcMar>
            <w:vAlign w:val="center"/>
          </w:tcPr>
          <w:p>
            <w:pPr>
              <w:pStyle w:val="TableContents"/>
              <w:bidi w:val="0"/>
              <w:spacing w:before="0" w:after="283"/>
              <w:ind w:left="247" w:right="0" w:hanging="0"/>
              <w:jc w:val="left"/>
              <w:rPr>
                <w:rFonts w:ascii="Arial;Helvetica;sans-serif" w:hAnsi="Arial;Helvetica;sans-serif"/>
                <w:color w:val="000000"/>
                <w:sz w:val="16"/>
              </w:rPr>
            </w:pPr>
            <w:r>
              <w:rPr>
                <w:rFonts w:ascii="Arial;Helvetica;sans-serif" w:hAnsi="Arial;Helvetica;sans-serif"/>
                <w:color w:val="000000"/>
                <w:sz w:val="16"/>
              </w:rPr>
              <w:t xml:space="preserve">$3.26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7,509,027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5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12,875,782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594,250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629,840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5" w:type="dxa"/>
            <w:tcBorders>
              <w:bottom w:val="single" w:sz="8" w:space="0" w:color="999999"/>
            </w:tcBorders>
            <w:tcMar>
              <w:bottom w:w="128" w:type="dxa"/>
            </w:tcMar>
            <w:vAlign w:val="center"/>
          </w:tcPr>
          <w:p>
            <w:pPr>
              <w:pStyle w:val="TableContents"/>
              <w:bidi w:val="0"/>
              <w:spacing w:before="0" w:after="283"/>
              <w:ind w:left="365" w:right="0" w:hanging="0"/>
              <w:jc w:val="left"/>
              <w:rPr>
                <w:rFonts w:ascii="Arial;Helvetica;sans-serif" w:hAnsi="Arial;Helvetica;sans-serif"/>
                <w:color w:val="000000"/>
                <w:sz w:val="16"/>
              </w:rPr>
            </w:pPr>
            <w:r>
              <w:rPr>
                <w:rFonts w:ascii="Arial;Helvetica;sans-serif" w:hAnsi="Arial;Helvetica;sans-serif"/>
                <w:color w:val="000000"/>
                <w:sz w:val="16"/>
              </w:rPr>
              <w:t>136.63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128" w:type="dxa"/>
            </w:tcMar>
            <w:vAlign w:val="center"/>
          </w:tcPr>
          <w:p>
            <w:pPr>
              <w:pStyle w:val="TableContents"/>
              <w:bidi w:val="0"/>
              <w:spacing w:before="0" w:after="283"/>
              <w:ind w:left="247" w:right="0" w:hanging="0"/>
              <w:jc w:val="left"/>
              <w:rPr>
                <w:rFonts w:ascii="Arial;Helvetica;sans-serif" w:hAnsi="Arial;Helvetica;sans-serif"/>
                <w:color w:val="000000"/>
                <w:sz w:val="16"/>
              </w:rPr>
            </w:pPr>
            <w:r>
              <w:rPr>
                <w:rFonts w:ascii="Arial;Helvetica;sans-serif" w:hAnsi="Arial;Helvetica;sans-serif"/>
                <w:color w:val="000000"/>
                <w:sz w:val="16"/>
              </w:rPr>
              <w:t xml:space="preserve">$12.19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1,162,045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1,153,035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1,593,985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1,186,043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65" w:right="0" w:hanging="0"/>
              <w:jc w:val="left"/>
              <w:rPr>
                <w:rFonts w:ascii="Arial;Helvetica;sans-serif" w:hAnsi="Arial;Helvetica;sans-serif"/>
                <w:color w:val="000000"/>
                <w:sz w:val="16"/>
              </w:rPr>
            </w:pPr>
            <w:r>
              <w:rPr>
                <w:rFonts w:ascii="Arial;Helvetica;sans-serif" w:hAnsi="Arial;Helvetica;sans-serif"/>
                <w:color w:val="000000"/>
                <w:sz w:val="16"/>
              </w:rPr>
              <w:t>71.29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47" w:right="0" w:hanging="0"/>
              <w:jc w:val="left"/>
              <w:rPr>
                <w:rFonts w:ascii="Arial;Helvetica;sans-serif" w:hAnsi="Arial;Helvetica;sans-serif"/>
                <w:color w:val="000000"/>
                <w:sz w:val="16"/>
              </w:rPr>
            </w:pPr>
            <w:r>
              <w:rPr>
                <w:rFonts w:ascii="Arial;Helvetica;sans-serif" w:hAnsi="Arial;Helvetica;sans-serif"/>
                <w:color w:val="000000"/>
                <w:sz w:val="16"/>
              </w:rPr>
              <w:t>$(15.73)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are total compensation reported for Mr. Francis (our Chairperson of the Board and Principal Executive Officer since November 7, 2022) for each corresponding year in the “Total” column of the Summary Compensation Table. Refer to “Executive Compensation—Summary Compensation Table.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CAP to Mr. Francis as computed in accordance with Item 402(v) of Regulation S-K. The dollar amounts do not reflect the actual amount of compensation earned by or paid to Mr. Francis during the applicable year adjusted in accordance with the requirements of Item 402(v) of Regulation S-K.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the average of the amounts reported for Non-PEO NEOs in the “Total” column of the Summary Compensation Table in each applicable year. The Non-PEO NEOs included for purposes of calculating the average amounts in each applicable year are as follows: (i) for 2025, Brian Camire, General Counsel, and Sarah Griffis, Chief Technology Officer, (ii) 2024, Brian Camire, General Counsel, Susan Echard, Chief Financial Officer and Duncan Grazier, Chief Technology Officer; and (ii) for 2023, Brian Camire, General Counsel and Duncan Grazier, Chief Technology Officer .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6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the average amount of CAP to Non-PEO NEOs, as computed in accordance with Item 402(v) of Regulation S-K. The dollar amounts do not reflect the actual average amount of compensation earned by or paid to Non-PEO NEOs during the applicable year adjusted in accordance with the requirements of Item 402(v) of Regulation S-K.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6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the cumulative Total Shareholder Return (“TSR”) on a fixed investment of $100 in the Company’s Class A Common Stock, including the cumulative amount of dividends, for the measurement period beginning on the last trading day of 2022 through the last trading day of the applicable fiscal year, assuming dividend reinvestment. </w:t>
            </w:r>
          </w:p>
        </w:tc>
      </w:tr>
    </w:tbl>
    <w:tbl>
      <w:tblPr>
        <w:tblW w:w="10120" w:type="dxa"/>
        <w:jc w:val="left"/>
        <w:tblInd w:w="0" w:type="dxa"/>
        <w:tblLayout w:type="fixed"/>
        <w:tblCellMar>
          <w:top w:w="0" w:type="dxa"/>
          <w:left w:w="0" w:type="dxa"/>
          <w:bottom w:w="0" w:type="dxa"/>
          <w:right w:w="0" w:type="dxa"/>
        </w:tblCellMar>
      </w:tblPr>
      <w:tblGrid>
        <w:gridCol w:w="170"/>
        <w:gridCol w:w="995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995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for Net Income (Loss) reported represent the amount reflected in the Company’s audited financial statements for the applicable year.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69089x2_def14a_114-pvp_pg2"/>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For fiscal year 2025, the CAP to our PEO and the average CAP to the Non-PEO NEOs reflect the following adjustments made to the total compensation amounts reported in the Summary Compensation Table for fiscal year 2025, computed in accordance with Item 402(v) of Regulation S-K: </w:t>
            </w:r>
          </w:p>
        </w:tc>
      </w:tr>
    </w:tbl>
    <w:tbl>
      <w:tblPr>
        <w:tblW w:w="10205" w:type="dxa"/>
        <w:jc w:val="left"/>
        <w:tblInd w:w="0" w:type="dxa"/>
        <w:tblLayout w:type="fixed"/>
        <w:tblCellMar>
          <w:top w:w="0" w:type="dxa"/>
          <w:left w:w="0" w:type="dxa"/>
          <w:bottom w:w="0" w:type="dxa"/>
          <w:right w:w="0" w:type="dxa"/>
        </w:tblCellMar>
      </w:tblPr>
      <w:tblGrid>
        <w:gridCol w:w="185"/>
        <w:gridCol w:w="7157"/>
        <w:gridCol w:w="170"/>
        <w:gridCol w:w="170"/>
        <w:gridCol w:w="937"/>
        <w:gridCol w:w="170"/>
        <w:gridCol w:w="170"/>
        <w:gridCol w:w="1030"/>
        <w:gridCol w:w="216"/>
      </w:tblGrid>
      <w:tr>
        <w:trPr/>
        <w:tc>
          <w:tcPr>
            <w:tcW w:w="185" w:type="dxa"/>
            <w:tcBorders/>
            <w:shd w:fill="000000" w:val="clear"/>
            <w:vAlign w:val="center"/>
          </w:tcPr>
          <w:p>
            <w:pPr>
              <w:pStyle w:val="TableContents"/>
              <w:bidi w:val="0"/>
              <w:spacing w:before="0" w:after="0"/>
              <w:jc w:val="left"/>
              <w:rPr/>
            </w:pPr>
            <w:r>
              <w:rPr/>
              <w:t> </w:t>
            </w:r>
          </w:p>
        </w:tc>
        <w:tc>
          <w:tcPr>
            <w:tcW w:w="715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0"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157"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Fiscal 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7"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Mr. Francis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(PEO)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2025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NEOs (Average)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Summary Compensation Table total</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1,437,169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3,117,978</w:t>
            </w:r>
            <w:r>
              <w:rPr>
                <w:rFonts w:ascii="Arial;Helvetica;sans-serif" w:hAnsi="Arial;Helvetica;sans-serif"/>
                <w:color w:val="000000"/>
                <w:sz w:val="16"/>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Less: Grant Date Fair Value of Stock Awards Columns in the Summary Compensation Table for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(2,493,000)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Fair Value at Applicable Fiscal Year-End of Awards Granted during Applicable Fiscal Year that Remain Unvested as of Applicable Fiscal Year End*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1,144,827</w:t>
            </w:r>
            <w:r>
              <w:rPr>
                <w:rFonts w:ascii="Arial;Helvetica;sans-serif" w:hAnsi="Arial;Helvetica;sans-serif"/>
                <w:color w:val="000000"/>
                <w:sz w:val="16"/>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Change in Fair Value from the end of the Prior Fiscal Year to the end of the Applicable Fiscal Year of Awards Granted during Prior Fiscal Year that were Outstanding and Unvested as of Applicable Fiscal Year End*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(5,362,863)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(45,466)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Vesting Date Fair Value of Awards Granted in Applicable Fiscal Year that Vested During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474,985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Change in Fair Value from the end of the Prior Fiscal Year to the Vesting Date of Awards Granted during Prior Fiscal Year that Vested During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(295,716)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(22,319)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Fair Value at Prior Year End of Awards Granted during Prior Fiscal Year that were Forfeited during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Other earnings paid on equity awards prior to the vesting date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57"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CAP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(4,221,410)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2,177,005</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800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valuation assumptions used to calculate fair values did not materially differ from those disclosed at the time of grant.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69089x2_def14a_114-pvp_pg3"/>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Required Disclosure of the Relationship Between CAP and Financial Performance Measures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by Item 402(v) of Regulation S-K, 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fully represent the actual final amount of compensation earned by or actually paid to our NEOs during the applicable years.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graph below illustrates the relationship between CAP to our PEOs and CAP to our Non-PEO NEOs. </w:t>
      </w:r>
    </w:p>
    <w:p>
      <w:pPr>
        <w:pStyle w:val="TextBody"/>
        <w:bidi w:val="0"/>
        <w:spacing w:before="400" w:after="283"/>
        <w:ind w:left="0" w:right="0" w:hanging="0"/>
        <w:jc w:val="left"/>
        <w:rPr>
          <w:color w:val="000000"/>
        </w:rPr>
      </w:pPr>
      <w:r>
        <w:rPr>
          <w:color w:val="000000"/>
        </w:rPr>
        <w:drawing>
          <wp:inline distT="0" distB="0" distL="0" distR="0">
            <wp:extent cx="6448425" cy="30003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8"/>
                    <a:stretch>
                      <a:fillRect/>
                    </a:stretch>
                  </pic:blipFill>
                  <pic:spPr bwMode="auto">
                    <a:xfrm>
                      <a:off x="0" y="0"/>
                      <a:ext cx="6448425" cy="3000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69089x2_def14a_114-pvp_pg4"/>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graph below illustrates the relationship between Net (loss) Income and PEO CAP and Average Non-PEO NEOs CAP.</w:t>
      </w:r>
    </w:p>
    <w:p>
      <w:pPr>
        <w:pStyle w:val="TextBody"/>
        <w:bidi w:val="0"/>
        <w:spacing w:before="400" w:after="283"/>
        <w:ind w:left="0" w:right="0" w:hanging="0"/>
        <w:jc w:val="left"/>
        <w:rPr>
          <w:color w:val="000000"/>
        </w:rPr>
      </w:pPr>
      <w:r>
        <w:rPr>
          <w:color w:val="000000"/>
        </w:rPr>
        <w:drawing>
          <wp:inline distT="0" distB="0" distL="0" distR="0">
            <wp:extent cx="6457950" cy="34480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9"/>
                    <a:stretch>
                      <a:fillRect/>
                    </a:stretch>
                  </pic:blipFill>
                  <pic:spPr bwMode="auto">
                    <a:xfrm>
                      <a:off x="0" y="0"/>
                      <a:ext cx="6457950" cy="3448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hanging="0"/>
        <w:jc w:val="left"/>
        <w:rPr>
          <w:color w:val="000000"/>
        </w:rPr>
      </w:pPr>
      <w:r>
        <w:rPr>
          <w:color w:val="000000"/>
        </w:rPr>
        <w:t> </w:t>
      </w:r>
      <w:r>
        <w:rPr>
          <w:rFonts w:ascii="Arial;Helvetica;sans-serif" w:hAnsi="Arial;Helvetica;sans-serif"/>
          <w:i/>
          <w:color w:val="000000"/>
          <w:sz w:val="18"/>
        </w:rPr>
        <w:t>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r>
        <w:rPr>
          <w:rFonts w:ascii="Arial;Helvetica;sans-serif" w:hAnsi="Arial;Helvetica;sans-serif"/>
          <w:color w:val="000000"/>
          <w:sz w:val="18"/>
        </w:rPr>
        <w:t xml:space="preserv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69089x2_def14a_115-certain_pg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10" w:name="tCRA"/>
      <w:bookmarkEnd w:id="110"/>
      <w:r>
        <w:rPr>
          <w:rFonts w:ascii="Arial;Helvetica;sans-serif" w:hAnsi="Arial;Helvetica;sans-serif"/>
          <w:color w:val="000000"/>
          <w:sz w:val="64"/>
        </w:rPr>
        <w:t xml:space="preserve">Certain Relationships and Related Person Transactions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summary of transactions since January 1, 2024,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Amended Operating Company Agreement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of the business combination among Silver Spike Acquisition Corp. on June 16, 2021 (the “Closing Date”), its wholly owned direct subsidiary Silver Spike Merger Sub LLC, and WM Holding Company, LLC (the “Business Combination”), the WMH LLC operating agreement was further amended and restated in its entirety to become the Fourth Amended and Restated Operating Agreement (the “Amended Operating Agreement”). Messrs. Camire, Francis and Hartfield and Ghost Media Group, LLC all own Paired Interests and Class P Units as described in the section titled “Security Ownership of Certain Beneficial Owners and Management.”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Rights of the Units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Management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Distributions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69089x2_def14a_115-certain_pg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TRA.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Upon the liquidation or winding up of WMH LLC, subject to the treatment of Class P Units and LTIP Units (as defined in the Amended Operating Agreement) and tax distributions, all net proceeds thereof will be distributed in accordance with each member’s number of Units. </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Transfer Restrictions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Exchange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we, WMH LLC and the Unit holders, including Messrs. Camire, Francis, Hartfield and Ghost Media Group, LLC, as described in the section 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Tax Receivable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we, the Holder Representative and the Class A Unit holders, including Mr. Francis, Mr. Hartfield and Ghost Media Group, LLC, as described in the section titled “Security Ownership of Certain Beneficial Owners and Management,” entered into the tax receivable agreement, (the “TRA”),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69089x2_def14a_115-certain_pg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payments we will be required to make under the TRA may be substantial. Assuming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$165.0 million, as of December 31, 2025, over 15 years from the Closing Date. Under this scenario, we would be required to pay to the Class A Unit holders approximately 85% of such amount, or $138.9 million, as of December 31, 2025,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WMH LLC.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Payments under the TRA will be based on the tax reporting positions we determine, and the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(A) our obligations under the TRA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TRA would be based on certain assumptions, including that our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its liquidity. The change of control provisions in the TRA may also result in situations where the Class A Unit holders have interests that differ from or are in addition to those of the Class A stockholders.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Finally, because we are a holding company with no operations of our own, our ability to make payments under the TRA depends on our ability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Amended and Restated Registration Rights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Silver Spike Sponsor, LLC (“Silver Spike Sponsor”) and certain Unit holders, including Messrs. Camire, Francis, Silver Spike Sponsor, LLC and Ghost Media Group, LLC, as described in the section titled “Security Ownership of Certain Beneficial Owners and Management,” entered into the Amended and Restated Registration Rights Agreement, dated June 16, 2021, among us and certain of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69089x2_def14a_115-certain_pg4"/>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Silver Spike Related Transactions and Agreements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2025, the remaining balance of the promissory note receivable was $0.1 million. We received a total of $0.3 million in 2025 for principal and interest related to the promissory note receivable.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years ended December 31, 2025 and 2024, the Company reimbursed $0.4 million and $0.2 million, respectively, in certain legal fee to Silver Spike Holdings, an affiliate to a member of the board of directors in connection with the SEC investigation disclosed in the Company’s Form 10-K. </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Certain Other Enterprises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Shield Management Group, LLC is a business in which currently Mr. Francis indirectly owns a majority interest, and Mr. Hartfield indirectly owns a minority interest. In 2024 and 2025, Shield Management Group, LLC used our listing products and participated in other brand promotion opportunities. Shield Management Group, LLC paid us a total of $223,855 and $301,283 in 2025 and 2024, respectively for such products and services.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Glasir Group, LLC is a business owned by Mr. Francis and his spouse. During the second quarter of 2022, we entered into a sublease agreement with Glasir Group, LLC of our offices located at 43 Discovery, Irvine, California 92618. The sublease commenced on June 1, 2022, and was terminated on October 31, 2024. Glasir Group, LLC paid us a total of $1,351,053 in 2024, respectively for rent under the sublease.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4" w:name="ny20069089x2_def14a_115-certain_pg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Scott Gordon RSU Acceleration</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On July 24, 2024, the Company granted Scott Gordon an award of 566,037 RSUs, of which 377,358 RSUs remained unvested prior to Mr. Gordon's resignation from the Board, effective April 6, 2026. In connection with his resignation, the Company agreed to accelerate the vesting of 188,679 RSUs subject to this award, contingent upon receipt of notice from Mr. Gordon of his intent to resign as a director of the Company, effective as of immediately prior to the effectiveness of Mr. Gordon's resignation. The remainder of the RSUs subject to this award were forfeited.</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Other Transactions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2025.”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granted equity awards to certain of our executive officers. For a description of equity awards granted to our Named Executive Officers, see the section entitled “Executive Compensation.”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entered into indemnification agreements with substantially all of our directors and executive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entered into an employment agreement with Russ Francis, the brother of Douglas Francis, our Chief Executive Officer and Chairman of the Board. Pursuant to his employment agreement, Russ Francis will serve as a Senior Web Designer and receive an annual salary of $170,000, benefits and be eligible for a 10% target bonus.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entered into an employment agreement with Sydnee Francis, the daughter of Douglas Francis, our Chief Executive Officer and Chairman of the Board. Pursuant to her employment agreement, Sydnee Francis will serve as a Marketplace Business Analyst and receive an annual salary of $100,000, benefits and be eligible for a 10% target bonus.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Related Person Transactions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69089x2_def14a_115-certain_pg6"/>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considering related-person transactions, our Audit Committee takes into account the relevant available facts and circumstances, which may include, but are not limited to: </w:t>
      </w:r>
    </w:p>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risk, cost and benefits to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impact on a director’s independence in the event the related person is a director, immediate family member of a director or an entity with which a director is affiliated; </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terms of the transaction; and </w:t>
            </w:r>
          </w:p>
        </w:tc>
      </w:tr>
    </w:tbl>
    <w:tbl>
      <w:tblPr>
        <w:tblW w:w="5785" w:type="dxa"/>
        <w:jc w:val="left"/>
        <w:tblInd w:w="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availability of other sources for comparable services or products.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Audit Committee shall approve only those related-party transactions that, in light of known circumstances, are in, or are not inconsistent with, our best interests and our stockholders, as our Audit Committee determines in the good faith exercise of its discretion.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69089x2_def14a_115-certain_pg7"/>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17" w:name="tHOP"/>
      <w:bookmarkEnd w:id="117"/>
      <w:r>
        <w:rPr>
          <w:rFonts w:ascii="Arial;Helvetica;sans-serif" w:hAnsi="Arial;Helvetica;sans-serif"/>
          <w:color w:val="000000"/>
          <w:sz w:val="64"/>
        </w:rPr>
        <w:t xml:space="preserve">Householding of Proxy Materials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WM Technology, Inc. Direct your written request to Investor Relations at investors@weedmaps.com; 41 Discovery, Irvine CA 92618 or (844) 933-3627. Stockholders who currently receive multiple copies of the Notices of Internet Availability of Proxy Materials at their addresses and would like to request “householding” of their communications should contact their brokers. In addition, we will promptly deliver, upon written or oral request to the address or telephone number above, a separate copy of the Notice of Internet Availability of Proxy Materials or the full set of proxy materials, as applicable, to a stockholder at a shared address to which a single copy of the documents was delivered.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8" w:name="ny20069089x2_def14a_115-certain_pg8"/>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19" w:name="tOTM"/>
      <w:bookmarkEnd w:id="119"/>
      <w:r>
        <w:rPr>
          <w:rFonts w:ascii="Arial;Helvetica;sans-serif" w:hAnsi="Arial;Helvetica;sans-serif"/>
          <w:color w:val="000000"/>
          <w:sz w:val="64"/>
        </w:rPr>
        <w:t xml:space="preserve">Other Matters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 Brian Camire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Brian Camire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 Counsel and Secretary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April 28, 2026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 copy of our Annual Report to the Securities and Exchange Commission on Form 10-K for the year ended December 31, 2025 is available without charge upon written request to: Brian Camire, 41 Discovery, Irvine, California 92618.</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0" w:name="ny20069089x2_def14a_200-appa_pg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Arial;Helvetica;sans-serif" w:hAnsi="Arial;Helvetica;sans-serif"/>
          <w:b/>
          <w:color w:val="000000"/>
          <w:sz w:val="18"/>
        </w:rPr>
      </w:pPr>
      <w:bookmarkStart w:id="121" w:name="tAPPA"/>
      <w:bookmarkEnd w:id="121"/>
      <w:r>
        <w:rPr>
          <w:rFonts w:ascii="Arial;Helvetica;sans-serif" w:hAnsi="Arial;Helvetica;sans-serif"/>
          <w:b/>
          <w:color w:val="000000"/>
          <w:sz w:val="18"/>
        </w:rPr>
        <w:t xml:space="preserve">Appendix A </w:t>
      </w:r>
    </w:p>
    <w:p>
      <w:pPr>
        <w:pStyle w:val="TextBody"/>
        <w:bidi w:val="0"/>
        <w:spacing w:before="380" w:after="283"/>
        <w:jc w:val="center"/>
        <w:rPr>
          <w:rFonts w:ascii="Arial;Helvetica;sans-serif" w:hAnsi="Arial;Helvetica;sans-serif"/>
          <w:b/>
          <w:color w:val="000000"/>
          <w:sz w:val="18"/>
        </w:rPr>
      </w:pPr>
      <w:r>
        <w:rPr>
          <w:rFonts w:ascii="Arial;Helvetica;sans-serif" w:hAnsi="Arial;Helvetica;sans-serif"/>
          <w:b/>
          <w:color w:val="000000"/>
          <w:sz w:val="18"/>
        </w:rPr>
        <w:t xml:space="preserve">CERTIFICATE OF AMENDMENT TO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CERTIFICATE OF INCORPORATION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OF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WM TECHNOLOGY, INC. </w:t>
      </w:r>
    </w:p>
    <w:p>
      <w:pPr>
        <w:pStyle w:val="TextBody"/>
        <w:bidi w:val="0"/>
        <w:spacing w:before="260" w:after="283"/>
        <w:jc w:val="center"/>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u w:val="single"/>
        </w:rPr>
        <w:t>   </w:t>
      </w:r>
      <w:r>
        <w:rPr>
          <w:rFonts w:ascii="Arial;Helvetica;sans-serif" w:hAnsi="Arial;Helvetica;sans-serif"/>
          <w:color w:val="000000"/>
          <w:sz w:val="18"/>
        </w:rPr>
        <w:t xml:space="preserve">], 2026 </w:t>
      </w:r>
    </w:p>
    <w:p>
      <w:pPr>
        <w:pStyle w:val="TextBody"/>
        <w:bidi w:val="0"/>
        <w:spacing w:before="12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WM Technology, Inc., a corporation organized and existing under the laws of the State of Delaware (the “</w:t>
      </w:r>
      <w:r>
        <w:rPr>
          <w:rFonts w:ascii="Arial;Helvetica;sans-serif" w:hAnsi="Arial;Helvetica;sans-serif"/>
          <w:b/>
          <w:i/>
          <w:color w:val="000000"/>
          <w:sz w:val="20"/>
        </w:rPr>
        <w:t>Corporation</w:t>
      </w:r>
      <w:r>
        <w:rPr>
          <w:rFonts w:ascii="Arial;Helvetica;sans-serif" w:hAnsi="Arial;Helvetica;sans-serif"/>
          <w:color w:val="000000"/>
          <w:sz w:val="20"/>
        </w:rPr>
        <w:t xml:space="preserve">”), DOES HEREBY CERTIFY AS FOLLOWS: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2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The name of the corporation is “WM Technology, Inc.” The original certificate of incorporation was filed with the Secretary of State of the State of Delaware on June 15, 2021 (the “</w:t>
            </w:r>
            <w:r>
              <w:rPr>
                <w:rFonts w:ascii="Arial;Helvetica;sans-serif" w:hAnsi="Arial;Helvetica;sans-serif"/>
                <w:b/>
                <w:i/>
                <w:color w:val="000000"/>
                <w:sz w:val="18"/>
              </w:rPr>
              <w:t>Certificate of Incorporation</w:t>
            </w:r>
            <w:r>
              <w:rPr>
                <w:rFonts w:ascii="Arial;Helvetica;sans-serif" w:hAnsi="Arial;Helvetica;sans-serif"/>
                <w:color w:val="000000"/>
                <w:sz w:val="18"/>
              </w:rPr>
              <w:t xml:space="preserve">”). </w:t>
            </w:r>
          </w:p>
        </w:tc>
      </w:tr>
    </w:tbl>
    <w:tbl>
      <w:tblPr>
        <w:tblW w:w="10090" w:type="dxa"/>
        <w:jc w:val="left"/>
        <w:tblInd w:w="0" w:type="dxa"/>
        <w:tblLayout w:type="fixed"/>
        <w:tblCellMar>
          <w:top w:w="0" w:type="dxa"/>
          <w:left w:w="0" w:type="dxa"/>
          <w:bottom w:w="0" w:type="dxa"/>
          <w:right w:w="0" w:type="dxa"/>
        </w:tblCellMar>
      </w:tblPr>
      <w:tblGrid>
        <w:gridCol w:w="200"/>
        <w:gridCol w:w="989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Section 7.2 of the Certificate of Incorporation of the Corporation is amended and restated in its entirety to read as follows: </w:t>
            </w:r>
          </w:p>
        </w:tc>
      </w:tr>
    </w:tbl>
    <w:p>
      <w:pPr>
        <w:pStyle w:val="TextBody"/>
        <w:bidi w:val="0"/>
        <w:spacing w:before="180" w:after="283"/>
        <w:ind w:left="800" w:right="0" w:hanging="0"/>
        <w:jc w:val="left"/>
        <w:rPr>
          <w:color w:val="000000"/>
        </w:rPr>
      </w:pPr>
      <w:r>
        <w:rPr>
          <w:color w:val="000000"/>
        </w:rPr>
        <w:t>“</w:t>
      </w:r>
      <w:r>
        <w:rPr>
          <w:rFonts w:ascii="Arial;Helvetica;sans-serif" w:hAnsi="Arial;Helvetica;sans-serif"/>
          <w:color w:val="000000"/>
          <w:sz w:val="18"/>
          <w:u w:val="single"/>
        </w:rPr>
        <w:t>Term</w:t>
      </w:r>
      <w:r>
        <w:rPr>
          <w:rFonts w:ascii="Arial;Helvetica;sans-serif" w:hAnsi="Arial;Helvetica;sans-serif"/>
          <w:color w:val="000000"/>
          <w:sz w:val="18"/>
        </w:rPr>
        <w:t xml:space="preserve">. Each Director (other than Preferred Stock Directors) shall be elected at each annual meeting of stockholders and shall hold office until the following annual meeting of stockholders and until his or her successor shall be duly elected and qualified, or until his or her death, disqualification, resignation or removal.” </w:t>
      </w:r>
    </w:p>
    <w:tbl>
      <w:tblPr>
        <w:tblW w:w="10090" w:type="dxa"/>
        <w:jc w:val="left"/>
        <w:tblInd w:w="0" w:type="dxa"/>
        <w:tblLayout w:type="fixed"/>
        <w:tblCellMar>
          <w:top w:w="0" w:type="dxa"/>
          <w:left w:w="0" w:type="dxa"/>
          <w:bottom w:w="0" w:type="dxa"/>
          <w:right w:w="0" w:type="dxa"/>
        </w:tblCellMar>
      </w:tblPr>
      <w:tblGrid>
        <w:gridCol w:w="200"/>
        <w:gridCol w:w="989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Section 7.3 of the Certificate of Incorporation of the Corporation is amended and restated in its entirety to read as follows: </w:t>
            </w:r>
          </w:p>
        </w:tc>
      </w:tr>
    </w:tbl>
    <w:p>
      <w:pPr>
        <w:pStyle w:val="TextBody"/>
        <w:bidi w:val="0"/>
        <w:spacing w:before="180" w:after="283"/>
        <w:ind w:left="800" w:right="0" w:hanging="0"/>
        <w:jc w:val="left"/>
        <w:rPr>
          <w:color w:val="000000"/>
        </w:rPr>
      </w:pPr>
      <w:r>
        <w:rPr>
          <w:color w:val="000000"/>
        </w:rPr>
        <w:t>“</w:t>
      </w:r>
      <w:r>
        <w:rPr>
          <w:rFonts w:ascii="Arial;Helvetica;sans-serif" w:hAnsi="Arial;Helvetica;sans-serif"/>
          <w:color w:val="000000"/>
          <w:sz w:val="18"/>
          <w:u w:val="single"/>
        </w:rPr>
        <w:t>Vacancies and Newly Created Directorships</w:t>
      </w:r>
      <w:r>
        <w:rPr>
          <w:rFonts w:ascii="Arial;Helvetica;sans-serif" w:hAnsi="Arial;Helvetica;sans-serif"/>
          <w:color w:val="000000"/>
          <w:sz w:val="18"/>
        </w:rPr>
        <w:t xml:space="preserve">. Subject to any limitations imposed by applicable law and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number of Directors shall shorten the term of any Director then in office.” </w:t>
      </w:r>
    </w:p>
    <w:tbl>
      <w:tblPr>
        <w:tblW w:w="10045" w:type="dxa"/>
        <w:jc w:val="left"/>
        <w:tblInd w:w="0" w:type="dxa"/>
        <w:tblLayout w:type="fixed"/>
        <w:tblCellMar>
          <w:top w:w="0" w:type="dxa"/>
          <w:left w:w="0" w:type="dxa"/>
          <w:bottom w:w="0" w:type="dxa"/>
          <w:right w:w="0" w:type="dxa"/>
        </w:tblCellMar>
      </w:tblPr>
      <w:tblGrid>
        <w:gridCol w:w="200"/>
        <w:gridCol w:w="9845"/>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8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Section 7.4 of the Certificate of Incorporation of the Corporation is amended and restated in its entirety to read as follows:</w:t>
            </w:r>
          </w:p>
        </w:tc>
      </w:tr>
    </w:tbl>
    <w:p>
      <w:pPr>
        <w:pStyle w:val="TextBody"/>
        <w:bidi w:val="0"/>
        <w:spacing w:before="180" w:after="283"/>
        <w:ind w:left="800" w:right="0" w:hanging="0"/>
        <w:jc w:val="left"/>
        <w:rPr>
          <w:color w:val="000000"/>
        </w:rPr>
      </w:pPr>
      <w:r>
        <w:rPr>
          <w:color w:val="000000"/>
        </w:rPr>
        <w:t>“</w:t>
      </w:r>
      <w:r>
        <w:rPr>
          <w:rFonts w:ascii="Arial;Helvetica;sans-serif" w:hAnsi="Arial;Helvetica;sans-serif"/>
          <w:color w:val="000000"/>
          <w:sz w:val="18"/>
          <w:u w:val="single"/>
        </w:rPr>
        <w:t>Removal of Directors</w:t>
      </w:r>
      <w:r>
        <w:rPr>
          <w:rFonts w:ascii="Arial;Helvetica;sans-serif" w:hAnsi="Arial;Helvetica;sans-serif"/>
          <w:color w:val="000000"/>
          <w:sz w:val="18"/>
        </w:rPr>
        <w:t>. Subject to any limitations imposed by applicable law, except for Preferred Stock Directors,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1001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The foregoing amendments to the Certificate of Incorporation were duly approved by the Board of Directors of the Corporation (the “</w:t>
            </w:r>
            <w:r>
              <w:rPr>
                <w:rFonts w:ascii="Arial;Helvetica;sans-serif" w:hAnsi="Arial;Helvetica;sans-serif"/>
                <w:b/>
                <w:i/>
                <w:color w:val="000000"/>
                <w:sz w:val="18"/>
              </w:rPr>
              <w:t>Board</w:t>
            </w:r>
            <w:r>
              <w:rPr>
                <w:rFonts w:ascii="Arial;Helvetica;sans-serif" w:hAnsi="Arial;Helvetica;san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6.</w:t>
            </w:r>
          </w:p>
        </w:tc>
        <w:tc>
          <w:tcPr>
            <w:tcW w:w="1003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Thereafter, pursuant to a resolution of the Board, this Certificate of Amendment was submitted to the stockholders of the Corporation for their approval, and was duly adopted and approved in accordance with the provisions of Section 242 of the Delaware General Corporation Law. </w:t>
            </w:r>
          </w:p>
        </w:tc>
      </w:tr>
    </w:tbl>
    <w:p>
      <w:pPr>
        <w:pStyle w:val="TextBody"/>
        <w:bidi w:val="0"/>
        <w:spacing w:before="280" w:after="283"/>
        <w:jc w:val="center"/>
        <w:rPr>
          <w:rFonts w:ascii="Arial;Helvetica;sans-serif" w:hAnsi="Arial;Helvetica;sans-serif"/>
          <w:b/>
          <w:color w:val="000000"/>
          <w:sz w:val="18"/>
        </w:rPr>
      </w:pPr>
      <w:r>
        <w:rPr>
          <w:rFonts w:ascii="Arial;Helvetica;sans-serif" w:hAnsi="Arial;Helvetica;sans-serif"/>
          <w:b/>
          <w:color w:val="000000"/>
          <w:sz w:val="18"/>
        </w:rPr>
        <w:t xml:space="preserve">[SIGNATURE PAGE FOLLOWS] </w:t>
      </w:r>
    </w:p>
    <w:tbl>
      <w:tblPr>
        <w:tblW w:w="3800" w:type="dxa"/>
        <w:jc w:val="left"/>
        <w:tblInd w:w="0" w:type="dxa"/>
        <w:tblLayout w:type="fixed"/>
        <w:tblCellMar>
          <w:top w:w="0" w:type="dxa"/>
          <w:left w:w="0" w:type="dxa"/>
          <w:bottom w:w="0" w:type="dxa"/>
          <w:right w:w="0" w:type="dxa"/>
        </w:tblCellMar>
      </w:tblPr>
      <w:tblGrid>
        <w:gridCol w:w="1385"/>
        <w:gridCol w:w="170"/>
        <w:gridCol w:w="170"/>
        <w:gridCol w:w="26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69089x2_def14a_200-appa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IN WITNESS WHEREOF, WM Technology, Inc. has caused this Certificate of Amendment to be duly executed and acknowledged in its name and on behalf by an authorized officer of the date first set forth above. </w:t>
      </w:r>
    </w:p>
    <w:tbl>
      <w:tblPr>
        <w:tblW w:w="3440" w:type="dxa"/>
        <w:jc w:val="left"/>
        <w:tblInd w:w="0" w:type="dxa"/>
        <w:tblLayout w:type="fixed"/>
        <w:tblCellMar>
          <w:top w:w="0" w:type="dxa"/>
          <w:left w:w="0" w:type="dxa"/>
          <w:bottom w:w="0" w:type="dxa"/>
          <w:right w:w="0" w:type="dxa"/>
        </w:tblCellMar>
      </w:tblPr>
      <w:tblGrid>
        <w:gridCol w:w="185"/>
        <w:gridCol w:w="170"/>
        <w:gridCol w:w="170"/>
        <w:gridCol w:w="635"/>
        <w:gridCol w:w="170"/>
        <w:gridCol w:w="170"/>
        <w:gridCol w:w="194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WM TECHNOLOGY, INC.</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5" w:type="dxa"/>
            </w:tcMar>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Douglas Francis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bl>
    <w:tbl>
      <w:tblPr>
        <w:tblW w:w="3800" w:type="dxa"/>
        <w:jc w:val="left"/>
        <w:tblInd w:w="0" w:type="dxa"/>
        <w:tblLayout w:type="fixed"/>
        <w:tblCellMar>
          <w:top w:w="0" w:type="dxa"/>
          <w:left w:w="0" w:type="dxa"/>
          <w:bottom w:w="0" w:type="dxa"/>
          <w:right w:w="0" w:type="dxa"/>
        </w:tblCellMar>
      </w:tblPr>
      <w:tblGrid>
        <w:gridCol w:w="1385"/>
        <w:gridCol w:w="170"/>
        <w:gridCol w:w="170"/>
        <w:gridCol w:w="26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ny20069089x2_def14a_400-pc_pg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6991350" cy="904875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24" w:name="ny20069089x2_def14a_400-pc_pg2"/>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420" w:after="283"/>
        <w:ind w:left="0" w:right="0" w:hanging="0"/>
        <w:jc w:val="center"/>
        <w:rPr>
          <w:color w:val="000000"/>
        </w:rPr>
      </w:pPr>
      <w:r>
        <w:rPr>
          <w:color w:val="000000"/>
        </w:rPr>
        <w:drawing>
          <wp:inline distT="0" distB="0" distL="0" distR="0">
            <wp:extent cx="6991350" cy="904875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1"/>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34877</Words>
  <Characters>188008</Characters>
  <CharactersWithSpaces>225938</CharactersWithSpaces>
  <Paragraphs>5941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