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8"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7" w:after="283"/>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5" w:after="283"/>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1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1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August 6, 2026</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4"/>
        </w:rPr>
      </w:pPr>
      <w:r>
        <w:rPr>
          <w:rFonts w:ascii="Times New Roman;serif" w:hAnsi="Times New Roman;serif"/>
          <w:b/>
          <w:color w:val="000000"/>
          <w:sz w:val="44"/>
        </w:rPr>
        <w:t>WM TECHNOLOGY, INC.</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9042" w:type="dxa"/>
        <w:jc w:val="center"/>
        <w:tblInd w:w="0" w:type="dxa"/>
        <w:tblLayout w:type="fixed"/>
        <w:tblCellMar>
          <w:top w:w="28" w:type="dxa"/>
          <w:left w:w="28" w:type="dxa"/>
          <w:bottom w:w="28" w:type="dxa"/>
          <w:right w:w="28" w:type="dxa"/>
        </w:tblCellMar>
      </w:tblPr>
      <w:tblGrid>
        <w:gridCol w:w="1345"/>
        <w:gridCol w:w="1181"/>
        <w:gridCol w:w="1193"/>
        <w:gridCol w:w="762"/>
        <w:gridCol w:w="762"/>
        <w:gridCol w:w="770"/>
        <w:gridCol w:w="884"/>
        <w:gridCol w:w="884"/>
        <w:gridCol w:w="1261"/>
      </w:tblGrid>
      <w:tr>
        <w:trPr/>
        <w:tc>
          <w:tcPr>
            <w:tcW w:w="134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001-39021</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98-1605615</w:t>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center"/>
        <w:rPr/>
      </w:pPr>
      <w:r>
        <w:rPr/>
      </w:r>
    </w:p>
    <w:tbl>
      <w:tblPr>
        <w:tblW w:w="4662" w:type="dxa"/>
        <w:jc w:val="left"/>
        <w:tblInd w:w="0" w:type="dxa"/>
        <w:tblLayout w:type="fixed"/>
        <w:tblCellMar>
          <w:top w:w="28" w:type="dxa"/>
          <w:left w:w="28" w:type="dxa"/>
          <w:bottom w:w="28" w:type="dxa"/>
          <w:right w:w="28" w:type="dxa"/>
        </w:tblCellMar>
      </w:tblPr>
      <w:tblGrid>
        <w:gridCol w:w="1194"/>
        <w:gridCol w:w="1051"/>
        <w:gridCol w:w="1055"/>
        <w:gridCol w:w="109"/>
        <w:gridCol w:w="109"/>
        <w:gridCol w:w="109"/>
        <w:gridCol w:w="303"/>
        <w:gridCol w:w="303"/>
        <w:gridCol w:w="429"/>
      </w:tblGrid>
      <w:tr>
        <w:trPr/>
        <w:tc>
          <w:tcPr>
            <w:tcW w:w="119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41 Discovery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Irvine,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92618</w:t>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(844) 933-3627</w:t>
      </w:r>
    </w:p>
    <w:p>
      <w:pPr>
        <w:pStyle w:val="TextBody"/>
        <w:bidi w:val="0"/>
        <w:spacing w:lineRule="auto" w:line="288" w:before="1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1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1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10" w:after="283"/>
        <w:jc w:val="left"/>
        <w:rPr/>
      </w:pPr>
      <w:r>
        <w:rPr/>
      </w:r>
    </w:p>
    <w:p>
      <w:pPr>
        <w:pStyle w:val="TextBody"/>
        <w:bidi w:val="0"/>
        <w:spacing w:lineRule="auto" w:line="290"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obligations of the registrant under any of the following provisions:</w:t>
      </w:r>
    </w:p>
    <w:p>
      <w:pPr>
        <w:pStyle w:val="TextBody"/>
        <w:bidi w:val="0"/>
        <w:spacing w:before="1" w:after="283"/>
        <w:jc w:val="left"/>
        <w:rPr/>
      </w:pPr>
      <w:r>
        <w:r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90"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before="0" w:after="0"/>
        <w:jc w:val="left"/>
        <w:rPr/>
      </w:pPr>
      <w:r>
        <w:rPr/>
      </w:r>
    </w:p>
    <w:tbl>
      <w:tblPr>
        <w:tblW w:w="9854" w:type="dxa"/>
        <w:jc w:val="left"/>
        <w:tblInd w:w="0" w:type="dxa"/>
        <w:tblLayout w:type="fixed"/>
        <w:tblCellMar>
          <w:top w:w="28" w:type="dxa"/>
          <w:left w:w="28" w:type="dxa"/>
          <w:bottom w:w="28" w:type="dxa"/>
          <w:right w:w="28" w:type="dxa"/>
        </w:tblCellMar>
      </w:tblPr>
      <w:tblGrid>
        <w:gridCol w:w="1577"/>
        <w:gridCol w:w="1386"/>
        <w:gridCol w:w="1402"/>
        <w:gridCol w:w="554"/>
        <w:gridCol w:w="554"/>
        <w:gridCol w:w="556"/>
        <w:gridCol w:w="1118"/>
        <w:gridCol w:w="1118"/>
        <w:gridCol w:w="1589"/>
      </w:tblGrid>
      <w:tr>
        <w:trPr/>
        <w:tc>
          <w:tcPr>
            <w:tcW w:w="1577"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$0.0001 par value per share</w:t>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MAPS</w:t>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The OTCQX Best Market</w:t>
            </w:r>
          </w:p>
        </w:tc>
      </w:tr>
    </w:tbl>
    <w:p>
      <w:pPr>
        <w:pStyle w:val="TextBody"/>
        <w:bidi w:val="0"/>
        <w:spacing w:before="0" w:after="0"/>
        <w:jc w:val="left"/>
        <w:rPr/>
      </w:pPr>
      <w:r>
        <w:rPr/>
      </w:r>
    </w:p>
    <w:p>
      <w:pPr>
        <w:pStyle w:val="TextBody"/>
        <w:bidi w:val="0"/>
        <w:spacing w:lineRule="auto" w:line="290" w:before="34"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right"/>
        <w:rPr/>
      </w:pPr>
      <w:r>
        <w:rPr>
          <w:rFonts w:ascii="Times New Roman;serif" w:hAnsi="Times New Roman;serif"/>
          <w:b w:val="false"/>
          <w:color w:val="000000"/>
          <w:sz w:val="20"/>
        </w:rPr>
        <w:t xml:space="preserve">Emerging growth company </w:t>
      </w:r>
      <w:r>
        <w:rPr>
          <w:color w:val="000000"/>
        </w:rPr>
        <w:t>☐</w:t>
      </w:r>
    </w:p>
    <w:p>
      <w:pPr>
        <w:pStyle w:val="TextBody"/>
        <w:bidi w:val="0"/>
        <w:spacing w:before="0" w:after="0"/>
        <w:jc w:val="right"/>
        <w:rPr/>
      </w:pPr>
      <w:r>
        <w:rPr/>
      </w:r>
    </w:p>
    <w:p>
      <w:pPr>
        <w:pStyle w:val="TextBody"/>
        <w:bidi w:val="0"/>
        <w:spacing w:lineRule="auto" w:line="290"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August 6, 2026, WM Technology, Inc. announced its financial results for the second quarter ended June 30, 2026. The full text of the press release issued in connection with the announcement is furnished as Exhibit 99.1 to this Current Report on Form 8-K and is incorporated by reference.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information in Item 2.02 and in the accompanying Exhibit 99.1 is being furnished and shall not be deemed “filed” for purposes of Section 18 of the Securities Exchange Act of 1934 (the “Exchange Act”), or otherwise subject to the liabilities of that section, nor shall they be deemed incorporated by reference in any filing under the Securities Act of 1933, as amended, or the Exchange Act, regardless of any general incorporation language in such filing,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(d) Exhibits </w:t>
      </w:r>
    </w:p>
    <w:tbl>
      <w:tblPr>
        <w:tblW w:w="9176" w:type="dxa"/>
        <w:jc w:val="left"/>
        <w:tblInd w:w="0" w:type="dxa"/>
        <w:tblLayout w:type="fixed"/>
        <w:tblCellMar>
          <w:top w:w="28" w:type="dxa"/>
          <w:left w:w="28" w:type="dxa"/>
          <w:bottom w:w="28" w:type="dxa"/>
          <w:right w:w="28" w:type="dxa"/>
        </w:tblCellMar>
      </w:tblPr>
      <w:tblGrid>
        <w:gridCol w:w="538"/>
        <w:gridCol w:w="472"/>
        <w:gridCol w:w="474"/>
        <w:gridCol w:w="109"/>
        <w:gridCol w:w="109"/>
        <w:gridCol w:w="109"/>
        <w:gridCol w:w="2152"/>
        <w:gridCol w:w="2152"/>
        <w:gridCol w:w="3061"/>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hyperlink w:anchor="wmtechnologyincearningsrel.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wmtechnologyincearningsrel.htm">
              <w:r>
                <w:rPr>
                  <w:rStyle w:val="InternetLink"/>
                  <w:rFonts w:ascii="Times New Roman;serif" w:hAnsi="Times New Roman;serif"/>
                  <w:b w:val="false"/>
                  <w:color w:val="000080"/>
                  <w:sz w:val="20"/>
                  <w:u w:val="single"/>
                </w:rPr>
                <w:t xml:space="preserve">Press Release dated August </w:t>
              </w:r>
            </w:hyperlink>
            <w:hyperlink w:anchor="wmtechnologyincearningsrel.htm">
              <w:r>
                <w:rPr>
                  <w:rStyle w:val="InternetLink"/>
                  <w:rFonts w:ascii="Times New Roman;serif" w:hAnsi="Times New Roman;serif"/>
                  <w:b w:val="false"/>
                  <w:color w:val="000080"/>
                  <w:sz w:val="20"/>
                  <w:u w:val="single"/>
                </w:rPr>
                <w:t>6</w:t>
              </w:r>
            </w:hyperlink>
            <w:hyperlink w:anchor="wmtechnologyincearningsrel.htm">
              <w:r>
                <w:rPr>
                  <w:rStyle w:val="InternetLink"/>
                  <w:rFonts w:ascii="Times New Roman;serif" w:hAnsi="Times New Roman;serif"/>
                  <w:b w:val="false"/>
                  <w:color w:val="000080"/>
                  <w:sz w:val="20"/>
                  <w:u w:val="single"/>
                </w:rPr>
                <w:t>, 202</w:t>
              </w:r>
            </w:hyperlink>
            <w:hyperlink w:anchor="wmtechnologyincearningsrel.htm">
              <w:r>
                <w:rPr>
                  <w:rStyle w:val="InternetLink"/>
                  <w:rFonts w:ascii="Times New Roman;serif" w:hAnsi="Times New Roman;serif"/>
                  <w:b w:val="false"/>
                  <w:color w:val="000080"/>
                  <w:sz w:val="20"/>
                  <w:u w:val="single"/>
                </w:rPr>
                <w:t>6</w:t>
              </w:r>
            </w:hyperlink>
          </w:p>
        </w:tc>
      </w:tr>
      <w:tr>
        <w:trPr/>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 and included as Exhibit 101)</w:t>
            </w:r>
          </w:p>
        </w:tc>
      </w:tr>
    </w:tbl>
    <w:p>
      <w:pPr>
        <w:pStyle w:val="TextBody"/>
        <w:bidi w:val="0"/>
        <w:spacing w:before="0" w:after="0"/>
        <w:ind w:left="0" w:right="0" w:firstLine="720"/>
        <w:jc w:val="both"/>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10" w:after="283"/>
        <w:jc w:val="left"/>
        <w:rPr/>
      </w:pPr>
      <w:r>
        <w:rPr/>
      </w:r>
    </w:p>
    <w:p>
      <w:pPr>
        <w:pStyle w:val="TextBody"/>
        <w:bidi w:val="0"/>
        <w:spacing w:lineRule="auto" w:line="29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5104" w:type="dxa"/>
        <w:jc w:val="left"/>
        <w:tblInd w:w="0" w:type="dxa"/>
        <w:tblLayout w:type="fixed"/>
        <w:tblCellMar>
          <w:top w:w="28" w:type="dxa"/>
          <w:left w:w="28" w:type="dxa"/>
          <w:bottom w:w="28" w:type="dxa"/>
          <w:right w:w="28" w:type="dxa"/>
        </w:tblCellMar>
      </w:tblPr>
      <w:tblGrid>
        <w:gridCol w:w="361"/>
        <w:gridCol w:w="317"/>
        <w:gridCol w:w="317"/>
        <w:gridCol w:w="317"/>
        <w:gridCol w:w="317"/>
        <w:gridCol w:w="317"/>
        <w:gridCol w:w="383"/>
        <w:gridCol w:w="383"/>
        <w:gridCol w:w="383"/>
        <w:gridCol w:w="587"/>
        <w:gridCol w:w="587"/>
        <w:gridCol w:w="835"/>
      </w:tblGrid>
      <w:tr>
        <w:trPr/>
        <w:tc>
          <w:tcPr>
            <w:tcW w:w="36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1946"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6, 2026</w:t>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WM TECHNOLOGY, INC.</w:t>
            </w:r>
          </w:p>
        </w:tc>
      </w:tr>
      <w:tr>
        <w:trPr/>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Susan Echard</w:t>
            </w:r>
          </w:p>
        </w:tc>
      </w:tr>
      <w:tr>
        <w:trPr/>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Susan Echard</w:t>
            </w:r>
          </w:p>
        </w:tc>
      </w:tr>
      <w:tr>
        <w:trPr/>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99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120" w:after="120"/>
        <w:jc w:val="center"/>
        <w:rPr/>
      </w:pPr>
      <w:r>
        <w:rPr/>
        <w:drawing>
          <wp:inline distT="0" distB="0" distL="0" distR="0">
            <wp:extent cx="2381250" cy="7429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381250" cy="742950"/>
                    </a:xfrm>
                    <a:prstGeom prst="rect">
                      <a:avLst/>
                    </a:prstGeom>
                  </pic:spPr>
                </pic:pic>
              </a:graphicData>
            </a:graphic>
          </wp:inline>
        </w:drawing>
      </w:r>
    </w:p>
    <w:p>
      <w:pPr>
        <w:pStyle w:val="TextBody"/>
        <w:bidi w:val="0"/>
        <w:spacing w:lineRule="auto" w:line="288" w:before="120" w:after="120"/>
        <w:jc w:val="center"/>
        <w:rPr>
          <w:rFonts w:ascii="Times New Roman;serif" w:hAnsi="Times New Roman;serif"/>
          <w:b/>
          <w:color w:val="000000"/>
          <w:sz w:val="28"/>
        </w:rPr>
      </w:pPr>
      <w:r>
        <w:rPr>
          <w:rFonts w:ascii="Times New Roman;serif" w:hAnsi="Times New Roman;serif"/>
          <w:b/>
          <w:color w:val="000000"/>
          <w:sz w:val="28"/>
        </w:rPr>
        <w:t>WM Technology, Inc. Reports Second Quarter 2026 Financial Results</w:t>
      </w:r>
    </w:p>
    <w:p>
      <w:pPr>
        <w:pStyle w:val="TextBody"/>
        <w:bidi w:val="0"/>
        <w:spacing w:lineRule="auto" w:line="288" w:before="120" w:after="120"/>
        <w:jc w:val="center"/>
        <w:rPr>
          <w:rFonts w:ascii="Times New Roman;serif" w:hAnsi="Times New Roman;serif"/>
          <w:b w:val="false"/>
          <w:i/>
          <w:color w:val="000000"/>
          <w:sz w:val="24"/>
        </w:rPr>
      </w:pPr>
      <w:r>
        <w:rPr>
          <w:rFonts w:ascii="Times New Roman;serif" w:hAnsi="Times New Roman;serif"/>
          <w:b w:val="false"/>
          <w:i/>
          <w:color w:val="000000"/>
          <w:sz w:val="24"/>
        </w:rPr>
        <w:t>Q2 Revenue of $42.4 million and Net Income of $2.9 million</w:t>
      </w:r>
    </w:p>
    <w:p>
      <w:pPr>
        <w:pStyle w:val="TextBody"/>
        <w:bidi w:val="0"/>
        <w:spacing w:lineRule="auto" w:line="288" w:before="120" w:after="120"/>
        <w:jc w:val="center"/>
        <w:rPr>
          <w:rFonts w:ascii="Times New Roman;serif" w:hAnsi="Times New Roman;serif"/>
          <w:b w:val="false"/>
          <w:i/>
          <w:color w:val="000000"/>
          <w:sz w:val="22"/>
        </w:rPr>
      </w:pPr>
      <w:r>
        <w:rPr>
          <w:rFonts w:ascii="Times New Roman;serif" w:hAnsi="Times New Roman;serif"/>
          <w:b w:val="false"/>
          <w:i/>
          <w:color w:val="000000"/>
          <w:sz w:val="22"/>
        </w:rPr>
        <w:t xml:space="preserve">Sustains Consecutive Quarters of Adjusted EBITDA Profitability </w:t>
      </w:r>
    </w:p>
    <w:p>
      <w:pPr>
        <w:pStyle w:val="TextBody"/>
        <w:bidi w:val="0"/>
        <w:spacing w:lineRule="auto" w:line="288" w:before="120" w:after="120"/>
        <w:jc w:val="both"/>
        <w:rPr/>
      </w:pPr>
      <w:r>
        <w:rPr>
          <w:rFonts w:ascii="Times New Roman;serif" w:hAnsi="Times New Roman;serif"/>
          <w:b/>
          <w:color w:val="000000"/>
          <w:sz w:val="20"/>
        </w:rPr>
        <w:t xml:space="preserve">Irvine, Calif.--(BUSINESS WIRE)--August 6, 2026-- </w:t>
      </w:r>
      <w:r>
        <w:rPr>
          <w:rFonts w:ascii="Times New Roman;serif" w:hAnsi="Times New Roman;serif"/>
          <w:b w:val="false"/>
          <w:color w:val="000000"/>
          <w:sz w:val="20"/>
        </w:rPr>
        <w:t xml:space="preserve">WM Technology, Inc. (“WM Technology” or the “Company”) (OTC: MAPS), a leading marketplace and technology solutions provider to the cannabis industry, today announced its financial results for the second quarter ended June 30, 2026. </w:t>
      </w:r>
    </w:p>
    <w:p>
      <w:pPr>
        <w:pStyle w:val="TextBody"/>
        <w:bidi w:val="0"/>
        <w:spacing w:lineRule="auto" w:line="288" w:before="120" w:after="120"/>
        <w:jc w:val="both"/>
        <w:rPr>
          <w:color w:val="000000"/>
        </w:rPr>
      </w:pPr>
      <w:r>
        <w:rPr>
          <w:color w:val="000000"/>
        </w:rPr>
        <w:t>“</w:t>
      </w:r>
      <w:r>
        <w:rPr>
          <w:rFonts w:ascii="Times New Roman;serif" w:hAnsi="Times New Roman;serif"/>
          <w:b w:val="false"/>
          <w:color w:val="000000"/>
          <w:sz w:val="20"/>
        </w:rPr>
        <w:t>The cannabis industry is entering a more demanding phase, particularly in established markets where sustained economic and regulatory pressures continue to reshape the competitive landscape,” said Doug Francis, CEO and Chairman of WM Technology. “Weedmaps is responding by strengthening our core marketplace and the value it delivers to consumers and licensed operators, expanding into underpenetrated states and continuing to evaluate adjacent opportunities across the broader cannabis ecosystem that can support our platform’s long-term growth.”</w:t>
      </w:r>
    </w:p>
    <w:p>
      <w:pPr>
        <w:pStyle w:val="TextBody"/>
        <w:bidi w:val="0"/>
        <w:spacing w:lineRule="auto" w:line="288" w:before="120" w:after="283"/>
        <w:jc w:val="both"/>
        <w:rPr>
          <w:color w:val="000000"/>
        </w:rPr>
      </w:pPr>
      <w:r>
        <w:rPr>
          <w:color w:val="000000"/>
        </w:rPr>
        <w:t>“</w:t>
      </w:r>
      <w:r>
        <w:rPr>
          <w:rFonts w:ascii="Times New Roman;serif" w:hAnsi="Times New Roman;serif"/>
          <w:b w:val="false"/>
          <w:color w:val="000000"/>
          <w:sz w:val="20"/>
        </w:rPr>
        <w:t>Maintaining a strong and flexible financial foundation remained a key focus during the second quarter as we continued to adapt to evolving market conditions,” said Susan Echard, CFO of WM Technology. “We maintained a strong liquidity position, managed expenses with discipline and continued to align our operating structure with the scale and needs of the business. At the same time, we allocated resources selectively to targeted marketing, product enhancements and automation initiatives designed to improve scalability, increase operating efficiency and strengthen the long-term economics of the business.”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Second Quarter 2026 Financial Highlights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Revenues for the second quarter ended June 30, 2026 were $42.4 million as compared to $44.8 million in the prior year period. The decrease from the prior year period was primarily driven by a challenging operating environment for our customers, who have faced margin compression and cash flow constraints.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Average monthly paying clients</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of 5,040 was down from 5,241 from the prior year period, largely due to churn in more established markets, partially offset by new client acquisitions across certain developing markets.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Average monthly revenues per paying client</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decreased to $2,807 from $2,852 in the prior year period, due to spend declines in established markets driven by continued industry challenges, such as price deflation and ongoing consolidation, partially offset by a positive mixed impact from churn among clients with below-average spend levels.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Net income increased to $2.9 million as compared to $2.2 million in the prior year period.</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Adjusted EBITDA</w:t>
      </w: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 xml:space="preserve">decreased to $5.0 million from $11.7 million in the prior year period.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Total shares outstanding across Class A and Class V Common Stock were 159.7 million as of June 30, 2026.</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Cash increased to $60.5 million as of June 30, 2026, as compared to $59.0 million as of June 30, 2025.</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Reconciliations of GAAP to non-GAAP financial measures have been provided in the tables below.</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12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1.Average monthly paying clients are defined as the average of the number of paying clients billed in a month across a particular period (and for which services were provided).</w:t>
      </w:r>
    </w:p>
    <w:p>
      <w:pPr>
        <w:pStyle w:val="TextBody"/>
        <w:bidi w:val="0"/>
        <w:spacing w:lineRule="auto" w:line="288" w:before="12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2.Average monthly revenues per paying client is defined as the average monthly revenues for any particular period divided by the average monthly paying clients in the same respective period.</w:t>
      </w:r>
    </w:p>
    <w:p>
      <w:pPr>
        <w:pStyle w:val="TextBody"/>
        <w:bidi w:val="0"/>
        <w:spacing w:lineRule="auto" w:line="288" w:before="12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3.For further information about how we calculate EBITDA and Adjusted EBITDA as well as limitations of their use and a reconciliation of EBITDA and Adjusted EBITDA to net income, see “Reconciliation of Net Income to EBITDA and Adjusted EBITDA” below.</w:t>
      </w:r>
    </w:p>
    <w:p>
      <w:pPr>
        <w:pStyle w:val="TextBody"/>
        <w:bidi w:val="0"/>
        <w:spacing w:before="12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22885"/>
                <wp:effectExtent l="0" t="0" r="0" b="0"/>
                <wp:wrapNone/>
                <wp:docPr id="5" name="Frame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xml:space="preserve">Business Outlook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Based on information available as of August 6, 2026, the Company expects third quarter 2026 revenue to decline by mid-single digit percentages sequentially from the second quarter.</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guidance provided above is only an estimate of what we believe is realizable as of the date of this release. This guidance assumes that no business acquisitions, investments, restructurings, or legal settlements are concluded in the period. Our results are based on assumptions that we believe to be reasonable as of this date, but may be materially affected by many factors, as discussed below in “Forward-Looking Statements.” Actual results may vary from the guidance and the variations may be material. We undertake no intent or obligation to publicly update or revise any of these projections, whether as a result of new information, future events or otherwise, except as required by law.</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About WM Technology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Founded in 2008, WM Technology operates Weedmaps, a leading cannabis marketplace for consumers, as well as a broad set of eCommerce and compliance software solutions for cannabis businesses and brands in U.S. state-legal markets. WM Technology holds a strong belief in the power of cannabis and the importance of enabling safe, legal access to consumers worldwide.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Over the past 18 years, the Weedmaps marketplace has become a premier destination for cannabis consumers to discover and browse cannabis-related products, access daily dispensary deals, order ahead for pick-up and delivery by participating retailers (where applicable) and learn about the plant. The Company also offers eCommerce-enablement tools designed to help cannabis retailers and brands reach consumers, create business efficiency, and manage industry-specific compliance needs.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Headquartered in Irvine, California, the Company is committed to advocating for full U.S. legalization, industry-wide social equity, and continued education about the plant through key partnerships and cannabis subject matter experts. Visit us at www.weedmaps.com.</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This press release includes “forward-looking statements” regarding the Company’s future business expectations which involve risks and uncertainties. Forward looking statements may be identified by the use of words such as “estimate,” “plan,” “project,” “forecast,” “intend,” “will,” “expect,” “anticipate,” “believe,” “seek,” “target” or other similar expressions that predict or indicate future events or trends or that are not statements of historical matters. These forward-looking statements include, but are not limited to, statements regarding estimates and forecasts of financial performance for the third quarter of 2026. These statements are based on various assumptions, whether or not identified in this press release, and on the current expectations of the Company’s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the Company. These forward-looking statements are subject to a number of risks and uncertainties, including those related market reactions or impacts resulting from the Company’s delisting of its securities from the Nasdaq Stock Market LLC and deregistration of its securities under Section 12(b) of the Securities Exchange Act of 1934, including the impact on the Company’s liquidity and the price of its securities; the Company’s ability to maintain its listing on the OTC Markets Group, Inc. (“OTC”); the possibility that trading in the Company’s securities on the OTC markets may be significantly less liquid and/or have greater price volatility; the Company’s financial and business performance, including key business metrics and any underlying assumptions thereunder; market opportunity and the Company’s ability to acquire new clients and retain existing clients; expectations and timing related to commercial product launches; success of the Company’s go-to-market strategy; the Company’s ability to scale its business and expand its offerings; the Company’s competitive advantages and growth strategies; the Company’s future capital requirements and sources and uses of cash; the impact of the material weaknesses in the Company’s internal controls and ability to remediate these material weaknesses in the timing the Company anticipates, or at all; the outcome of any known and unknown litigation and regulatory proceedings; changes in domestic and foreign business, market, financial, political and legal conditions; the effect of macroeconomic conditions, including but not limited to inflation, tariffs, public health crises, uncertain credit and global financial markets, past and potential future disruptions in access to bank deposits or lending commitments due to bank failures, current and potential future geopolitical events and military conflicts, and the occurrence of a catastrophic event, including but not limited to severe weather, war, or terrorist attack; future global, regional or local economic and market conditions affecting the cannabis industry; the development, effects and enforcement of and changes to laws and regulations, including with respect to the cannabis and hemp industries; the Company’s ability to successfully capitalize on new and existing cannabis markets, including its ability to successfully monetize its solutions in those markets; the Company’s ability to manage future growth; the Company’s ability to effectively anticipate and address changes in the end-user market in the cannabis industry; the Company’s ability to develop new products and solutions, bring them to market in a timely manner, and make enhancements to its platform; the Company’s ability to maintain and grow its two-sided </w:t>
      </w:r>
    </w:p>
    <w:p>
      <w:pPr>
        <w:pStyle w:val="TextBody"/>
        <w:bidi w:val="0"/>
        <w:spacing w:before="12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2885"/>
                <wp:effectExtent l="0" t="0" r="0" b="0"/>
                <wp:wrapNone/>
                <wp:docPr id="6" name="Frame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marketplace, including its ability to acquire and retain paying clients; the Company’s ability to continue to collect on outstanding receivables; the Company’s ability to realize the expected benefits of any strategic acquisitions; the effects of competition on the Company’s future business; the Company’s success in retaining or recruiting, or changes required in, officers, key employees or directors; cyber-attacks and security vulnerabilities; the possibility that the Company may be adversely affected by other economic, business or competitive and those factors discussed in the Company’s Annual Report on Form 10-K for the fiscal year ended December 31, 2025, filed with the SEC on March 12, 2026 and subsequent Quarterly Reports on Form 10-Q filed with the SEC. If any of these risks materialize or these assumptions prove incorrect, actual results could differ materially from the results implied by these forward-looking statements. There may be additional risks that the Company does not presently know or that the Company currently believes are immaterial that could also cause actual results to differ from those contained in the forward-looking statements. In addition, forward-looking statements reflect the Company’s expectations, plans or forecasts of future events and views as of the date of this press release. The Company anticipates that subsequent events and developments will cause the Company’s assessments to change. However, while the Company may elect to update these forward-looking statements at some point in the future, the Company specifically disclaims any obligation to do so, except as required by law. These forward-looking statements should not be relied upon as representing the Company’s assessments as of any date subsequent to the date of this press release. Accordingly, undue reliance should not be placed upon the forward-looking statements.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Use of Non-GAAP Financial Measures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financial statements, including net income, are prepared in accordance with principles generally accepted in the United States of America (“GAAP”).</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To provide investors with additional information regarding our financial results, we have disclosed EBITDA and Adjusted EBITDA, both of which are non-GAAP financial measures that we calculate as net income before interest, taxes and depreciation and amortization expense in the case of EBITDA and further adjusted to exclude stock-based compensation, change in fair value of warrant liability, legal settlements and other legal costs, reduction in force (recovery) expense, loss contingency, one-time sale of domain, reduction in force expense, change in the TRA liability and other non-cash, unusual and/or infrequent costs in the case of Adjusted EBITDA. Below we have provided a reconciliation of net income (the most directly comparable GAAP financial measure) to EBITDA; and from EBITDA to Adjusted EBITDA.</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present EBITDA and Adjusted EBITDA because these metrics are a key measure used by our management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Each of EBITDA and Adjusted EBITDA has limitations as an analytical tool, and you should not consider any of these non-GAAP financial measures in isolation or as a substitute for analysis of our results as reported under GAAP. Some of these limitations are as follows: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although depreciation and amortization are non-cash charges, the assets being depreciated and amortized may have to be replaced in the future, and EBITDA and Adjusted EBITDA do not reflect cash capital expenditure requirements for such replacements or for new capital expenditure requirements;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EBITDA and Adjusted EBITDA do not reflect changes in, or cash requirements for, our working capital needs; and</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EBITDA and Adjusted EBITDA do not reflect tax payments that may represent a reduction in cash available to us.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Because of these limitations, you should consider EBITDA and Adjusted EBITDA alongside other financial performance measures, including net income and our other GAAP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885"/>
                <wp:effectExtent l="0" t="0" r="0" b="0"/>
                <wp:wrapNone/>
                <wp:docPr id="7" name="Frame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(In thousands, except for share data)</w:t>
      </w:r>
    </w:p>
    <w:tbl>
      <w:tblPr>
        <w:tblW w:w="10205" w:type="dxa"/>
        <w:jc w:val="left"/>
        <w:tblInd w:w="0" w:type="dxa"/>
        <w:tblLayout w:type="fixed"/>
        <w:tblCellMar>
          <w:top w:w="28" w:type="dxa"/>
          <w:left w:w="28" w:type="dxa"/>
          <w:bottom w:w="28" w:type="dxa"/>
          <w:right w:w="28" w:type="dxa"/>
        </w:tblCellMar>
      </w:tblPr>
      <w:tblGrid>
        <w:gridCol w:w="2678"/>
        <w:gridCol w:w="2176"/>
        <w:gridCol w:w="2108"/>
        <w:gridCol w:w="109"/>
        <w:gridCol w:w="109"/>
        <w:gridCol w:w="109"/>
        <w:gridCol w:w="219"/>
        <w:gridCol w:w="859"/>
        <w:gridCol w:w="113"/>
        <w:gridCol w:w="109"/>
        <w:gridCol w:w="109"/>
        <w:gridCol w:w="109"/>
        <w:gridCol w:w="247"/>
        <w:gridCol w:w="968"/>
        <w:gridCol w:w="183"/>
      </w:tblGrid>
      <w:tr>
        <w:trPr/>
        <w:tc>
          <w:tcPr>
            <w:tcW w:w="2678"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6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60,499 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62,401 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85,168 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84,920 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61,274 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61,274 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190,571 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190,667 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receivable agreement liability,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31,306 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36,236 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r>
      <w:tr>
        <w:trPr/>
        <w:tc>
          <w:tcPr>
            <w:tcW w:w="6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r>
      <w:tr>
        <w:trPr/>
        <w:tc>
          <w:tcPr>
            <w:tcW w:w="6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51,745 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58,867 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 $0.0001 par value; 75,000,000 shares authorized; no shares issued and outstanding at June 30, 2026 and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 $0.0001 par value; 1,500,000,000 shares authorized; 111,833,144 shares issued and outstanding at June 30, 2026 and 109,990,343 shares issued and outstanding at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V Common Stock - $0.0001 par value; 500,000,000 shares authorized, 47,852,652 shares issued and outstanding at June 30, 2026 and 47,852,652 shares issued and outstanding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114,526 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112,076 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(51,723)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(54,917)</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WM Technology, Inc.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62,819 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57,175 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76,007 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74,625 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138,826 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131,800 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190,571 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190,667 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885"/>
                <wp:effectExtent l="0" t="0" r="0" b="0"/>
                <wp:wrapNone/>
                <wp:docPr id="8"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(In thousands, except for share data)</w:t>
      </w:r>
    </w:p>
    <w:tbl>
      <w:tblPr>
        <w:tblW w:w="10205" w:type="dxa"/>
        <w:jc w:val="left"/>
        <w:tblInd w:w="0" w:type="dxa"/>
        <w:tblLayout w:type="fixed"/>
        <w:tblCellMar>
          <w:top w:w="28" w:type="dxa"/>
          <w:left w:w="28" w:type="dxa"/>
          <w:bottom w:w="28" w:type="dxa"/>
          <w:right w:w="28" w:type="dxa"/>
        </w:tblCellMar>
      </w:tblPr>
      <w:tblGrid>
        <w:gridCol w:w="1592"/>
        <w:gridCol w:w="1188"/>
        <w:gridCol w:w="1197"/>
        <w:gridCol w:w="268"/>
        <w:gridCol w:w="918"/>
        <w:gridCol w:w="113"/>
        <w:gridCol w:w="113"/>
        <w:gridCol w:w="113"/>
        <w:gridCol w:w="113"/>
        <w:gridCol w:w="268"/>
        <w:gridCol w:w="918"/>
        <w:gridCol w:w="113"/>
        <w:gridCol w:w="109"/>
        <w:gridCol w:w="109"/>
        <w:gridCol w:w="109"/>
        <w:gridCol w:w="268"/>
        <w:gridCol w:w="918"/>
        <w:gridCol w:w="109"/>
        <w:gridCol w:w="109"/>
        <w:gridCol w:w="109"/>
        <w:gridCol w:w="109"/>
        <w:gridCol w:w="268"/>
        <w:gridCol w:w="918"/>
        <w:gridCol w:w="156"/>
      </w:tblGrid>
      <w:tr>
        <w:trPr/>
        <w:tc>
          <w:tcPr>
            <w:tcW w:w="1592"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42,446 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44,847 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89,459 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 (exclusive of depreciation and amortization shown separately below)</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40,094 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42,978 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84,943 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(expenses), net</w:t>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liability</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tax receivable agreement liability</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WM Technology, Inc.</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income per share</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income per share</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basic shares outstanding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111,395,892 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105,744,266 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111,098,228 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104,897,467 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diluted shares outstanding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111,503,133 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107,922,354 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111,746,887 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107,347,113 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885"/>
                <wp:effectExtent l="0" t="0" r="0" b="0"/>
                <wp:wrapNone/>
                <wp:docPr id="9"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STATEMENTS OF CASH FLOWS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9174" w:type="dxa"/>
        <w:jc w:val="left"/>
        <w:tblInd w:w="0" w:type="dxa"/>
        <w:tblLayout w:type="fixed"/>
        <w:tblCellMar>
          <w:top w:w="28" w:type="dxa"/>
          <w:left w:w="28" w:type="dxa"/>
          <w:bottom w:w="28" w:type="dxa"/>
          <w:right w:w="28" w:type="dxa"/>
        </w:tblCellMar>
      </w:tblPr>
      <w:tblGrid>
        <w:gridCol w:w="2429"/>
        <w:gridCol w:w="2138"/>
        <w:gridCol w:w="2153"/>
        <w:gridCol w:w="211"/>
        <w:gridCol w:w="721"/>
        <w:gridCol w:w="109"/>
        <w:gridCol w:w="109"/>
        <w:gridCol w:w="109"/>
        <w:gridCol w:w="109"/>
        <w:gridCol w:w="211"/>
        <w:gridCol w:w="721"/>
        <w:gridCol w:w="154"/>
      </w:tblGrid>
      <w:tr>
        <w:trPr/>
        <w:tc>
          <w:tcPr>
            <w:tcW w:w="2429"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tax receivable agreement liability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right-of-use lease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domain name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contingency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reconciling items included in net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and expenditures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marketable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marketable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domain name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repayment of related party note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receivable agreement payment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net share settlement of equity awards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58,951 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516380"/>
                <wp:effectExtent l="0" t="0" r="0" b="0"/>
                <wp:wrapNone/>
                <wp:docPr id="10" name="Frame9"/>
                <a:graphic xmlns:a="http://schemas.openxmlformats.org/drawingml/2006/main">
                  <a:graphicData uri="http://schemas.microsoft.com/office/word/2010/wordprocessingShape">
                    <wps:wsp>
                      <wps:cNvSpPr txBox="1"/>
                      <wps:spPr>
                        <a:xfrm>
                          <a:off x="0" y="0"/>
                          <a:ext cx="6480175" cy="1516380"/>
                        </a:xfrm>
                        <a:prstGeom prst="rect"/>
                        <a:solidFill>
                          <a:srgbClr val="FFFFFF"/>
                        </a:solidFill>
                      </wps:spPr>
                      <wps:txbx>
                        <w:txbxContent>
                          <w:p>
                            <w:pPr>
                              <w:pStyle w:val="TextBody"/>
                              <w:bidi w:val="0"/>
                              <w:spacing w:before="120" w:after="283"/>
                              <w:jc w:val="center"/>
                              <w:rPr/>
                            </w:pPr>
                            <w:r>
                              <w:rPr/>
                            </w:r>
                            <w:r>
                              <w:br w:type="page"/>
                            </w:r>
                          </w:p>
                          <w:p>
                            <w:pPr>
                              <w:pStyle w:val="TextBody"/>
                              <w:bidi w:val="0"/>
                              <w:spacing w:before="120" w:after="283"/>
                              <w:jc w:val="center"/>
                              <w:rPr/>
                            </w:pPr>
                            <w:r>
                              <w:rPr/>
                            </w: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NET INCOME (LOSS) TO EBITDA AND ADJUSTED EBITDA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9138" w:type="dxa"/>
        <w:jc w:val="left"/>
        <w:tblInd w:w="0" w:type="dxa"/>
        <w:tblLayout w:type="fixed"/>
        <w:tblCellMar>
          <w:top w:w="28" w:type="dxa"/>
          <w:left w:w="28" w:type="dxa"/>
          <w:bottom w:w="28" w:type="dxa"/>
          <w:right w:w="28" w:type="dxa"/>
        </w:tblCellMar>
      </w:tblPr>
      <w:tblGrid>
        <w:gridCol w:w="1353"/>
        <w:gridCol w:w="1186"/>
        <w:gridCol w:w="1195"/>
        <w:gridCol w:w="240"/>
        <w:gridCol w:w="702"/>
        <w:gridCol w:w="124"/>
        <w:gridCol w:w="124"/>
        <w:gridCol w:w="124"/>
        <w:gridCol w:w="124"/>
        <w:gridCol w:w="240"/>
        <w:gridCol w:w="821"/>
        <w:gridCol w:w="124"/>
        <w:gridCol w:w="109"/>
        <w:gridCol w:w="109"/>
        <w:gridCol w:w="109"/>
        <w:gridCol w:w="211"/>
        <w:gridCol w:w="721"/>
        <w:gridCol w:w="109"/>
        <w:gridCol w:w="109"/>
        <w:gridCol w:w="109"/>
        <w:gridCol w:w="109"/>
        <w:gridCol w:w="211"/>
        <w:gridCol w:w="721"/>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expenses</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9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liability</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Legal settlements and other legal costs</w:t>
            </w:r>
            <w:r>
              <w:rPr>
                <w:rFonts w:ascii="Times New Roman;serif" w:hAnsi="Times New Roman;serif"/>
                <w:b w:val="false"/>
                <w:color w:val="000000"/>
                <w:sz w:val="13"/>
              </w:rPr>
              <w:t>(1)</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Reduction in force (recovery) expense</w:t>
            </w:r>
            <w:r>
              <w:rPr>
                <w:rFonts w:ascii="Times New Roman;serif" w:hAnsi="Times New Roman;serif"/>
                <w:b w:val="false"/>
                <w:color w:val="000000"/>
                <w:sz w:val="13"/>
              </w:rPr>
              <w:t>(2)</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 of domain</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contingency</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tax receivable agreement liability</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4,967 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11,725 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90"/>
        <w:jc w:val="both"/>
        <w:rPr/>
      </w:pPr>
      <w:r>
        <w:rPr>
          <w:rFonts w:ascii="Times New Roman;serif" w:hAnsi="Times New Roman;serif"/>
          <w:b w:val="false"/>
          <w:color w:val="000000"/>
          <w:sz w:val="12"/>
        </w:rPr>
        <w:t>1    </w:t>
      </w:r>
      <w:r>
        <w:rPr>
          <w:rFonts w:ascii="Times New Roman;serif" w:hAnsi="Times New Roman;serif"/>
          <w:b w:val="false"/>
          <w:color w:val="000000"/>
          <w:sz w:val="18"/>
        </w:rPr>
        <w:t xml:space="preserve">Represents legal and advisory fees related to ongoing litigation related to shareholder derivative actions. See Note 5, “Commitments and Contingencies” of our condensed consolidated financial statement included in the Form 10-Q for the period ended June 30, 2026 filed with the SEC. </w:t>
      </w:r>
    </w:p>
    <w:p>
      <w:pPr>
        <w:pStyle w:val="TextBody"/>
        <w:bidi w:val="0"/>
        <w:spacing w:lineRule="auto" w:line="288" w:before="60" w:after="60"/>
        <w:ind w:left="0" w:right="0" w:hanging="90"/>
        <w:jc w:val="both"/>
        <w:rPr/>
      </w:pPr>
      <w:r>
        <w:rPr>
          <w:rFonts w:ascii="Times New Roman;serif" w:hAnsi="Times New Roman;serif"/>
          <w:b w:val="false"/>
          <w:color w:val="000000"/>
          <w:sz w:val="12"/>
        </w:rPr>
        <w:t>2    </w:t>
      </w:r>
      <w:r>
        <w:rPr>
          <w:rFonts w:ascii="Times New Roman;serif" w:hAnsi="Times New Roman;serif"/>
          <w:b w:val="false"/>
          <w:color w:val="000000"/>
          <w:sz w:val="18"/>
        </w:rPr>
        <w:t>Represents severance charges (recovery) related to certain reduction in force actions taken by our management. These reduction in force actions are designed to enhance operational efficiency and align resources with strategic priorities in our corporate technology and marketing divisions.</w:t>
      </w:r>
    </w:p>
    <w:p>
      <w:pPr>
        <w:pStyle w:val="TextBody"/>
        <w:bidi w:val="0"/>
        <w:spacing w:before="120" w:after="120"/>
        <w:ind w:left="0" w:right="0" w:hanging="90"/>
        <w:jc w:val="both"/>
        <w:rPr/>
      </w:pPr>
      <w:r>
        <w:rPr/>
      </w:r>
    </w:p>
    <w:p>
      <w:pPr>
        <w:pStyle w:val="TextBody"/>
        <w:bidi w:val="0"/>
        <w:spacing w:before="120" w:after="120"/>
        <w:ind w:left="0" w:right="0" w:hanging="90"/>
        <w:jc w:val="both"/>
        <w:rPr/>
      </w:pPr>
      <w:r>
        <w:rPr/>
      </w:r>
    </w:p>
    <w:p>
      <w:pPr>
        <w:pStyle w:val="TextBody"/>
        <w:bidi w:val="0"/>
        <w:spacing w:before="0" w:after="120"/>
        <w:ind w:left="0" w:right="0" w:hanging="360"/>
        <w:jc w:val="both"/>
        <w:rPr/>
      </w:pPr>
      <w:r>
        <w:rPr/>
      </w:r>
    </w:p>
    <w:p>
      <w:pPr>
        <w:pStyle w:val="TextBody"/>
        <w:bidi w:val="0"/>
        <w:spacing w:lineRule="auto" w:line="288" w:before="240" w:after="240"/>
        <w:ind w:left="0" w:right="0" w:hanging="360"/>
        <w:jc w:val="both"/>
        <w:rPr>
          <w:rFonts w:ascii="Times New Roman;serif" w:hAnsi="Times New Roman;serif"/>
          <w:b/>
          <w:color w:val="000000"/>
          <w:sz w:val="20"/>
        </w:rPr>
      </w:pPr>
      <w:r>
        <w:rPr>
          <w:rFonts w:ascii="Times New Roman;serif" w:hAnsi="Times New Roman;serif"/>
          <w:b/>
          <w:color w:val="000000"/>
          <w:sz w:val="20"/>
        </w:rPr>
        <w:t>Contacts</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Investor Relations:</w:t>
      </w:r>
    </w:p>
    <w:p>
      <w:pPr>
        <w:pStyle w:val="TextBody"/>
        <w:bidi w:val="0"/>
        <w:spacing w:lineRule="auto" w:line="288" w:before="240" w:after="240"/>
        <w:jc w:val="left"/>
        <w:rPr>
          <w:rFonts w:ascii="Times New Roman;serif" w:hAnsi="Times New Roman;serif"/>
          <w:b w:val="false"/>
          <w:color w:val="3051F2"/>
          <w:sz w:val="20"/>
          <w:u w:val="single"/>
        </w:rPr>
      </w:pPr>
      <w:r>
        <w:rPr>
          <w:rFonts w:ascii="Times New Roman;serif" w:hAnsi="Times New Roman;serif"/>
          <w:b w:val="false"/>
          <w:color w:val="3051F2"/>
          <w:sz w:val="20"/>
          <w:u w:val="single"/>
        </w:rPr>
        <w:t>investors@weedmaps.com</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Media Contract:</w:t>
      </w:r>
    </w:p>
    <w:p>
      <w:pPr>
        <w:pStyle w:val="TextBody"/>
        <w:bidi w:val="0"/>
        <w:spacing w:lineRule="auto" w:line="288" w:before="240" w:after="240"/>
        <w:jc w:val="left"/>
        <w:rPr>
          <w:rFonts w:ascii="Times New Roman;serif" w:hAnsi="Times New Roman;serif"/>
          <w:b w:val="false"/>
          <w:color w:val="3051F2"/>
          <w:sz w:val="20"/>
          <w:u w:val="single"/>
        </w:rPr>
      </w:pPr>
      <w:r>
        <w:rPr>
          <w:rFonts w:ascii="Times New Roman;serif" w:hAnsi="Times New Roman;serif"/>
          <w:b w:val="false"/>
          <w:color w:val="3051F2"/>
          <w:sz w:val="20"/>
          <w:u w:val="single"/>
        </w:rPr>
        <w:t>press@weedmaps.com</w:t>
      </w:r>
    </w:p>
    <w:p>
      <w:pPr>
        <w:pStyle w:val="TextBody"/>
        <w:bidi w:val="0"/>
        <w:spacing w:before="0" w:after="12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516380"/>
                <wp:effectExtent l="0" t="0" r="0" b="0"/>
                <wp:wrapNone/>
                <wp:docPr id="11" name="Frame10"/>
                <a:graphic xmlns:a="http://schemas.openxmlformats.org/drawingml/2006/main">
                  <a:graphicData uri="http://schemas.microsoft.com/office/word/2010/wordprocessingShape">
                    <wps:wsp>
                      <wps:cNvSpPr txBox="1"/>
                      <wps:spPr>
                        <a:xfrm>
                          <a:off x="0" y="0"/>
                          <a:ext cx="6480175" cy="1516380"/>
                        </a:xfrm>
                        <a:prstGeom prst="rect"/>
                        <a:solidFill>
                          <a:srgbClr val="FFFFFF"/>
                        </a:solidFill>
                      </wps:spPr>
                      <wps:txbx>
                        <w:txbxContent>
                          <w:p>
                            <w:pPr>
                              <w:pStyle w:val="TextBody"/>
                              <w:bidi w:val="0"/>
                              <w:spacing w:before="120" w:after="283"/>
                              <w:jc w:val="center"/>
                              <w:rPr/>
                            </w:pPr>
                            <w:r>
                              <w:rPr/>
                            </w:r>
                            <w:r>
                              <w:br w:type="page"/>
                            </w:r>
                          </w:p>
                          <w:p>
                            <w:pPr>
                              <w:pStyle w:val="TextBody"/>
                              <w:bidi w:val="0"/>
                              <w:spacing w:before="120" w:after="283"/>
                              <w:jc w:val="center"/>
                              <w:rPr/>
                            </w:pPr>
                            <w:r>
                              <w:rPr/>
                            </w: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3554</Words>
  <Characters>20359</Characters>
  <CharactersWithSpaces>23622</CharactersWithSpaces>
  <Paragraphs>537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