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Silver Spike Acquisition Corp.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Class A Ordinary Shares, par value $0.0001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G8136L106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December 31,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914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66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940" w:type="dxa"/>
            <w:vAlign w:val="bottom"/>
            <w:tcBorders>
              <w:top w:val="single" w:sz="8" w:color="auto"/>
              <w:left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4"/>
              </w:rPr>
              <w:t>CUSIP No. G8136L106</w:t>
            </w: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right w:val="single" w:sz="8" w:color="auto"/>
            </w:tcBorders>
          </w:tcPr>
          <w:p>
            <w:pPr>
              <w:spacing w:after="0"/>
              <w:rPr>
                <w:sz w:val="19"/>
                <w:szCs w:val="19"/>
                <w:color w:val="auto"/>
              </w:rPr>
            </w:pPr>
          </w:p>
        </w:tc>
        <w:tc>
          <w:tcPr>
            <w:tcW w:w="2620" w:type="dxa"/>
            <w:vAlign w:val="bottom"/>
            <w:tcBorders>
              <w:right w:val="single" w:sz="8" w:color="auto"/>
            </w:tcBorders>
          </w:tcPr>
          <w:p>
            <w:pPr>
              <w:ind w:left="1140"/>
              <w:spacing w:after="0"/>
              <w:rPr>
                <w:sz w:val="20"/>
                <w:szCs w:val="20"/>
                <w:color w:val="auto"/>
              </w:rPr>
            </w:pPr>
            <w:r>
              <w:rPr>
                <w:rFonts w:ascii="Arial" w:cs="Arial" w:eastAsia="Arial" w:hAnsi="Arial"/>
                <w:sz w:val="18"/>
                <w:szCs w:val="18"/>
                <w:b w:val="1"/>
                <w:bCs w:val="1"/>
                <w:color w:val="auto"/>
              </w:rPr>
              <w:t>13G</w:t>
            </w:r>
          </w:p>
        </w:tc>
        <w:tc>
          <w:tcPr>
            <w:tcW w:w="4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gridSpan w:val="6"/>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780" w:type="dxa"/>
            <w:vAlign w:val="bottom"/>
            <w:tcBorders>
              <w:right w:val="single" w:sz="8" w:color="auto"/>
            </w:tcBorders>
          </w:tcPr>
          <w:p>
            <w:pPr>
              <w:spacing w:after="0"/>
              <w:rPr>
                <w:sz w:val="19"/>
                <w:szCs w:val="19"/>
                <w:color w:val="auto"/>
              </w:rPr>
            </w:pPr>
          </w:p>
        </w:tc>
        <w:tc>
          <w:tcPr>
            <w:tcW w:w="6300" w:type="dxa"/>
            <w:vAlign w:val="bottom"/>
            <w:gridSpan w:val="6"/>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4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300" w:type="dxa"/>
            <w:vAlign w:val="bottom"/>
            <w:gridSpan w:val="6"/>
          </w:tcPr>
          <w:p>
            <w:pPr>
              <w:ind w:left="80"/>
              <w:spacing w:after="0"/>
              <w:rPr>
                <w:sz w:val="20"/>
                <w:szCs w:val="20"/>
                <w:color w:val="auto"/>
              </w:rPr>
            </w:pPr>
            <w:r>
              <w:rPr>
                <w:rFonts w:ascii="Arial" w:cs="Arial" w:eastAsia="Arial" w:hAnsi="Arial"/>
                <w:sz w:val="18"/>
                <w:szCs w:val="18"/>
                <w:color w:val="auto"/>
              </w:rPr>
              <w:t>Polar Asset Management Partners Inc.</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tcBorders>
            <w:gridSpan w:val="6"/>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780" w:type="dxa"/>
            <w:vAlign w:val="bottom"/>
            <w:tcBorders>
              <w:right w:val="single" w:sz="8" w:color="auto"/>
            </w:tcBorders>
          </w:tcPr>
          <w:p>
            <w:pPr>
              <w:spacing w:after="0"/>
              <w:rPr>
                <w:sz w:val="19"/>
                <w:szCs w:val="19"/>
                <w:color w:val="auto"/>
              </w:rPr>
            </w:pPr>
          </w:p>
        </w:tc>
        <w:tc>
          <w:tcPr>
            <w:tcW w:w="6300" w:type="dxa"/>
            <w:vAlign w:val="bottom"/>
            <w:gridSpan w:val="6"/>
          </w:tcPr>
          <w:p>
            <w:pPr>
              <w:ind w:left="8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4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(b)</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780" w:type="dxa"/>
            <w:vAlign w:val="bottom"/>
            <w:tcBorders>
              <w:right w:val="single" w:sz="8" w:color="auto"/>
            </w:tcBorders>
          </w:tcPr>
          <w:p>
            <w:pPr>
              <w:spacing w:after="0"/>
              <w:rPr>
                <w:sz w:val="19"/>
                <w:szCs w:val="19"/>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b w:val="1"/>
                <w:bCs w:val="1"/>
                <w:color w:val="auto"/>
              </w:rPr>
              <w:t>Sec Use Only</w:t>
            </w:r>
          </w:p>
        </w:tc>
        <w:tc>
          <w:tcPr>
            <w:tcW w:w="2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2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300" w:type="dxa"/>
            <w:vAlign w:val="bottom"/>
            <w:tcBorders>
              <w:bottom w:val="single" w:sz="8" w:color="auto"/>
            </w:tcBorders>
            <w:gridSpan w:val="6"/>
          </w:tcPr>
          <w:p>
            <w:pPr>
              <w:spacing w:after="0"/>
              <w:rPr>
                <w:sz w:val="24"/>
                <w:szCs w:val="24"/>
                <w:color w:val="auto"/>
              </w:rPr>
            </w:pPr>
          </w:p>
        </w:tc>
        <w:tc>
          <w:tcPr>
            <w:tcW w:w="4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4</w:t>
            </w:r>
          </w:p>
        </w:tc>
        <w:tc>
          <w:tcPr>
            <w:tcW w:w="780" w:type="dxa"/>
            <w:vAlign w:val="bottom"/>
            <w:tcBorders>
              <w:right w:val="single" w:sz="8" w:color="auto"/>
            </w:tcBorders>
          </w:tcPr>
          <w:p>
            <w:pPr>
              <w:spacing w:after="0"/>
              <w:rPr>
                <w:sz w:val="19"/>
                <w:szCs w:val="19"/>
                <w:color w:val="auto"/>
              </w:rPr>
            </w:pPr>
          </w:p>
        </w:tc>
        <w:tc>
          <w:tcPr>
            <w:tcW w:w="6300" w:type="dxa"/>
            <w:vAlign w:val="bottom"/>
            <w:gridSpan w:val="6"/>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4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85"/>
              </w:rPr>
              <w:t>Canada</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gridSpan w:val="2"/>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w:t>
            </w:r>
          </w:p>
        </w:tc>
        <w:tc>
          <w:tcPr>
            <w:tcW w:w="4740" w:type="dxa"/>
            <w:vAlign w:val="bottom"/>
            <w:gridSpan w:val="2"/>
          </w:tcPr>
          <w:p>
            <w:pPr>
              <w:ind w:left="280"/>
              <w:spacing w:after="0"/>
              <w:rPr>
                <w:sz w:val="20"/>
                <w:szCs w:val="20"/>
                <w:color w:val="auto"/>
              </w:rPr>
            </w:pPr>
            <w:r>
              <w:rPr>
                <w:rFonts w:ascii="Arial" w:cs="Arial" w:eastAsia="Arial" w:hAnsi="Arial"/>
                <w:sz w:val="18"/>
                <w:szCs w:val="18"/>
                <w:b w:val="1"/>
                <w:bCs w:val="1"/>
                <w:color w:val="auto"/>
              </w:rPr>
              <w:t>Sole Voting Power</w:t>
            </w:r>
          </w:p>
        </w:tc>
        <w:tc>
          <w:tcPr>
            <w:tcW w:w="4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120" w:type="dxa"/>
            <w:vAlign w:val="bottom"/>
          </w:tcPr>
          <w:p>
            <w:pPr>
              <w:ind w:left="280"/>
              <w:spacing w:after="0"/>
              <w:rPr>
                <w:sz w:val="20"/>
                <w:szCs w:val="20"/>
                <w:color w:val="auto"/>
              </w:rPr>
            </w:pPr>
            <w:r>
              <w:rPr>
                <w:rFonts w:ascii="Arial" w:cs="Arial" w:eastAsia="Arial" w:hAnsi="Arial"/>
                <w:sz w:val="18"/>
                <w:szCs w:val="18"/>
                <w:color w:val="auto"/>
              </w:rPr>
              <w:t>2,282,000</w:t>
            </w:r>
          </w:p>
        </w:tc>
        <w:tc>
          <w:tcPr>
            <w:tcW w:w="262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auto"/>
            </w:tcBorders>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vMerge w:val="restart"/>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tcBorders>
            <w:gridSpan w:val="2"/>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0" w:type="dxa"/>
            <w:vAlign w:val="bottom"/>
            <w:tcBorders>
              <w:left w:val="single" w:sz="8" w:color="auto"/>
            </w:tcBorders>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6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6</w:t>
            </w:r>
          </w:p>
        </w:tc>
        <w:tc>
          <w:tcPr>
            <w:tcW w:w="474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Shared Voting Power</w:t>
            </w: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2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0" w:type="dxa"/>
            <w:vAlign w:val="bottom"/>
            <w:tcBorders>
              <w:left w:val="single" w:sz="8" w:color="auto"/>
            </w:tcBorders>
          </w:tcPr>
          <w:p>
            <w:pPr>
              <w:spacing w:after="0"/>
              <w:rPr>
                <w:sz w:val="15"/>
                <w:szCs w:val="15"/>
                <w:color w:val="auto"/>
              </w:rPr>
            </w:pPr>
          </w:p>
        </w:tc>
        <w:tc>
          <w:tcPr>
            <w:tcW w:w="1420" w:type="dxa"/>
            <w:vAlign w:val="bottom"/>
            <w:gridSpan w:val="2"/>
          </w:tcPr>
          <w:p>
            <w:pPr>
              <w:jc w:val="center"/>
              <w:spacing w:after="0" w:line="178" w:lineRule="exact"/>
              <w:rPr>
                <w:sz w:val="20"/>
                <w:szCs w:val="20"/>
                <w:color w:val="auto"/>
              </w:rPr>
            </w:pPr>
            <w:r>
              <w:rPr>
                <w:rFonts w:ascii="Arial" w:cs="Arial" w:eastAsia="Arial" w:hAnsi="Arial"/>
                <w:sz w:val="18"/>
                <w:szCs w:val="18"/>
                <w:b w:val="1"/>
                <w:bCs w:val="1"/>
                <w:color w:val="auto"/>
                <w:w w:val="90"/>
              </w:rPr>
              <w:t>Owned by Each</w:t>
            </w:r>
          </w:p>
        </w:tc>
        <w:tc>
          <w:tcPr>
            <w:tcW w:w="2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jc w:val="right"/>
              <w:ind w:right="310"/>
              <w:spacing w:after="0" w:line="178" w:lineRule="exact"/>
              <w:rPr>
                <w:sz w:val="20"/>
                <w:szCs w:val="20"/>
                <w:color w:val="auto"/>
              </w:rPr>
            </w:pPr>
            <w:r>
              <w:rPr>
                <w:rFonts w:ascii="Arial" w:cs="Arial" w:eastAsia="Arial" w:hAnsi="Arial"/>
                <w:sz w:val="18"/>
                <w:szCs w:val="18"/>
                <w:b w:val="1"/>
                <w:bCs w:val="1"/>
                <w:color w:val="auto"/>
              </w:rPr>
              <w:t>7</w:t>
            </w:r>
          </w:p>
        </w:tc>
        <w:tc>
          <w:tcPr>
            <w:tcW w:w="4740" w:type="dxa"/>
            <w:vAlign w:val="bottom"/>
            <w:gridSpan w:val="2"/>
          </w:tcPr>
          <w:p>
            <w:pPr>
              <w:ind w:left="28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4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Reporting Person</w:t>
            </w:r>
          </w:p>
        </w:tc>
        <w:tc>
          <w:tcPr>
            <w:tcW w:w="2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0" w:type="dxa"/>
            <w:vAlign w:val="bottom"/>
            <w:tcBorders>
              <w:left w:val="single" w:sz="8" w:color="auto"/>
            </w:tcBorders>
          </w:tcPr>
          <w:p>
            <w:pPr>
              <w:spacing w:after="0"/>
              <w:rPr>
                <w:sz w:val="21"/>
                <w:szCs w:val="21"/>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With:</w:t>
            </w:r>
          </w:p>
        </w:tc>
        <w:tc>
          <w:tcPr>
            <w:tcW w:w="2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2120" w:type="dxa"/>
            <w:vAlign w:val="bottom"/>
          </w:tcPr>
          <w:p>
            <w:pPr>
              <w:ind w:left="320"/>
              <w:spacing w:after="0"/>
              <w:rPr>
                <w:sz w:val="20"/>
                <w:szCs w:val="20"/>
                <w:color w:val="auto"/>
              </w:rPr>
            </w:pPr>
            <w:r>
              <w:rPr>
                <w:rFonts w:ascii="Arial" w:cs="Arial" w:eastAsia="Arial" w:hAnsi="Arial"/>
                <w:sz w:val="18"/>
                <w:szCs w:val="18"/>
                <w:color w:val="auto"/>
              </w:rPr>
              <w:t>2,282,000</w:t>
            </w:r>
          </w:p>
        </w:tc>
        <w:tc>
          <w:tcPr>
            <w:tcW w:w="262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vMerge w:val="restart"/>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tcBorders>
            <w:gridSpan w:val="2"/>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w:t>
            </w:r>
          </w:p>
        </w:tc>
        <w:tc>
          <w:tcPr>
            <w:tcW w:w="474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Shared Dispositive Power</w:t>
            </w:r>
          </w:p>
        </w:tc>
        <w:tc>
          <w:tcPr>
            <w:tcW w:w="4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2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gridSpan w:val="3"/>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4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9</w:t>
            </w:r>
          </w:p>
        </w:tc>
        <w:tc>
          <w:tcPr>
            <w:tcW w:w="780" w:type="dxa"/>
            <w:vAlign w:val="bottom"/>
            <w:tcBorders>
              <w:right w:val="single" w:sz="8" w:color="auto"/>
            </w:tcBorders>
          </w:tcPr>
          <w:p>
            <w:pPr>
              <w:spacing w:after="0"/>
              <w:rPr>
                <w:sz w:val="19"/>
                <w:szCs w:val="19"/>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b w:val="1"/>
                <w:bCs w:val="1"/>
                <w:color w:val="auto"/>
                <w:w w:val="88"/>
              </w:rPr>
              <w:t>Aggregate Amount</w:t>
            </w:r>
          </w:p>
        </w:tc>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auto"/>
              </w:rPr>
              <w:t>Beneficially Owned by Each Reporting Person</w:t>
            </w:r>
          </w:p>
        </w:tc>
        <w:tc>
          <w:tcPr>
            <w:tcW w:w="4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2,282,000</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9"/>
              </w:rPr>
              <w:t>10</w:t>
            </w:r>
          </w:p>
        </w:tc>
        <w:tc>
          <w:tcPr>
            <w:tcW w:w="78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14"/>
        </w:trPr>
        <w:tc>
          <w:tcPr>
            <w:tcW w:w="32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gridSpan w:val="2"/>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9"/>
              </w:rPr>
              <w:t>11</w:t>
            </w:r>
          </w:p>
        </w:tc>
        <w:tc>
          <w:tcPr>
            <w:tcW w:w="780" w:type="dxa"/>
            <w:vAlign w:val="bottom"/>
            <w:tcBorders>
              <w:right w:val="single" w:sz="8" w:color="auto"/>
            </w:tcBorders>
          </w:tcPr>
          <w:p>
            <w:pPr>
              <w:spacing w:after="0"/>
              <w:rPr>
                <w:sz w:val="19"/>
                <w:szCs w:val="19"/>
                <w:color w:val="auto"/>
              </w:rPr>
            </w:pPr>
          </w:p>
        </w:tc>
        <w:tc>
          <w:tcPr>
            <w:tcW w:w="6300" w:type="dxa"/>
            <w:vAlign w:val="bottom"/>
            <w:gridSpan w:val="6"/>
          </w:tcPr>
          <w:p>
            <w:pPr>
              <w:ind w:left="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4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gridSpan w:val="2"/>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9"/>
              </w:rPr>
              <w:t>12</w:t>
            </w:r>
          </w:p>
        </w:tc>
        <w:tc>
          <w:tcPr>
            <w:tcW w:w="780" w:type="dxa"/>
            <w:vAlign w:val="bottom"/>
            <w:tcBorders>
              <w:right w:val="single" w:sz="8" w:color="auto"/>
            </w:tcBorders>
          </w:tcPr>
          <w:p>
            <w:pPr>
              <w:spacing w:after="0"/>
              <w:rPr>
                <w:sz w:val="19"/>
                <w:szCs w:val="19"/>
                <w:color w:val="auto"/>
              </w:rPr>
            </w:pPr>
          </w:p>
        </w:tc>
        <w:tc>
          <w:tcPr>
            <w:tcW w:w="6300" w:type="dxa"/>
            <w:vAlign w:val="bottom"/>
            <w:gridSpan w:val="6"/>
          </w:tcPr>
          <w:p>
            <w:pPr>
              <w:ind w:left="80"/>
              <w:spacing w:after="0"/>
              <w:rPr>
                <w:sz w:val="20"/>
                <w:szCs w:val="20"/>
                <w:color w:val="auto"/>
              </w:rPr>
            </w:pPr>
            <w:r>
              <w:rPr>
                <w:rFonts w:ascii="Arial" w:cs="Arial" w:eastAsia="Arial" w:hAnsi="Arial"/>
                <w:sz w:val="18"/>
                <w:szCs w:val="18"/>
                <w:b w:val="1"/>
                <w:bCs w:val="1"/>
                <w:color w:val="auto"/>
              </w:rPr>
              <w:t>Type of Reporting Person (See Instructions)</w:t>
            </w:r>
          </w:p>
        </w:tc>
        <w:tc>
          <w:tcPr>
            <w:tcW w:w="4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IA</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47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G8136L106</w:t>
            </w:r>
          </w:p>
        </w:tc>
        <w:tc>
          <w:tcPr>
            <w:tcW w:w="2620" w:type="dxa"/>
            <w:vAlign w:val="bottom"/>
            <w:tcBorders>
              <w:right w:val="single" w:sz="8" w:color="auto"/>
            </w:tcBorders>
          </w:tcPr>
          <w:p>
            <w:pPr>
              <w:ind w:left="1140"/>
              <w:spacing w:after="0"/>
              <w:rPr>
                <w:sz w:val="20"/>
                <w:szCs w:val="20"/>
                <w:color w:val="auto"/>
              </w:rPr>
            </w:pPr>
            <w:r>
              <w:rPr>
                <w:rFonts w:ascii="Arial" w:cs="Arial" w:eastAsia="Arial" w:hAnsi="Arial"/>
                <w:sz w:val="18"/>
                <w:szCs w:val="18"/>
                <w:b w:val="1"/>
                <w:bCs w:val="1"/>
                <w:color w:val="auto"/>
              </w:rPr>
              <w:t>13G</w:t>
            </w:r>
          </w:p>
        </w:tc>
        <w:tc>
          <w:tcPr>
            <w:tcW w:w="4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3 of 5 Pages</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06" w:lineRule="exact"/>
        <w:rPr>
          <w:sz w:val="20"/>
          <w:szCs w:val="20"/>
          <w:color w:val="auto"/>
        </w:rPr>
      </w:pPr>
    </w:p>
    <w:p>
      <w:pPr>
        <w:ind w:left="720" w:hanging="712"/>
        <w:spacing w:after="0"/>
        <w:tabs>
          <w:tab w:leader="none" w:pos="7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issuer is Silver Spike Acquisition Corp.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0" w:lineRule="exact"/>
        <w:rPr>
          <w:sz w:val="20"/>
          <w:szCs w:val="20"/>
          <w:color w:val="auto"/>
        </w:rPr>
      </w:pPr>
    </w:p>
    <w:p>
      <w:pPr>
        <w:ind w:left="720" w:hanging="712"/>
        <w:spacing w:after="0"/>
        <w:tabs>
          <w:tab w:leader="none" w:pos="7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principal executive offices are located at 1114 6</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Ave, 41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Floor, New York, NY 11036.</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06" w:lineRule="exact"/>
        <w:rPr>
          <w:sz w:val="20"/>
          <w:szCs w:val="20"/>
          <w:color w:val="auto"/>
        </w:rPr>
      </w:pPr>
    </w:p>
    <w:p>
      <w:pPr>
        <w:ind w:left="720" w:hanging="712"/>
        <w:spacing w:after="0"/>
        <w:tabs>
          <w:tab w:leader="none" w:pos="72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212"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This statement is filed by Polar Asset Management Partners Inc., a company incorporated under the laws of Ontario, Canada, which serves as the investment advisor to Polar Multi-Strategy Master Fund, a Cayman Islands exempted company ("</w:t>
      </w:r>
      <w:r>
        <w:rPr>
          <w:rFonts w:ascii="Arial" w:cs="Arial" w:eastAsia="Arial" w:hAnsi="Arial"/>
          <w:sz w:val="22"/>
          <w:szCs w:val="22"/>
          <w:u w:val="single" w:color="auto"/>
          <w:color w:val="auto"/>
        </w:rPr>
        <w:t>PMSMF</w:t>
      </w:r>
      <w:r>
        <w:rPr>
          <w:rFonts w:ascii="Arial" w:cs="Arial" w:eastAsia="Arial" w:hAnsi="Arial"/>
          <w:sz w:val="22"/>
          <w:szCs w:val="22"/>
          <w:color w:val="auto"/>
        </w:rPr>
        <w:t>") and certain managed accounts (together with PMSMF, the "</w:t>
      </w:r>
      <w:r>
        <w:rPr>
          <w:rFonts w:ascii="Arial" w:cs="Arial" w:eastAsia="Arial" w:hAnsi="Arial"/>
          <w:sz w:val="22"/>
          <w:szCs w:val="22"/>
          <w:u w:val="single" w:color="auto"/>
          <w:color w:val="auto"/>
        </w:rPr>
        <w:t>Polar Vehicles</w:t>
      </w:r>
      <w:r>
        <w:rPr>
          <w:rFonts w:ascii="Arial" w:cs="Arial" w:eastAsia="Arial" w:hAnsi="Arial"/>
          <w:sz w:val="22"/>
          <w:szCs w:val="22"/>
          <w:color w:val="auto"/>
        </w:rPr>
        <w:t>"), with respect to the Shares (as defined below) directly held by the Polar Vehicles.</w:t>
      </w:r>
    </w:p>
    <w:p>
      <w:pPr>
        <w:spacing w:after="0" w:line="185" w:lineRule="exact"/>
        <w:rPr>
          <w:sz w:val="20"/>
          <w:szCs w:val="20"/>
          <w:color w:val="auto"/>
        </w:rPr>
      </w:pPr>
    </w:p>
    <w:p>
      <w:pPr>
        <w:jc w:val="both"/>
        <w:ind w:left="660" w:right="20"/>
        <w:spacing w:after="0" w:line="251" w:lineRule="auto"/>
        <w:rPr>
          <w:sz w:val="20"/>
          <w:szCs w:val="20"/>
          <w:color w:val="auto"/>
        </w:rPr>
      </w:pPr>
      <w:r>
        <w:rPr>
          <w:rFonts w:ascii="Arial" w:cs="Arial" w:eastAsia="Arial" w:hAnsi="Arial"/>
          <w:sz w:val="22"/>
          <w:szCs w:val="22"/>
          <w:color w:val="auto"/>
        </w:rPr>
        <w:t>The filing of this statement should not be construed as an admission that the Reporting Person is, for the purposes of Section 13 of the Act, the beneficial owner of the Shares reported herein.</w:t>
      </w:r>
    </w:p>
    <w:p>
      <w:pPr>
        <w:spacing w:after="0" w:line="167" w:lineRule="exact"/>
        <w:rPr>
          <w:sz w:val="20"/>
          <w:szCs w:val="20"/>
          <w:color w:val="auto"/>
        </w:rPr>
      </w:pPr>
    </w:p>
    <w:p>
      <w:pPr>
        <w:ind w:left="720" w:hanging="712"/>
        <w:spacing w:after="0"/>
        <w:tabs>
          <w:tab w:leader="none" w:pos="7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212"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The address of the business office of the Reporting Person is 401 Bay Street, Suite 1900, PO Box 19, Toronto, Ontario M5H 2Y4, Canada.</w:t>
      </w:r>
    </w:p>
    <w:p>
      <w:pPr>
        <w:spacing w:after="0" w:line="167" w:lineRule="exact"/>
        <w:rPr>
          <w:sz w:val="20"/>
          <w:szCs w:val="20"/>
          <w:color w:val="auto"/>
        </w:rPr>
      </w:pPr>
    </w:p>
    <w:p>
      <w:pPr>
        <w:ind w:left="720" w:hanging="712"/>
        <w:spacing w:after="0"/>
        <w:tabs>
          <w:tab w:leader="none" w:pos="7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citizenship of the Reporting Person is Canada.</w:t>
      </w:r>
    </w:p>
    <w:p>
      <w:pPr>
        <w:spacing w:after="0" w:line="200" w:lineRule="exact"/>
        <w:rPr>
          <w:sz w:val="20"/>
          <w:szCs w:val="20"/>
          <w:color w:val="auto"/>
        </w:rPr>
      </w:pPr>
    </w:p>
    <w:p>
      <w:pPr>
        <w:ind w:left="720" w:hanging="712"/>
        <w:spacing w:after="0"/>
        <w:tabs>
          <w:tab w:leader="none" w:pos="72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Title and Class of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Class A Ordinary Shares, par value $0.0001 per share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200" w:lineRule="exact"/>
        <w:rPr>
          <w:sz w:val="20"/>
          <w:szCs w:val="20"/>
          <w:color w:val="auto"/>
        </w:rPr>
      </w:pPr>
    </w:p>
    <w:p>
      <w:pPr>
        <w:ind w:left="720" w:hanging="712"/>
        <w:spacing w:after="0"/>
        <w:tabs>
          <w:tab w:leader="none" w:pos="7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CUSIP No.:</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G8136L106</w:t>
      </w:r>
    </w:p>
    <w:p>
      <w:pPr>
        <w:spacing w:after="0" w:line="20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 240.13d-1(b) or 240.13d-2(b) or (c), check whether the person filing is a:</w:t>
      </w:r>
    </w:p>
    <w:p>
      <w:pPr>
        <w:spacing w:after="0" w:line="212" w:lineRule="exact"/>
        <w:rPr>
          <w:sz w:val="20"/>
          <w:szCs w:val="20"/>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investment adviser in accordance with Rule 13d-1(b)(1)(ii)(E);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47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G8136L106</w:t>
            </w:r>
          </w:p>
        </w:tc>
        <w:tc>
          <w:tcPr>
            <w:tcW w:w="2620" w:type="dxa"/>
            <w:vAlign w:val="bottom"/>
            <w:tcBorders>
              <w:right w:val="single" w:sz="8" w:color="auto"/>
            </w:tcBorders>
          </w:tcPr>
          <w:p>
            <w:pPr>
              <w:ind w:left="1140"/>
              <w:spacing w:after="0"/>
              <w:rPr>
                <w:sz w:val="20"/>
                <w:szCs w:val="20"/>
                <w:color w:val="auto"/>
              </w:rPr>
            </w:pPr>
            <w:r>
              <w:rPr>
                <w:rFonts w:ascii="Arial" w:cs="Arial" w:eastAsia="Arial" w:hAnsi="Arial"/>
                <w:sz w:val="18"/>
                <w:szCs w:val="18"/>
                <w:b w:val="1"/>
                <w:bCs w:val="1"/>
                <w:color w:val="auto"/>
              </w:rPr>
              <w:t>13G</w:t>
            </w:r>
          </w:p>
        </w:tc>
        <w:tc>
          <w:tcPr>
            <w:tcW w:w="4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4 of 5 Pages</w:t>
            </w:r>
          </w:p>
        </w:tc>
      </w:tr>
    </w:tbl>
    <w:p>
      <w:pPr>
        <w:spacing w:after="0" w:line="195" w:lineRule="exact"/>
        <w:rPr>
          <w:sz w:val="20"/>
          <w:szCs w:val="20"/>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savings associations as defined in Section 3(b) of the Federal Deposit Insurance Act (12 U.S.C. 1813);</w:t>
      </w:r>
    </w:p>
    <w:p>
      <w:pPr>
        <w:spacing w:after="0" w:line="206" w:lineRule="exact"/>
        <w:rPr>
          <w:rFonts w:ascii="Arial" w:cs="Arial" w:eastAsia="Arial" w:hAnsi="Arial"/>
          <w:sz w:val="22"/>
          <w:szCs w:val="22"/>
          <w:color w:val="auto"/>
        </w:rPr>
      </w:pPr>
    </w:p>
    <w:p>
      <w:pPr>
        <w:ind w:left="1960" w:hanging="1304"/>
        <w:spacing w:after="0" w:line="251" w:lineRule="auto"/>
        <w:tabs>
          <w:tab w:leader="none" w:pos="1329" w:val="left"/>
        </w:tabs>
        <w:numPr>
          <w:ilvl w:val="0"/>
          <w:numId w:val="10"/>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3"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[X]</w:t>
      </w:r>
      <w:r>
        <w:rPr>
          <w:rFonts w:ascii="Arial" w:cs="Arial" w:eastAsia="Arial" w:hAnsi="Arial"/>
          <w:sz w:val="19"/>
          <w:szCs w:val="19"/>
          <w:color w:val="auto"/>
        </w:rPr>
        <w:t>A non-U.S. institution in accordance with Rule 240.13d-1(b)(1)(ii)(J);</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Group, in accordance with Rule 240.13d-1(b)(1)(ii)(K).</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filing as a non-U.S. institution in accordance with Rule 240.13d-1(b)(1)(ii)(J), please specify the type of institution:</w:t>
      </w:r>
    </w:p>
    <w:p>
      <w:pPr>
        <w:spacing w:after="0" w:line="218"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The Reporting Person is an investment fund manager, portfolio manager, exempt market dealer and commodity trading manager registered with the Ontario Securities Commission.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jc w:val="both"/>
        <w:ind w:left="980"/>
        <w:spacing w:after="0"/>
        <w:rPr>
          <w:sz w:val="20"/>
          <w:szCs w:val="20"/>
          <w:color w:val="auto"/>
        </w:rPr>
      </w:pPr>
      <w:r>
        <w:rPr>
          <w:rFonts w:ascii="Arial" w:cs="Arial" w:eastAsia="Arial" w:hAnsi="Arial"/>
          <w:sz w:val="22"/>
          <w:szCs w:val="22"/>
          <w:color w:val="auto"/>
        </w:rPr>
        <w:t>The percentages used herein are calculated based upon 25,000,000 Shares outstanding as November 13, 2019 as disclosed in the Company's Quarterly Report on Form 10-Q for the quarter ended September 30, 2019, filed with the Securities and Exchange Commission on November 13, 2019.</w:t>
      </w:r>
    </w:p>
    <w:p>
      <w:pPr>
        <w:spacing w:after="0" w:line="186" w:lineRule="exact"/>
        <w:rPr>
          <w:sz w:val="20"/>
          <w:szCs w:val="20"/>
          <w:color w:val="auto"/>
        </w:rPr>
      </w:pPr>
    </w:p>
    <w:p>
      <w:pPr>
        <w:jc w:val="both"/>
        <w:ind w:left="980"/>
        <w:spacing w:after="0" w:line="251" w:lineRule="auto"/>
        <w:rPr>
          <w:sz w:val="20"/>
          <w:szCs w:val="20"/>
          <w:color w:val="auto"/>
        </w:rPr>
      </w:pPr>
      <w:r>
        <w:rPr>
          <w:rFonts w:ascii="Arial" w:cs="Arial" w:eastAsia="Arial" w:hAnsi="Arial"/>
          <w:sz w:val="22"/>
          <w:szCs w:val="22"/>
          <w:color w:val="auto"/>
        </w:rPr>
        <w:t>The information required by Items 4(a) - (c) is set forth in Rows 5 - 11 of the cover page for the Reporting Person and is incorporated herein by reference.</w:t>
      </w:r>
    </w:p>
    <w:p>
      <w:pPr>
        <w:spacing w:after="0" w:line="167"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jc w:val="both"/>
        <w:ind w:left="98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7"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jc w:val="both"/>
        <w:ind w:left="980" w:right="20"/>
        <w:spacing w:after="0" w:line="251" w:lineRule="auto"/>
        <w:rPr>
          <w:sz w:val="20"/>
          <w:szCs w:val="20"/>
          <w:color w:val="auto"/>
        </w:rPr>
      </w:pPr>
      <w:r>
        <w:rPr>
          <w:rFonts w:ascii="Arial" w:cs="Arial" w:eastAsia="Arial" w:hAnsi="Arial"/>
          <w:sz w:val="22"/>
          <w:szCs w:val="22"/>
          <w:color w:val="auto"/>
        </w:rPr>
        <w:t>See Item 2. The Polar Vehicles have the right to receive or the power to direct the receipt of dividends from or the proceeds from the sale of more than 5% of the Shares.</w:t>
      </w:r>
    </w:p>
    <w:p>
      <w:pPr>
        <w:spacing w:after="0" w:line="167"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47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G8136L106</w:t>
            </w:r>
          </w:p>
        </w:tc>
        <w:tc>
          <w:tcPr>
            <w:tcW w:w="2620" w:type="dxa"/>
            <w:vAlign w:val="bottom"/>
            <w:tcBorders>
              <w:right w:val="single" w:sz="8" w:color="auto"/>
            </w:tcBorders>
          </w:tcPr>
          <w:p>
            <w:pPr>
              <w:ind w:left="1140"/>
              <w:spacing w:after="0"/>
              <w:rPr>
                <w:sz w:val="20"/>
                <w:szCs w:val="20"/>
                <w:color w:val="auto"/>
              </w:rPr>
            </w:pPr>
            <w:r>
              <w:rPr>
                <w:rFonts w:ascii="Arial" w:cs="Arial" w:eastAsia="Arial" w:hAnsi="Arial"/>
                <w:sz w:val="18"/>
                <w:szCs w:val="18"/>
                <w:b w:val="1"/>
                <w:bCs w:val="1"/>
                <w:color w:val="auto"/>
              </w:rPr>
              <w:t>13G</w:t>
            </w:r>
          </w:p>
        </w:tc>
        <w:tc>
          <w:tcPr>
            <w:tcW w:w="4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5 of 5 Pages</w:t>
            </w:r>
          </w:p>
        </w:tc>
      </w:tr>
    </w:tbl>
    <w:p>
      <w:pPr>
        <w:spacing w:after="0" w:line="18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14" w:lineRule="exact"/>
        <w:rPr>
          <w:sz w:val="20"/>
          <w:szCs w:val="20"/>
          <w:color w:val="auto"/>
        </w:rPr>
      </w:pPr>
    </w:p>
    <w:p>
      <w:pPr>
        <w:jc w:val="both"/>
        <w:ind w:left="660"/>
        <w:spacing w:after="0" w:line="273" w:lineRule="auto"/>
        <w:rPr>
          <w:sz w:val="20"/>
          <w:szCs w:val="20"/>
          <w:color w:val="auto"/>
        </w:rPr>
      </w:pPr>
      <w:r>
        <w:rPr>
          <w:rFonts w:ascii="Arial" w:cs="Arial" w:eastAsia="Arial" w:hAnsi="Arial"/>
          <w:sz w:val="19"/>
          <w:szCs w:val="19"/>
          <w:color w:val="auto"/>
        </w:rPr>
        <w:t>By signing below the Reporting Person certifies that, to the best of its knowledge and belief, (i)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and (ii) the foreign regulatory schemes applicable to investment fund managers and broker-dealers are substantially comparable to the regulatory schemes applicable to the functionally equivalent U.S. institutions. The Reporting Person also undertakes to furnish to the Commission staff, upon request, information that would otherwise be disclosed in a Schedule 13D.</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12,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POLAR ASSET MANAGEMENT PARTNERS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Greg Lemaich</w:t>
      </w:r>
    </w:p>
    <w:p>
      <w:pPr>
        <w:spacing w:after="0" w:line="238" w:lineRule="auto"/>
        <w:rPr>
          <w:sz w:val="20"/>
          <w:szCs w:val="20"/>
          <w:color w:val="auto"/>
        </w:rPr>
      </w:pPr>
      <w:r>
        <w:rPr>
          <w:rFonts w:ascii="Arial" w:cs="Arial" w:eastAsia="Arial" w:hAnsi="Arial"/>
          <w:sz w:val="22"/>
          <w:szCs w:val="22"/>
          <w:color w:val="auto"/>
        </w:rPr>
        <w:t>Name: Greg Lemaich</w:t>
      </w:r>
    </w:p>
    <w:p>
      <w:pPr>
        <w:spacing w:after="0"/>
        <w:tabs>
          <w:tab w:leader="none" w:pos="680" w:val="left"/>
        </w:tabs>
        <w:rPr>
          <w:sz w:val="20"/>
          <w:szCs w:val="20"/>
          <w:color w:val="auto"/>
        </w:rPr>
      </w:pPr>
      <w:r>
        <w:rPr>
          <w:rFonts w:ascii="Arial" w:cs="Arial" w:eastAsia="Arial" w:hAnsi="Arial"/>
          <w:sz w:val="22"/>
          <w:szCs w:val="22"/>
          <w:color w:val="auto"/>
        </w:rPr>
        <w:t>Title:</w:t>
        <w:tab/>
        <w:t>General Counsel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2020-02-12T10:14:09Z</dcterms:created>
  <dcterms:modified xsi:type="dcterms:W3CDTF">2020-02-12T10:14:09Z</dcterms:modified>
</cp:coreProperties>
</file>