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Gonzalez Olga</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WM TECHNOLOGY,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MAPS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gridSpan w:val="6"/>
            <w:vMerge w:val="continue"/>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w w:val="98"/>
              </w:rPr>
              <w:t>C/O WM TECHNOLOGY, INC.</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08/26/2021</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vMerge w:val="restart"/>
          </w:tcPr>
          <w:p>
            <w:pPr>
              <w:spacing w:after="0"/>
              <w:rPr>
                <w:sz w:val="20"/>
                <w:szCs w:val="20"/>
                <w:color w:val="auto"/>
              </w:rPr>
            </w:pPr>
            <w:r>
              <w:rPr>
                <w:rFonts w:ascii="Arial" w:cs="Arial" w:eastAsia="Arial" w:hAnsi="Arial"/>
                <w:sz w:val="17"/>
                <w:szCs w:val="17"/>
                <w:color w:val="0000FF"/>
              </w:rPr>
              <w:t>41 DISCOVERY</w:t>
            </w: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7"/>
                <w:szCs w:val="17"/>
                <w:color w:val="0000FF"/>
              </w:rPr>
              <w:t>IRVINE</w:t>
            </w:r>
          </w:p>
        </w:tc>
        <w:tc>
          <w:tcPr>
            <w:tcW w:w="840" w:type="dxa"/>
            <w:vAlign w:val="bottom"/>
            <w:gridSpan w:val="2"/>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5"/>
          </w:tcPr>
          <w:p>
            <w:pPr>
              <w:spacing w:after="0"/>
              <w:rPr>
                <w:sz w:val="11"/>
                <w:szCs w:val="11"/>
                <w:color w:val="auto"/>
              </w:rPr>
            </w:pPr>
          </w:p>
        </w:tc>
        <w:tc>
          <w:tcPr>
            <w:tcW w:w="134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Arial" w:cs="Arial" w:eastAsia="Arial" w:hAnsi="Arial"/>
                <w:sz w:val="17"/>
                <w:szCs w:val="17"/>
                <w:color w:val="0000FF"/>
              </w:rPr>
              <w:t>08/26/2021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5"/>
              </w:rPr>
              <w:t>30,280</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30,280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of Common Stock underlying restricted stock units ("RSUs"). Each RSU represents the contingent right to receive one share of the Issuer's Common Stock. 1/3rd of the shares underlying the RSUs shall vest on the first, second and third anniversaries of June 16, 2021, subject to the Reporting Person remaining in Continuous Service (as defined in the Issuer's 2021 Equity Incentive Plan) through such vesting date.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3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Olga Gonzalez, by /s/ Ron A.</w:t>
      </w:r>
      <w:r>
        <w:rPr>
          <w:sz w:val="20"/>
          <w:szCs w:val="20"/>
          <w:color w:val="auto"/>
        </w:rPr>
        <w:tab/>
      </w:r>
      <w:r>
        <w:rPr>
          <w:rFonts w:ascii="Arial" w:cs="Arial" w:eastAsia="Arial" w:hAnsi="Arial"/>
          <w:sz w:val="23"/>
          <w:szCs w:val="23"/>
          <w:color w:val="0000FF"/>
          <w:vertAlign w:val="subscript"/>
        </w:rPr>
        <w:t>11/03/2021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19050</wp:posOffset>
            </wp:positionV>
            <wp:extent cx="12985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spacing w:after="0" w:line="5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Metzger,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56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63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67931"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2021-11-03T15:44:21Z</dcterms:created>
  <dcterms:modified xsi:type="dcterms:W3CDTF">2021-11-03T15:44:21Z</dcterms:modified>
</cp:coreProperties>
</file>