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313055</wp:posOffset>
            </wp:positionH>
            <wp:positionV relativeFrom="page">
              <wp:posOffset>426085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313055</wp:posOffset>
            </wp:positionH>
            <wp:positionV relativeFrom="page">
              <wp:posOffset>450850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54"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93" w:lineRule="exact"/>
        <w:rPr>
          <w:sz w:val="24"/>
          <w:szCs w:val="24"/>
          <w:color w:val="auto"/>
        </w:rPr>
      </w:pPr>
    </w:p>
    <w:p>
      <w:pPr>
        <w:ind w:left="2060" w:hanging="591"/>
        <w:spacing w:after="0"/>
        <w:tabs>
          <w:tab w:leader="none" w:pos="2060" w:val="left"/>
        </w:tabs>
        <w:numPr>
          <w:ilvl w:val="0"/>
          <w:numId w:val="1"/>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920115</wp:posOffset>
            </wp:positionH>
            <wp:positionV relativeFrom="paragraph">
              <wp:posOffset>-174625</wp:posOffset>
            </wp:positionV>
            <wp:extent cx="108585" cy="10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585" cy="1098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0" w:lineRule="exact"/>
        <w:rPr>
          <w:sz w:val="24"/>
          <w:szCs w:val="24"/>
          <w:color w:val="auto"/>
        </w:rPr>
      </w:pPr>
    </w:p>
    <w:p>
      <w:pPr>
        <w:ind w:left="1900" w:hanging="313"/>
        <w:spacing w:after="0"/>
        <w:tabs>
          <w:tab w:leader="none" w:pos="1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83" w:lineRule="exact"/>
        <w:rPr>
          <w:rFonts w:ascii="MS PGothic" w:cs="MS PGothic" w:eastAsia="MS PGothic" w:hAnsi="MS PGothic"/>
          <w:sz w:val="17"/>
          <w:szCs w:val="17"/>
          <w:color w:val="auto"/>
        </w:rPr>
      </w:pPr>
    </w:p>
    <w:p>
      <w:pPr>
        <w:ind w:left="4340"/>
        <w:spacing w:after="0"/>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For the transition period from ____ to 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p>
      <w:pPr>
        <w:spacing w:after="0" w:line="2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WM TECHNOLOGY,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2420" w:type="dxa"/>
            <w:vAlign w:val="bottom"/>
          </w:tcPr>
          <w:p>
            <w:pPr>
              <w:spacing w:after="0"/>
              <w:rPr>
                <w:sz w:val="15"/>
                <w:szCs w:val="15"/>
                <w:color w:val="auto"/>
              </w:rPr>
            </w:pPr>
          </w:p>
        </w:tc>
        <w:tc>
          <w:tcPr>
            <w:tcW w:w="3760" w:type="dxa"/>
            <w:vAlign w:val="bottom"/>
          </w:tcPr>
          <w:p>
            <w:pPr>
              <w:jc w:val="right"/>
              <w:ind w:right="2211"/>
              <w:spacing w:after="0"/>
              <w:rPr>
                <w:sz w:val="20"/>
                <w:szCs w:val="20"/>
                <w:color w:val="auto"/>
              </w:rPr>
            </w:pPr>
            <w:r>
              <w:rPr>
                <w:rFonts w:ascii="Times New Roman" w:cs="Times New Roman" w:eastAsia="Times New Roman" w:hAnsi="Times New Roman"/>
                <w:sz w:val="14"/>
                <w:szCs w:val="14"/>
                <w:b w:val="1"/>
                <w:bCs w:val="1"/>
                <w:color w:val="auto"/>
              </w:rPr>
              <w:t>98-1605615</w:t>
            </w:r>
          </w:p>
        </w:tc>
        <w:tc>
          <w:tcPr>
            <w:tcW w:w="0" w:type="dxa"/>
            <w:vAlign w:val="bottom"/>
          </w:tcPr>
          <w:p>
            <w:pPr>
              <w:spacing w:after="0"/>
              <w:rPr>
                <w:sz w:val="1"/>
                <w:szCs w:val="1"/>
                <w:color w:val="auto"/>
              </w:rPr>
            </w:pPr>
          </w:p>
        </w:tc>
      </w:tr>
      <w:tr>
        <w:trPr>
          <w:trHeight w:val="206"/>
        </w:trPr>
        <w:tc>
          <w:tcPr>
            <w:tcW w:w="506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w w:val="98"/>
              </w:rPr>
              <w:t>(State or other jurisdiction of incorporation or organization)</w:t>
            </w:r>
          </w:p>
        </w:tc>
        <w:tc>
          <w:tcPr>
            <w:tcW w:w="2420" w:type="dxa"/>
            <w:vAlign w:val="bottom"/>
          </w:tcPr>
          <w:p>
            <w:pPr>
              <w:spacing w:after="0"/>
              <w:rPr>
                <w:sz w:val="17"/>
                <w:szCs w:val="17"/>
                <w:color w:val="auto"/>
              </w:rPr>
            </w:pPr>
          </w:p>
        </w:tc>
        <w:tc>
          <w:tcPr>
            <w:tcW w:w="3760" w:type="dxa"/>
            <w:vAlign w:val="bottom"/>
          </w:tcPr>
          <w:p>
            <w:pPr>
              <w:jc w:val="center"/>
              <w:ind w:right="1351"/>
              <w:spacing w:after="0"/>
              <w:rPr>
                <w:sz w:val="20"/>
                <w:szCs w:val="20"/>
                <w:color w:val="auto"/>
              </w:rPr>
            </w:pPr>
            <w:r>
              <w:rPr>
                <w:rFonts w:ascii="Times New Roman" w:cs="Times New Roman" w:eastAsia="Times New Roman" w:hAnsi="Times New Roman"/>
                <w:sz w:val="14"/>
                <w:szCs w:val="14"/>
                <w:color w:val="auto"/>
                <w:w w:val="97"/>
              </w:rPr>
              <w:t>(I.R.S. Employer Identification No.)</w:t>
            </w:r>
          </w:p>
        </w:tc>
        <w:tc>
          <w:tcPr>
            <w:tcW w:w="0" w:type="dxa"/>
            <w:vAlign w:val="bottom"/>
          </w:tcPr>
          <w:p>
            <w:pPr>
              <w:spacing w:after="0"/>
              <w:rPr>
                <w:sz w:val="1"/>
                <w:szCs w:val="1"/>
                <w:color w:val="auto"/>
              </w:rPr>
            </w:pPr>
          </w:p>
        </w:tc>
      </w:tr>
      <w:tr>
        <w:trPr>
          <w:trHeight w:val="230"/>
        </w:trPr>
        <w:tc>
          <w:tcPr>
            <w:tcW w:w="506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6"/>
              </w:rPr>
              <w:t>41 Discovery</w:t>
            </w:r>
          </w:p>
        </w:tc>
        <w:tc>
          <w:tcPr>
            <w:tcW w:w="2420" w:type="dxa"/>
            <w:vAlign w:val="bottom"/>
          </w:tcPr>
          <w:p>
            <w:pPr>
              <w:spacing w:after="0"/>
              <w:rPr>
                <w:sz w:val="20"/>
                <w:szCs w:val="20"/>
                <w:color w:val="auto"/>
              </w:rPr>
            </w:pPr>
          </w:p>
        </w:tc>
        <w:tc>
          <w:tcPr>
            <w:tcW w:w="3760" w:type="dxa"/>
            <w:vAlign w:val="bottom"/>
            <w:vMerge w:val="restart"/>
          </w:tcPr>
          <w:p>
            <w:pPr>
              <w:jc w:val="center"/>
              <w:ind w:right="1351"/>
              <w:spacing w:after="0"/>
              <w:rPr>
                <w:sz w:val="20"/>
                <w:szCs w:val="20"/>
                <w:color w:val="auto"/>
              </w:rPr>
            </w:pPr>
            <w:r>
              <w:rPr>
                <w:rFonts w:ascii="Times New Roman" w:cs="Times New Roman" w:eastAsia="Times New Roman" w:hAnsi="Times New Roman"/>
                <w:sz w:val="14"/>
                <w:szCs w:val="14"/>
                <w:b w:val="1"/>
                <w:bCs w:val="1"/>
                <w:color w:val="auto"/>
                <w:w w:val="97"/>
              </w:rPr>
              <w:t>92618</w:t>
            </w:r>
          </w:p>
        </w:tc>
        <w:tc>
          <w:tcPr>
            <w:tcW w:w="0" w:type="dxa"/>
            <w:vAlign w:val="bottom"/>
          </w:tcPr>
          <w:p>
            <w:pPr>
              <w:spacing w:after="0"/>
              <w:rPr>
                <w:sz w:val="1"/>
                <w:szCs w:val="1"/>
                <w:color w:val="auto"/>
              </w:rPr>
            </w:pPr>
          </w:p>
        </w:tc>
      </w:tr>
      <w:tr>
        <w:trPr>
          <w:trHeight w:val="182"/>
        </w:trPr>
        <w:tc>
          <w:tcPr>
            <w:tcW w:w="506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7"/>
              </w:rPr>
              <w:t>Irvine, California</w:t>
            </w:r>
          </w:p>
        </w:tc>
        <w:tc>
          <w:tcPr>
            <w:tcW w:w="242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6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2420" w:type="dxa"/>
            <w:vAlign w:val="bottom"/>
          </w:tcPr>
          <w:p>
            <w:pPr>
              <w:spacing w:after="0"/>
              <w:rPr>
                <w:sz w:val="17"/>
                <w:szCs w:val="17"/>
                <w:color w:val="auto"/>
              </w:rPr>
            </w:pPr>
          </w:p>
        </w:tc>
        <w:tc>
          <w:tcPr>
            <w:tcW w:w="3760" w:type="dxa"/>
            <w:vAlign w:val="bottom"/>
          </w:tcPr>
          <w:p>
            <w:pPr>
              <w:jc w:val="center"/>
              <w:ind w:right="1351"/>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50"/>
        </w:trPr>
        <w:tc>
          <w:tcPr>
            <w:tcW w:w="5060" w:type="dxa"/>
            <w:vAlign w:val="bottom"/>
          </w:tcPr>
          <w:p>
            <w:pPr>
              <w:spacing w:after="0"/>
              <w:rPr>
                <w:sz w:val="24"/>
                <w:szCs w:val="24"/>
                <w:color w:val="auto"/>
              </w:rPr>
            </w:pPr>
          </w:p>
        </w:tc>
        <w:tc>
          <w:tcPr>
            <w:tcW w:w="2420" w:type="dxa"/>
            <w:vAlign w:val="bottom"/>
          </w:tcPr>
          <w:p>
            <w:pPr>
              <w:jc w:val="center"/>
              <w:ind w:right="1251"/>
              <w:spacing w:after="0"/>
              <w:rPr>
                <w:sz w:val="20"/>
                <w:szCs w:val="20"/>
                <w:color w:val="auto"/>
              </w:rPr>
            </w:pPr>
            <w:r>
              <w:rPr>
                <w:rFonts w:ascii="Times New Roman" w:cs="Times New Roman" w:eastAsia="Times New Roman" w:hAnsi="Times New Roman"/>
                <w:sz w:val="14"/>
                <w:szCs w:val="14"/>
                <w:b w:val="1"/>
                <w:bCs w:val="1"/>
                <w:color w:val="auto"/>
                <w:w w:val="98"/>
              </w:rPr>
              <w:t>(844) 933-3627</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480" w:type="dxa"/>
            <w:vAlign w:val="bottom"/>
            <w:gridSpan w:val="2"/>
          </w:tcPr>
          <w:p>
            <w:pPr>
              <w:jc w:val="center"/>
              <w:ind w:left="3671"/>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3760" w:type="dxa"/>
            <w:vAlign w:val="bottom"/>
          </w:tcPr>
          <w:p>
            <w:pPr>
              <w:jc w:val="center"/>
              <w:ind w:right="671"/>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c>
          <w:tcPr>
            <w:tcW w:w="0" w:type="dxa"/>
            <w:vAlign w:val="bottom"/>
          </w:tcPr>
          <w:p>
            <w:pPr>
              <w:spacing w:after="0"/>
              <w:rPr>
                <w:sz w:val="1"/>
                <w:szCs w:val="1"/>
                <w:color w:val="auto"/>
              </w:rPr>
            </w:pP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Class A Common Stock, $0.0001 par value per share</w:t>
            </w:r>
          </w:p>
        </w:tc>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4"/>
              </w:rPr>
              <w:t>MAPS</w:t>
            </w:r>
          </w:p>
        </w:tc>
        <w:tc>
          <w:tcPr>
            <w:tcW w:w="3760" w:type="dxa"/>
            <w:vAlign w:val="bottom"/>
          </w:tcPr>
          <w:p>
            <w:pPr>
              <w:jc w:val="center"/>
              <w:ind w:right="671"/>
              <w:spacing w:after="0"/>
              <w:rPr>
                <w:sz w:val="20"/>
                <w:szCs w:val="20"/>
                <w:color w:val="auto"/>
              </w:rPr>
            </w:pPr>
            <w:r>
              <w:rPr>
                <w:rFonts w:ascii="Times New Roman" w:cs="Times New Roman" w:eastAsia="Times New Roman" w:hAnsi="Times New Roman"/>
                <w:sz w:val="14"/>
                <w:szCs w:val="14"/>
                <w:color w:val="auto"/>
                <w:w w:val="97"/>
              </w:rPr>
              <w:t>The Nasdaq Global Select Market</w:t>
            </w:r>
          </w:p>
        </w:tc>
        <w:tc>
          <w:tcPr>
            <w:tcW w:w="0" w:type="dxa"/>
            <w:vAlign w:val="bottom"/>
          </w:tcPr>
          <w:p>
            <w:pPr>
              <w:spacing w:after="0"/>
              <w:rPr>
                <w:sz w:val="1"/>
                <w:szCs w:val="1"/>
                <w:color w:val="auto"/>
              </w:rPr>
            </w:pPr>
          </w:p>
        </w:tc>
      </w:tr>
      <w:tr>
        <w:trPr>
          <w:trHeight w:val="183"/>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Warrants, each whole warrant exercisable for one share of Class A Common Stock at an</w:t>
            </w:r>
          </w:p>
        </w:tc>
        <w:tc>
          <w:tcPr>
            <w:tcW w:w="24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exercise price of $11.50 per share</w:t>
            </w:r>
          </w:p>
        </w:tc>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rPr>
              <w:t>MAPSW</w:t>
            </w:r>
          </w:p>
        </w:tc>
        <w:tc>
          <w:tcPr>
            <w:tcW w:w="3760" w:type="dxa"/>
            <w:vAlign w:val="bottom"/>
          </w:tcPr>
          <w:p>
            <w:pPr>
              <w:jc w:val="center"/>
              <w:ind w:right="671"/>
              <w:spacing w:after="0"/>
              <w:rPr>
                <w:sz w:val="20"/>
                <w:szCs w:val="20"/>
                <w:color w:val="auto"/>
              </w:rPr>
            </w:pPr>
            <w:r>
              <w:rPr>
                <w:rFonts w:ascii="Times New Roman" w:cs="Times New Roman" w:eastAsia="Times New Roman" w:hAnsi="Times New Roman"/>
                <w:sz w:val="14"/>
                <w:szCs w:val="14"/>
                <w:color w:val="auto"/>
                <w:w w:val="97"/>
              </w:rPr>
              <w:t>The Nasdaq Global Select Market</w:t>
            </w:r>
          </w:p>
        </w:tc>
        <w:tc>
          <w:tcPr>
            <w:tcW w:w="0" w:type="dxa"/>
            <w:vAlign w:val="bottom"/>
          </w:tcPr>
          <w:p>
            <w:pPr>
              <w:spacing w:after="0"/>
              <w:rPr>
                <w:sz w:val="1"/>
                <w:szCs w:val="1"/>
                <w:color w:val="auto"/>
              </w:rPr>
            </w:pPr>
          </w:p>
        </w:tc>
      </w:tr>
    </w:tbl>
    <w:p>
      <w:pPr>
        <w:spacing w:after="0" w:line="32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spacing w:after="0" w:line="161" w:lineRule="exact"/>
        <w:tabs>
          <w:tab w:leader="none" w:pos="3080" w:val="left"/>
          <w:tab w:leader="none" w:pos="3720" w:val="left"/>
          <w:tab w:leader="none" w:pos="68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1"/>
          <w:szCs w:val="11"/>
          <w:color w:val="auto"/>
        </w:rPr>
        <w:t>☒</w:t>
      </w:r>
    </w:p>
    <w:p>
      <w:pPr>
        <w:spacing w:after="0" w:line="69" w:lineRule="exact"/>
        <w:rPr>
          <w:sz w:val="24"/>
          <w:szCs w:val="24"/>
          <w:color w:val="auto"/>
        </w:rPr>
      </w:pPr>
    </w:p>
    <w:p>
      <w:pPr>
        <w:spacing w:after="0" w:line="161" w:lineRule="exact"/>
        <w:tabs>
          <w:tab w:leader="none" w:pos="3080" w:val="left"/>
          <w:tab w:leader="none" w:pos="3720" w:val="left"/>
          <w:tab w:leader="none" w:pos="6820" w:val="left"/>
          <w:tab w:leader="none" w:pos="7480" w:val="left"/>
          <w:tab w:leader="none" w:pos="10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1"/>
          <w:szCs w:val="11"/>
          <w:color w:val="auto"/>
        </w:rPr>
        <w:t>☐</w:t>
      </w:r>
    </w:p>
    <w:p>
      <w:pPr>
        <w:spacing w:after="0" w:line="92"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197"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r>
        <w:rPr>
          <w:rFonts w:ascii="MS PGothic" w:cs="MS PGothic" w:eastAsia="MS PGothic" w:hAnsi="MS PGothic"/>
          <w:sz w:val="17"/>
          <w:szCs w:val="17"/>
          <w:color w:val="auto"/>
        </w:rPr>
        <w:t>☒</w:t>
      </w:r>
    </w:p>
    <w:p>
      <w:pPr>
        <w:spacing w:after="0" w:line="58"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tabs>
          <w:tab w:leader="none" w:pos="5800" w:val="left"/>
          <w:tab w:leader="none" w:pos="64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the last business day of the registrant’s most recently completed second fiscal quarter, was approximately $84.9 million based upon the closing price reported for such date on the Nasdaq Global Select Market.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5, 2026, there were 111,187,614 shares of the registrant’s Class A common stock outstanding and 47,852,652 shares of Class V common stock outstanding.</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ectPr>
          <w:pgSz w:w="12240" w:h="15840" w:orient="portrait"/>
          <w:cols w:equalWidth="0" w:num="1">
            <w:col w:w="11240"/>
          </w:cols>
          <w:pgMar w:left="500" w:top="880" w:right="500" w:bottom="839" w:gutter="0" w:footer="0" w:header="0"/>
        </w:sectPr>
      </w:pP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the 2026 Annual Meeting of Stockholders are incorporated herein by reference in Part III of this Annual Report on Form 10-K to the extent stated herein.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7113270</wp:posOffset>
            </wp:positionH>
            <wp:positionV relativeFrom="paragraph">
              <wp:posOffset>554355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554355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880" w:right="500" w:bottom="839" w:gutter="0" w:footer="0" w:header="0"/>
          <w:type w:val="continuous"/>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10100" w:type="dxa"/>
            <w:vAlign w:val="bottom"/>
          </w:tcPr>
          <w:p>
            <w:pPr>
              <w:ind w:left="4560"/>
              <w:spacing w:after="0"/>
              <w:rPr>
                <w:sz w:val="20"/>
                <w:szCs w:val="20"/>
                <w:color w:val="auto"/>
              </w:rPr>
            </w:pPr>
            <w:r>
              <w:rPr>
                <w:rFonts w:ascii="Times New Roman" w:cs="Times New Roman" w:eastAsia="Times New Roman" w:hAnsi="Times New Roman"/>
                <w:sz w:val="17"/>
                <w:szCs w:val="17"/>
                <w:b w:val="1"/>
                <w:bCs w:val="1"/>
                <w:color w:val="auto"/>
              </w:rPr>
              <w:t>WM TECHNOLOGY, INC.</w:t>
            </w:r>
          </w:p>
        </w:tc>
        <w:tc>
          <w:tcPr>
            <w:tcW w:w="880" w:type="dxa"/>
            <w:vAlign w:val="bottom"/>
          </w:tcPr>
          <w:p>
            <w:pPr>
              <w:spacing w:after="0"/>
              <w:rPr>
                <w:sz w:val="19"/>
                <w:szCs w:val="19"/>
                <w:color w:val="auto"/>
              </w:rPr>
            </w:pPr>
          </w:p>
        </w:tc>
      </w:tr>
      <w:tr>
        <w:trPr>
          <w:trHeight w:val="413"/>
        </w:trPr>
        <w:tc>
          <w:tcPr>
            <w:tcW w:w="10100" w:type="dxa"/>
            <w:vAlign w:val="bottom"/>
          </w:tcPr>
          <w:p>
            <w:pPr>
              <w:ind w:left="46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80" w:type="dxa"/>
            <w:vAlign w:val="bottom"/>
          </w:tcPr>
          <w:p>
            <w:pPr>
              <w:spacing w:after="0"/>
              <w:rPr>
                <w:sz w:val="24"/>
                <w:szCs w:val="24"/>
                <w:color w:val="auto"/>
              </w:rPr>
            </w:pPr>
          </w:p>
        </w:tc>
      </w:tr>
      <w:tr>
        <w:trPr>
          <w:trHeight w:val="413"/>
        </w:trPr>
        <w:tc>
          <w:tcPr>
            <w:tcW w:w="10100" w:type="dxa"/>
            <w:vAlign w:val="bottom"/>
          </w:tcPr>
          <w:p>
            <w:pPr>
              <w:spacing w:after="0"/>
              <w:rPr>
                <w:sz w:val="24"/>
                <w:szCs w:val="24"/>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5"/>
        </w:trPr>
        <w:tc>
          <w:tcPr>
            <w:tcW w:w="10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57"/>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Forward-Looking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5"/>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Risk Factor Summary</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60"/>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Part I</w:t>
            </w:r>
          </w:p>
        </w:tc>
        <w:tc>
          <w:tcPr>
            <w:tcW w:w="880" w:type="dxa"/>
            <w:vAlign w:val="bottom"/>
          </w:tcPr>
          <w:p>
            <w:pPr>
              <w:spacing w:after="0"/>
              <w:rPr>
                <w:sz w:val="24"/>
                <w:szCs w:val="24"/>
                <w:color w:val="auto"/>
              </w:rPr>
            </w:pP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 Business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1A. 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1B. Unresolved Staff Comments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1C. Cybersecurity</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2. Properties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3. 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Part II</w:t>
            </w:r>
          </w:p>
        </w:tc>
        <w:tc>
          <w:tcPr>
            <w:tcW w:w="880" w:type="dxa"/>
            <w:vAlign w:val="bottom"/>
          </w:tcPr>
          <w:p>
            <w:pPr>
              <w:spacing w:after="0"/>
              <w:rPr>
                <w:sz w:val="19"/>
                <w:szCs w:val="19"/>
                <w:color w:val="auto"/>
              </w:rPr>
            </w:pP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5. Market for Registrant’s Common Equity, Related Stockholder Matters and Issuer Purchases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6. Reserved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7. 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7A. 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8. Financial Statements and Supplementary Data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9. Changes in and Disagreements With Accountants on Accounting and Financial Disclosure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9A. 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9B. 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9C. Disclosure Regarding Foreign Jurisdictions that Prevent Inspections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Part III</w:t>
            </w:r>
          </w:p>
        </w:tc>
        <w:tc>
          <w:tcPr>
            <w:tcW w:w="880" w:type="dxa"/>
            <w:vAlign w:val="bottom"/>
          </w:tcPr>
          <w:p>
            <w:pPr>
              <w:spacing w:after="0"/>
              <w:rPr>
                <w:sz w:val="19"/>
                <w:szCs w:val="19"/>
                <w:color w:val="auto"/>
              </w:rPr>
            </w:pP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10. Directors, Executive Officers and Corporate Governance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11. Executive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12. Security Ownership of Certain Beneficial Owners and Management and Related Stockholder Matters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13. Certain Relationships and Related Transactions and Director Independence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14. Principal Accounting Fees and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Part IV</w:t>
            </w:r>
          </w:p>
        </w:tc>
        <w:tc>
          <w:tcPr>
            <w:tcW w:w="880" w:type="dxa"/>
            <w:vAlign w:val="bottom"/>
          </w:tcPr>
          <w:p>
            <w:pPr>
              <w:spacing w:after="0"/>
              <w:rPr>
                <w:sz w:val="19"/>
                <w:szCs w:val="19"/>
                <w:color w:val="auto"/>
              </w:rPr>
            </w:pP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15. Exhibits and Financial Statement Schedules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9"/>
        </w:trPr>
        <w:tc>
          <w:tcPr>
            <w:tcW w:w="10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Item 16. Form 10–K Summary</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3"/>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7100570</wp:posOffset>
            </wp:positionH>
            <wp:positionV relativeFrom="paragraph">
              <wp:posOffset>2393950</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2393950</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0980"/>
          </w:cols>
          <w:pgMar w:left="520" w:top="702" w:right="7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76" w:lineRule="exact"/>
        <w:rPr>
          <w:sz w:val="20"/>
          <w:szCs w:val="20"/>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and business performance, including key business metrics and any underlying assumptions thereunder;</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clients and retain existing clients;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timing related to commercial product launches;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go-to-market strategy;</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scale our business and expand our offerings;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advantages and growth strategies;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requirements and sources and uses of cash;</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future operations;</w:t>
      </w:r>
    </w:p>
    <w:p>
      <w:pPr>
        <w:spacing w:after="0" w:line="49"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material weaknesses in our internal controls and our ability to remediate any such material weakness on the timing we anticipate, or at all;</w:t>
      </w:r>
    </w:p>
    <w:p>
      <w:pPr>
        <w:spacing w:after="0" w:line="49"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listing on the Nasdaq Stock Market LLC (“Nasdaq”);</w:t>
      </w:r>
    </w:p>
    <w:p>
      <w:pPr>
        <w:spacing w:after="0" w:line="69"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outcome of any known and unknown litigation and regulatory proceedings;</w:t>
      </w:r>
    </w:p>
    <w:p>
      <w:pPr>
        <w:spacing w:after="0" w:line="34" w:lineRule="exact"/>
        <w:rPr>
          <w:rFonts w:ascii="Arial" w:cs="Arial" w:eastAsia="Arial" w:hAnsi="Arial"/>
          <w:sz w:val="21"/>
          <w:szCs w:val="21"/>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foreign business, market, financial, political and legal conditions;</w:t>
      </w:r>
    </w:p>
    <w:p>
      <w:pPr>
        <w:spacing w:after="0" w:line="101" w:lineRule="exact"/>
        <w:rPr>
          <w:rFonts w:ascii="Times New Roman" w:cs="Times New Roman" w:eastAsia="Times New Roman" w:hAnsi="Times New Roman"/>
          <w:sz w:val="17"/>
          <w:szCs w:val="17"/>
          <w:color w:val="auto"/>
        </w:rPr>
      </w:pPr>
    </w:p>
    <w:p>
      <w:pPr>
        <w:jc w:val="both"/>
        <w:ind w:left="620" w:hanging="318"/>
        <w:spacing w:after="0" w:line="245"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 of macroeconomic conditions, including, but not limited to inflation, tariffs, public health crises, government shutdowns,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w:t>
      </w:r>
    </w:p>
    <w:p>
      <w:pPr>
        <w:spacing w:after="0" w:line="31" w:lineRule="exact"/>
        <w:rPr>
          <w:rFonts w:ascii="Arial" w:cs="Arial" w:eastAsia="Arial" w:hAnsi="Arial"/>
          <w:sz w:val="21"/>
          <w:szCs w:val="21"/>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global, regional or local economic and market conditions affecting the cannabis industry;</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and hemp industries;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capitalize on new and existing cannabis markets, including our ability to successfully monetize our solutions in those markets;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future growth;</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anticipate and address changes in the end-user market in the cannabis industry;</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on our future business;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changes required in, officers, key employees or directors;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and security vulnerabilities; and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598805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598805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715"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1240"/>
          </w:cols>
          <w:pgMar w:left="500" w:top="715" w:right="500" w:bottom="135" w:gutter="0" w:footer="0" w:header="0"/>
          <w:type w:val="continuous"/>
        </w:sectPr>
      </w:pPr>
    </w:p>
    <w:bookmarkStart w:id="5" w:name="page6"/>
    <w:bookmarkEnd w:id="5"/>
    <w:p>
      <w:pPr>
        <w:jc w:val="both"/>
        <w:spacing w:after="0" w:line="287" w:lineRule="auto"/>
        <w:rPr>
          <w:sz w:val="20"/>
          <w:szCs w:val="20"/>
          <w:color w:val="auto"/>
        </w:rPr>
      </w:pPr>
      <w:r>
        <w:rPr>
          <w:rFonts w:ascii="Times New Roman" w:cs="Times New Roman" w:eastAsia="Times New Roman" w:hAnsi="Times New Roman"/>
          <w:sz w:val="17"/>
          <w:szCs w:val="17"/>
          <w:color w:val="auto"/>
        </w:rPr>
        <w:t>the forward-looking statements may not be achieved or occur, and actual results, events, or circumstances could differ materially from those described in the forward-looking statements.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WHERE YOU CAN FIND ADDITIONAL INFORMATION</w:t>
      </w:r>
    </w:p>
    <w:p>
      <w:pPr>
        <w:spacing w:after="0" w:line="114"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We intend to announce material information to the public through filings with the Securities and Exchange Commission (“SEC”), the investor relations page on our website, which is located at ir.weedmaps.com,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spacing w:after="0" w:line="6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information we post through these channels is not a part of this Annual Report on Form 10-K. Any updates to the list of disclosure channels through which we will announce information will be posted on the investor relations page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732155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732155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1240"/>
          </w:cols>
          <w:pgMar w:left="500" w:top="500" w:right="500" w:bottom="135"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as well as elsewhere in this Annual Report on Form 10-K and our other filings with the SEC. The below summary is qualified in its entirety by that more complete discussion of such risks and uncertainties. You should consider carefully the risks and uncertainties described under the section titled “Risk Factors” as part of your evaluation of an investment in our securities:</w:t>
      </w:r>
    </w:p>
    <w:p>
      <w:pPr>
        <w:spacing w:after="0" w:line="59" w:lineRule="exact"/>
        <w:rPr>
          <w:sz w:val="20"/>
          <w:szCs w:val="20"/>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our costs increase, we may not be able to generate sufficient revenue to achieve profitability in the future.</w:t>
      </w:r>
    </w:p>
    <w:p>
      <w:pPr>
        <w:spacing w:after="0" w:line="27" w:lineRule="exact"/>
        <w:rPr>
          <w:rFonts w:ascii="Times New Roman" w:cs="Times New Roman" w:eastAsia="Times New Roman" w:hAnsi="Times New Roman"/>
          <w:sz w:val="17"/>
          <w:szCs w:val="17"/>
          <w:color w:val="auto"/>
        </w:rPr>
      </w:pPr>
    </w:p>
    <w:p>
      <w:pPr>
        <w:ind w:left="620" w:right="20" w:hanging="318"/>
        <w:spacing w:after="0" w:line="26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retain our existing clients and consumers or to acquire new clients and consumers in a cost-effective manner, our revenue may decrease and our business may be harmed.</w:t>
      </w:r>
    </w:p>
    <w:p>
      <w:pPr>
        <w:spacing w:after="0" w:line="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offer the optimal pricing of our products and solutions.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expand effectively into new markets, our revenue and business will be adversely affected.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the illicit cannabis market could impact our ability to succeed.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concentrated in California, and, as a result, our performance may be affected by factors unique to the California market.</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legal proceedings could expose us to significant liabilities and have a negative impact on our reputation or business.</w:t>
      </w:r>
    </w:p>
    <w:p>
      <w:pPr>
        <w:spacing w:after="0" w:line="62" w:lineRule="exact"/>
        <w:rPr>
          <w:rFonts w:ascii="Times New Roman" w:cs="Times New Roman" w:eastAsia="Times New Roman" w:hAnsi="Times New Roman"/>
          <w:sz w:val="17"/>
          <w:szCs w:val="17"/>
          <w:color w:val="auto"/>
        </w:rPr>
      </w:pPr>
    </w:p>
    <w:p>
      <w:pPr>
        <w:jc w:val="both"/>
        <w:ind w:left="620" w:right="20" w:hanging="318"/>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10" w:lineRule="exact"/>
        <w:rPr>
          <w:rFonts w:ascii="Times New Roman" w:cs="Times New Roman" w:eastAsia="Times New Roman" w:hAnsi="Times New Roman"/>
          <w:sz w:val="17"/>
          <w:szCs w:val="17"/>
          <w:color w:val="auto"/>
        </w:rPr>
      </w:pPr>
    </w:p>
    <w:p>
      <w:pPr>
        <w:jc w:val="both"/>
        <w:ind w:left="620" w:hanging="318"/>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 w:lineRule="exact"/>
        <w:rPr>
          <w:rFonts w:ascii="Times New Roman" w:cs="Times New Roman" w:eastAsia="Times New Roman" w:hAnsi="Times New Roman"/>
          <w:sz w:val="17"/>
          <w:szCs w:val="17"/>
          <w:color w:val="auto"/>
        </w:rPr>
      </w:pPr>
    </w:p>
    <w:p>
      <w:pPr>
        <w:jc w:val="both"/>
        <w:ind w:left="620" w:hanging="318"/>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9"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U.S. state laws and regulations.</w:t>
      </w:r>
    </w:p>
    <w:p>
      <w:pPr>
        <w:spacing w:after="0" w:line="62"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1"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our business is dependent, in part, upon continued market acceptance of cannabis by consumers, any negative trends could adversely affect our business operations.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our business is dependent on the continued legalization of cannabis.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1"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clients and consumers using our platform fail to provide high-quality content that attracts consumers, we may not be able to generate sufficient consumer traffic to remain competitive.</w:t>
      </w:r>
    </w:p>
    <w:p>
      <w:pPr>
        <w:spacing w:after="0" w:line="1"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upon our brand recognition and reputation, and the erosion or degradation of our brand recognition or reputation would likely adversely affect our business and operating results.</w:t>
      </w:r>
    </w:p>
    <w:p>
      <w:pPr>
        <w:spacing w:after="0" w:line="1"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face intense competition in the cannabis information market, and we expect competition to further intensify as the cannabis industry continues to evolve.</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employee operations and organization effectively, our brand, business and operating results could be harmed.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recruit, train, retain and motivate key personnel, we may not achieve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593725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593725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1240"/>
          </w:cols>
          <w:pgMar w:left="500" w:top="715" w:right="500" w:bottom="135" w:gutter="0" w:footer="0" w:header="0"/>
        </w:sectPr>
      </w:pPr>
    </w:p>
    <w:bookmarkStart w:id="7" w:name="page8"/>
    <w:bookmarkEnd w:id="7"/>
    <w:p>
      <w:pPr>
        <w:jc w:val="both"/>
        <w:ind w:left="318" w:hanging="318"/>
        <w:spacing w:after="0" w:line="26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or are otherwise limited in our ability to conduct digital advertising by applicable laws, our ability to attract new clients may be impaired.</w:t>
      </w:r>
    </w:p>
    <w:p>
      <w:pPr>
        <w:spacing w:after="0" w:line="16" w:lineRule="exact"/>
        <w:rPr>
          <w:rFonts w:ascii="Times New Roman" w:cs="Times New Roman" w:eastAsia="Times New Roman" w:hAnsi="Times New Roman"/>
          <w:sz w:val="17"/>
          <w:szCs w:val="17"/>
          <w:color w:val="auto"/>
        </w:rPr>
      </w:pPr>
    </w:p>
    <w:p>
      <w:pPr>
        <w:ind w:left="318" w:hanging="318"/>
        <w:spacing w:after="0" w:line="28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current marketing model is not effective in attracting new clients, we may need to employ higher-cost sales and marketing methods to attract and retain clients, which could adversely affect our profitability.</w:t>
      </w:r>
    </w:p>
    <w:p>
      <w:pPr>
        <w:spacing w:after="0" w:line="1" w:lineRule="exact"/>
        <w:rPr>
          <w:rFonts w:ascii="Times New Roman" w:cs="Times New Roman" w:eastAsia="Times New Roman" w:hAnsi="Times New Roman"/>
          <w:sz w:val="17"/>
          <w:szCs w:val="17"/>
          <w:color w:val="auto"/>
        </w:rPr>
      </w:pPr>
    </w:p>
    <w:p>
      <w:pPr>
        <w:ind w:left="318" w:hanging="318"/>
        <w:spacing w:after="0" w:line="28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Apple App Store or Google Play limit the functionality or availability of our mobile application platform, including as a result of changes or violations of terms and conditions, access to and utilization of our platform may suffer.</w:t>
      </w:r>
    </w:p>
    <w:p>
      <w:pPr>
        <w:spacing w:after="0" w:line="1" w:lineRule="exact"/>
        <w:rPr>
          <w:rFonts w:ascii="Times New Roman" w:cs="Times New Roman" w:eastAsia="Times New Roman" w:hAnsi="Times New Roman"/>
          <w:sz w:val="17"/>
          <w:szCs w:val="17"/>
          <w:color w:val="auto"/>
        </w:rPr>
      </w:pPr>
    </w:p>
    <w:p>
      <w:pPr>
        <w:ind w:left="318" w:hanging="318"/>
        <w:spacing w:after="0" w:line="28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 w:lineRule="exact"/>
        <w:rPr>
          <w:rFonts w:ascii="Times New Roman" w:cs="Times New Roman" w:eastAsia="Times New Roman" w:hAnsi="Times New Roman"/>
          <w:sz w:val="17"/>
          <w:szCs w:val="17"/>
          <w:color w:val="auto"/>
        </w:rPr>
      </w:pPr>
    </w:p>
    <w:p>
      <w:pPr>
        <w:ind w:left="298" w:hanging="298"/>
        <w:spacing w:after="0"/>
        <w:tabs>
          <w:tab w:leader="none" w:pos="29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payment system and the payment systems of our clients depend on third-party providers and are subject to evolving laws and regulations.</w:t>
      </w:r>
    </w:p>
    <w:p>
      <w:pPr>
        <w:spacing w:after="0" w:line="62" w:lineRule="exact"/>
        <w:rPr>
          <w:rFonts w:ascii="Times New Roman" w:cs="Times New Roman" w:eastAsia="Times New Roman" w:hAnsi="Times New Roman"/>
          <w:sz w:val="17"/>
          <w:szCs w:val="17"/>
          <w:color w:val="auto"/>
        </w:rPr>
      </w:pPr>
    </w:p>
    <w:p>
      <w:pPr>
        <w:ind w:left="318" w:right="20" w:hanging="318"/>
        <w:spacing w:after="0" w:line="28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our banking relations, and we may have difficulty accessing or consistently maintaining banking or other financial services due to our connection with the cannabis industry</w:t>
      </w:r>
    </w:p>
    <w:p>
      <w:pPr>
        <w:spacing w:after="0" w:line="1" w:lineRule="exact"/>
        <w:rPr>
          <w:rFonts w:ascii="Times New Roman" w:cs="Times New Roman" w:eastAsia="Times New Roman" w:hAnsi="Times New Roman"/>
          <w:sz w:val="17"/>
          <w:szCs w:val="17"/>
          <w:color w:val="auto"/>
        </w:rPr>
      </w:pPr>
    </w:p>
    <w:p>
      <w:pPr>
        <w:ind w:left="318" w:right="20" w:hanging="318"/>
        <w:spacing w:after="0" w:line="28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 w:lineRule="exact"/>
        <w:rPr>
          <w:rFonts w:ascii="Times New Roman" w:cs="Times New Roman" w:eastAsia="Times New Roman" w:hAnsi="Times New Roman"/>
          <w:sz w:val="17"/>
          <w:szCs w:val="17"/>
          <w:color w:val="auto"/>
        </w:rPr>
      </w:pPr>
    </w:p>
    <w:p>
      <w:pPr>
        <w:ind w:left="318" w:hanging="318"/>
        <w:spacing w:after="0" w:line="28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drive engagement on our platform, as well as changes to our user engagement and advertising strategy and practices, pose risks to our business.</w:t>
      </w:r>
    </w:p>
    <w:p>
      <w:pPr>
        <w:spacing w:after="0" w:line="1" w:lineRule="exact"/>
        <w:rPr>
          <w:rFonts w:ascii="Times New Roman" w:cs="Times New Roman" w:eastAsia="Times New Roman" w:hAnsi="Times New Roman"/>
          <w:sz w:val="17"/>
          <w:szCs w:val="17"/>
          <w:color w:val="auto"/>
        </w:rPr>
      </w:pPr>
    </w:p>
    <w:p>
      <w:pPr>
        <w:jc w:val="both"/>
        <w:ind w:left="318" w:hanging="318"/>
        <w:spacing w:after="0" w:line="270"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0" w:lineRule="exact"/>
        <w:rPr>
          <w:rFonts w:ascii="Times New Roman" w:cs="Times New Roman" w:eastAsia="Times New Roman" w:hAnsi="Times New Roman"/>
          <w:sz w:val="17"/>
          <w:szCs w:val="17"/>
          <w:color w:val="auto"/>
        </w:rPr>
      </w:pPr>
    </w:p>
    <w:p>
      <w:pPr>
        <w:ind w:left="298" w:hanging="298"/>
        <w:spacing w:after="0"/>
        <w:tabs>
          <w:tab w:leader="none" w:pos="29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 of the internet continues to develop, and unfavorable changes could substantially harm our business and operating results.</w:t>
      </w:r>
    </w:p>
    <w:p>
      <w:pPr>
        <w:spacing w:after="0" w:line="62" w:lineRule="exact"/>
        <w:rPr>
          <w:rFonts w:ascii="Times New Roman" w:cs="Times New Roman" w:eastAsia="Times New Roman" w:hAnsi="Times New Roman"/>
          <w:sz w:val="17"/>
          <w:szCs w:val="17"/>
          <w:color w:val="auto"/>
        </w:rPr>
      </w:pPr>
    </w:p>
    <w:p>
      <w:pPr>
        <w:jc w:val="both"/>
        <w:ind w:left="318" w:hanging="318"/>
        <w:spacing w:after="0" w:line="267"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ongoing material weaknesses in our internal control over financial reporting as of December 31, 2025.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24" w:lineRule="exact"/>
        <w:rPr>
          <w:rFonts w:ascii="Times New Roman" w:cs="Times New Roman" w:eastAsia="Times New Roman" w:hAnsi="Times New Roman"/>
          <w:sz w:val="17"/>
          <w:szCs w:val="17"/>
          <w:color w:val="auto"/>
        </w:rPr>
      </w:pPr>
    </w:p>
    <w:p>
      <w:pPr>
        <w:jc w:val="both"/>
        <w:ind w:left="318" w:hanging="318"/>
        <w:spacing w:after="0" w:line="270"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previously restated our financial statements for several quarters, which resulted in unanticipated costs and may adversely affect investor confidence, our stock price, our ability to raise capital, raise reputational issues and may subject us to additional risks and uncertainties, including the increased possibility of legal proceedings and regulatory inquiries</w:t>
      </w:r>
    </w:p>
    <w:p>
      <w:pPr>
        <w:spacing w:after="0" w:line="10" w:lineRule="exact"/>
        <w:rPr>
          <w:rFonts w:ascii="Times New Roman" w:cs="Times New Roman" w:eastAsia="Times New Roman" w:hAnsi="Times New Roman"/>
          <w:sz w:val="17"/>
          <w:szCs w:val="17"/>
          <w:color w:val="auto"/>
        </w:rPr>
      </w:pPr>
    </w:p>
    <w:p>
      <w:pPr>
        <w:ind w:left="318" w:hanging="318"/>
        <w:spacing w:after="0" w:line="284"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statements from investors, including expressions of interest or proposals to purchase our company, may increase the volatility of, or otherwise have an adverse impact on, the market price of our Class A common stock.</w:t>
      </w:r>
    </w:p>
    <w:p>
      <w:pPr>
        <w:spacing w:after="0" w:line="1" w:lineRule="exact"/>
        <w:rPr>
          <w:rFonts w:ascii="Times New Roman" w:cs="Times New Roman" w:eastAsia="Times New Roman" w:hAnsi="Times New Roman"/>
          <w:sz w:val="17"/>
          <w:szCs w:val="17"/>
          <w:color w:val="auto"/>
        </w:rPr>
      </w:pPr>
    </w:p>
    <w:p>
      <w:pPr>
        <w:ind w:left="318" w:hanging="318"/>
        <w:spacing w:after="0" w:line="287"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our Class A Common Stock and certain of our Public Warrants have been, and may continue to be, volatile, and the value of our Class A Common Stock and such Warrants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6920865</wp:posOffset>
            </wp:positionH>
            <wp:positionV relativeFrom="paragraph">
              <wp:posOffset>552450</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552450</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0938"/>
          </w:cols>
          <w:pgMar w:left="802"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938"/>
          </w:cols>
          <w:pgMar w:left="802" w:top="500" w:right="500" w:bottom="135" w:gutter="0" w:footer="0" w:header="0"/>
          <w:type w:val="continuous"/>
        </w:sectPr>
      </w:pPr>
    </w:p>
    <w:bookmarkStart w:id="8" w:name="page9"/>
    <w:bookmarkEnd w:id="8"/>
    <w:p>
      <w:pPr>
        <w:ind w:left="7"/>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4" w:lineRule="exact"/>
        <w:rPr>
          <w:sz w:val="20"/>
          <w:szCs w:val="20"/>
          <w:color w:val="auto"/>
        </w:rPr>
      </w:pPr>
    </w:p>
    <w:p>
      <w:pPr>
        <w:ind w:left="7"/>
        <w:spacing w:after="0"/>
        <w:tabs>
          <w:tab w:leader="none" w:pos="787"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8" w:lineRule="exact"/>
        <w:rPr>
          <w:sz w:val="20"/>
          <w:szCs w:val="20"/>
          <w:color w:val="auto"/>
        </w:rPr>
      </w:pPr>
    </w:p>
    <w:p>
      <w:pPr>
        <w:jc w:val="both"/>
        <w:ind w:left="7"/>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ind w:left="7"/>
        <w:spacing w:after="0" w:line="257"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76"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7"/>
          <w:szCs w:val="17"/>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83" w:lineRule="exact"/>
        <w:rPr>
          <w:sz w:val="20"/>
          <w:szCs w:val="20"/>
          <w:color w:val="auto"/>
        </w:rPr>
      </w:pPr>
    </w:p>
    <w:p>
      <w:pPr>
        <w:ind w:left="607" w:hanging="298"/>
        <w:spacing w:after="0"/>
        <w:tabs>
          <w:tab w:leader="none" w:pos="6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Strategically reach prospective cannabis consumers.</w:t>
      </w:r>
    </w:p>
    <w:p>
      <w:pPr>
        <w:spacing w:after="0" w:line="106" w:lineRule="exact"/>
        <w:rPr>
          <w:rFonts w:ascii="Arial" w:cs="Arial" w:eastAsia="Arial" w:hAnsi="Arial"/>
          <w:sz w:val="21"/>
          <w:szCs w:val="21"/>
          <w:color w:val="auto"/>
        </w:rPr>
      </w:pPr>
    </w:p>
    <w:p>
      <w:pPr>
        <w:ind w:left="607" w:hanging="298"/>
        <w:spacing w:after="0"/>
        <w:tabs>
          <w:tab w:leader="none" w:pos="6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Manage pickup, delivery and inventory in compliance with local regulations.</w:t>
      </w:r>
    </w:p>
    <w:p>
      <w:pPr>
        <w:spacing w:after="0" w:line="124" w:lineRule="exact"/>
        <w:rPr>
          <w:rFonts w:ascii="Arial" w:cs="Arial" w:eastAsia="Arial" w:hAnsi="Arial"/>
          <w:sz w:val="21"/>
          <w:szCs w:val="21"/>
          <w:color w:val="auto"/>
        </w:rPr>
      </w:pPr>
    </w:p>
    <w:p>
      <w:pPr>
        <w:ind w:left="627" w:hanging="318"/>
        <w:spacing w:after="0"/>
        <w:tabs>
          <w:tab w:leader="none" w:pos="622"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Help improve the customer experience by creating online browsing and ordering functionality on a brand or retailer (including delivery) operator’s website.</w:t>
      </w:r>
    </w:p>
    <w:p>
      <w:pPr>
        <w:spacing w:after="0" w:line="307" w:lineRule="exact"/>
        <w:rPr>
          <w:rFonts w:ascii="Arial" w:cs="Arial" w:eastAsia="Arial" w:hAnsi="Arial"/>
          <w:sz w:val="21"/>
          <w:szCs w:val="21"/>
          <w:color w:val="auto"/>
        </w:rPr>
      </w:pPr>
    </w:p>
    <w:p>
      <w:pPr>
        <w:ind w:left="607" w:hanging="298"/>
        <w:spacing w:after="0"/>
        <w:tabs>
          <w:tab w:leader="none" w:pos="607"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Foster customer loyalty and re-engage with segments of consumers.</w:t>
      </w:r>
    </w:p>
    <w:p>
      <w:pPr>
        <w:spacing w:after="0" w:line="124" w:lineRule="exact"/>
        <w:rPr>
          <w:rFonts w:ascii="Arial" w:cs="Arial" w:eastAsia="Arial" w:hAnsi="Arial"/>
          <w:sz w:val="21"/>
          <w:szCs w:val="21"/>
          <w:color w:val="auto"/>
        </w:rPr>
      </w:pPr>
    </w:p>
    <w:p>
      <w:pPr>
        <w:ind w:left="627" w:right="20" w:hanging="318"/>
        <w:spacing w:after="0" w:line="235" w:lineRule="auto"/>
        <w:tabs>
          <w:tab w:leader="none" w:pos="622"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Leverage the Weedmaps for Business products in conjunction with any other preferred software solutions via integrations and application programming interfaces (“APIs”).</w:t>
      </w:r>
    </w:p>
    <w:p>
      <w:pPr>
        <w:spacing w:after="0" w:line="126" w:lineRule="exact"/>
        <w:rPr>
          <w:rFonts w:ascii="Arial" w:cs="Arial" w:eastAsia="Arial" w:hAnsi="Arial"/>
          <w:sz w:val="21"/>
          <w:szCs w:val="21"/>
          <w:color w:val="auto"/>
        </w:rPr>
      </w:pPr>
    </w:p>
    <w:p>
      <w:pPr>
        <w:ind w:left="627" w:right="20" w:hanging="318"/>
        <w:spacing w:after="0" w:line="235" w:lineRule="auto"/>
        <w:tabs>
          <w:tab w:leader="none" w:pos="622"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Make informed marketing and merchandising decisions using performance analytics and consumer and brand insights to promote products to specific consumer groups.</w:t>
      </w:r>
    </w:p>
    <w:p>
      <w:pPr>
        <w:spacing w:after="0" w:line="88" w:lineRule="exact"/>
        <w:rPr>
          <w:sz w:val="20"/>
          <w:szCs w:val="20"/>
          <w:color w:val="auto"/>
        </w:rPr>
      </w:pPr>
    </w:p>
    <w:p>
      <w:pPr>
        <w:jc w:val="both"/>
        <w:ind w:left="7"/>
        <w:spacing w:after="0" w:line="260" w:lineRule="auto"/>
        <w:rPr>
          <w:sz w:val="20"/>
          <w:szCs w:val="20"/>
          <w:color w:val="auto"/>
        </w:rPr>
      </w:pPr>
      <w:r>
        <w:rPr>
          <w:rFonts w:ascii="Times New Roman" w:cs="Times New Roman" w:eastAsia="Times New Roman" w:hAnsi="Times New Roman"/>
          <w:sz w:val="17"/>
          <w:szCs w:val="17"/>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w:t>
      </w:r>
    </w:p>
    <w:p>
      <w:pPr>
        <w:jc w:val="both"/>
        <w:ind w:left="7" w:right="20" w:hanging="7"/>
        <w:spacing w:after="0" w:line="253" w:lineRule="auto"/>
        <w:tabs>
          <w:tab w:leader="none" w:pos="27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reserve products for pickup by consumers or delivery to consumers (either through weedmaps.com, on a white labeled WM Store website or third-party websites through our orders and menu embed product), (iii) customizable menus for brands, retailers and delivery operators to embed on their website,</w:t>
      </w:r>
    </w:p>
    <w:p>
      <w:pPr>
        <w:ind w:left="7" w:right="20" w:hanging="7"/>
        <w:spacing w:after="0" w:line="266" w:lineRule="auto"/>
        <w:tabs>
          <w:tab w:leader="none" w:pos="31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66"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7"/>
          <w:szCs w:val="17"/>
          <w:color w:val="auto"/>
        </w:rPr>
        <w:t>The state-legal cannabis industry in the United States has grown consistently in recent years and was estimated to be approximately $34 billion in 2025, according to Wall Street analyst estimates, and is expected by some estimates to grow to approximately $43 billion by 2027, assuming a continued pace of new state legalization, with majority of U.S. adults in support of having legal access to cannabis.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Despite expectations of growth, the regulated cannabis market in the United States is still nascent and fragmented, with significant challenges facing both consumers seeking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733425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733425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7"/>
          </w:cols>
          <w:pgMar w:left="493"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1247"/>
          </w:cols>
          <w:pgMar w:left="493" w:top="599" w:right="500" w:bottom="135" w:gutter="0" w:footer="0" w:header="0"/>
          <w:type w:val="continuous"/>
        </w:sectPr>
      </w:pPr>
    </w:p>
    <w:bookmarkStart w:id="9" w:name="page10"/>
    <w:bookmarkEnd w:id="9"/>
    <w:p>
      <w:pPr>
        <w:jc w:val="both"/>
        <w:ind w:left="7"/>
        <w:spacing w:after="0" w:line="264" w:lineRule="auto"/>
        <w:rPr>
          <w:sz w:val="20"/>
          <w:szCs w:val="20"/>
          <w:color w:val="auto"/>
        </w:rPr>
      </w:pPr>
      <w:r>
        <w:rPr>
          <w:rFonts w:ascii="Times New Roman" w:cs="Times New Roman" w:eastAsia="Times New Roman" w:hAnsi="Times New Roman"/>
          <w:sz w:val="17"/>
          <w:szCs w:val="17"/>
          <w:color w:val="auto"/>
        </w:rPr>
        <w:t>to understand cannabis and find the right products for them and businesses seeking to operate compliantly and to effectively reach and market to cannabis consumers. On the client side, as of December 31, 2025, there were approximately 13,600 retail licenses across the United States with medical and/or adult-use regulations in place, which is an effective retail density of approximately one retail license per 21,100 residents across these markets in the aggregate, based on data available from individual governmental cannabis license databases and the U.S. Census Bureau estimates for both licenses and population.</w:t>
      </w:r>
    </w:p>
    <w:p>
      <w:pPr>
        <w:spacing w:after="0" w:line="68"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7"/>
          <w:szCs w:val="17"/>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w:t>
      </w:r>
    </w:p>
    <w:p>
      <w:pPr>
        <w:spacing w:after="0" w:line="3" w:lineRule="exact"/>
        <w:rPr>
          <w:sz w:val="20"/>
          <w:szCs w:val="20"/>
          <w:color w:val="auto"/>
        </w:rPr>
      </w:pPr>
    </w:p>
    <w:p>
      <w:pPr>
        <w:jc w:val="both"/>
        <w:ind w:left="7" w:hanging="7"/>
        <w:spacing w:after="0" w:line="257" w:lineRule="auto"/>
        <w:tabs>
          <w:tab w:leader="none" w:pos="27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5599430" cy="2734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9943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7"/>
        <w:spacing w:after="0" w:line="264" w:lineRule="auto"/>
        <w:rPr>
          <w:sz w:val="20"/>
          <w:szCs w:val="20"/>
          <w:color w:val="auto"/>
        </w:rPr>
      </w:pPr>
      <w:r>
        <w:rPr>
          <w:rFonts w:ascii="Times New Roman" w:cs="Times New Roman" w:eastAsia="Times New Roman" w:hAnsi="Times New Roman"/>
          <w:sz w:val="17"/>
          <w:szCs w:val="17"/>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Weedmaps for Business, we offer an end-to-end platform for licensed cannabis retailers to comply with state law. We sell a monthly subscription offering to retailer and brand clients as well as upsell and add-on offerings to licensed clients.</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Our current Weedmaps for Business monthly subscription package includes:</w:t>
      </w:r>
    </w:p>
    <w:p>
      <w:pPr>
        <w:spacing w:after="0" w:line="114" w:lineRule="exact"/>
        <w:rPr>
          <w:sz w:val="20"/>
          <w:szCs w:val="20"/>
          <w:color w:val="auto"/>
        </w:rPr>
      </w:pPr>
    </w:p>
    <w:p>
      <w:pPr>
        <w:jc w:val="both"/>
        <w:ind w:left="627" w:right="20" w:hanging="318"/>
        <w:spacing w:after="0" w:line="270" w:lineRule="auto"/>
        <w:tabs>
          <w:tab w:leader="none" w:pos="62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62" w:lineRule="exact"/>
        <w:rPr>
          <w:rFonts w:ascii="Times New Roman" w:cs="Times New Roman" w:eastAsia="Times New Roman" w:hAnsi="Times New Roman"/>
          <w:sz w:val="17"/>
          <w:szCs w:val="17"/>
          <w:color w:val="auto"/>
        </w:rPr>
      </w:pPr>
    </w:p>
    <w:p>
      <w:pPr>
        <w:jc w:val="both"/>
        <w:ind w:left="627" w:right="20" w:hanging="318"/>
        <w:spacing w:after="0" w:line="270" w:lineRule="auto"/>
        <w:tabs>
          <w:tab w:leader="none" w:pos="62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point-of-sale (“POS”) system (for certain POS systems). The marketplace also enables brands to route customer purchase interest to a retailer that carries the brand’s product. After a dispensary receives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593725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593725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7"/>
          </w:cols>
          <w:pgMar w:left="493"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1247"/>
          </w:cols>
          <w:pgMar w:left="493" w:top="603" w:right="500" w:bottom="135" w:gutter="0" w:footer="0" w:header="0"/>
          <w:type w:val="continuous"/>
        </w:sectPr>
      </w:pPr>
    </w:p>
    <w:bookmarkStart w:id="10" w:name="page11"/>
    <w:bookmarkEnd w:id="10"/>
    <w:p>
      <w:pPr>
        <w:ind w:left="620" w:right="20"/>
        <w:spacing w:after="0" w:line="287" w:lineRule="auto"/>
        <w:rPr>
          <w:sz w:val="20"/>
          <w:szCs w:val="20"/>
          <w:color w:val="auto"/>
        </w:rPr>
      </w:pPr>
      <w:r>
        <w:rPr>
          <w:rFonts w:ascii="Times New Roman" w:cs="Times New Roman" w:eastAsia="Times New Roman" w:hAnsi="Times New Roman"/>
          <w:sz w:val="17"/>
          <w:szCs w:val="17"/>
          <w:color w:val="auto"/>
        </w:rPr>
        <w:t>order request from the consumer, the dispensary and the consumer can continue to communicate, adjust items in the request, and handle any stock issues, prior to and while the dispensary processes and fulfills the order.</w:t>
      </w:r>
    </w:p>
    <w:p>
      <w:pPr>
        <w:spacing w:after="0" w:line="48" w:lineRule="exact"/>
        <w:rPr>
          <w:sz w:val="20"/>
          <w:szCs w:val="20"/>
          <w:color w:val="auto"/>
        </w:rPr>
      </w:pPr>
    </w:p>
    <w:p>
      <w:pPr>
        <w:jc w:val="both"/>
        <w:ind w:left="620" w:hanging="318"/>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62" w:lineRule="exact"/>
        <w:rPr>
          <w:rFonts w:ascii="Times New Roman" w:cs="Times New Roman" w:eastAsia="Times New Roman" w:hAnsi="Times New Roman"/>
          <w:sz w:val="17"/>
          <w:szCs w:val="17"/>
          <w:color w:val="auto"/>
        </w:rPr>
      </w:pPr>
    </w:p>
    <w:p>
      <w:pPr>
        <w:jc w:val="both"/>
        <w:ind w:left="620" w:hanging="318"/>
        <w:spacing w:after="0" w:line="26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68" w:lineRule="exact"/>
        <w:rPr>
          <w:rFonts w:ascii="Times New Roman" w:cs="Times New Roman" w:eastAsia="Times New Roman" w:hAnsi="Times New Roman"/>
          <w:sz w:val="17"/>
          <w:szCs w:val="17"/>
          <w:color w:val="auto"/>
        </w:rPr>
      </w:pPr>
    </w:p>
    <w:p>
      <w:pPr>
        <w:jc w:val="both"/>
        <w:ind w:left="620" w:hanging="318"/>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offer other add-on products for additional fees, including:</w:t>
      </w:r>
    </w:p>
    <w:p>
      <w:pPr>
        <w:spacing w:after="0" w:line="114" w:lineRule="exact"/>
        <w:rPr>
          <w:sz w:val="20"/>
          <w:szCs w:val="20"/>
          <w:color w:val="auto"/>
        </w:rPr>
      </w:pPr>
    </w:p>
    <w:p>
      <w:pPr>
        <w:ind w:left="620" w:hanging="318"/>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right="20" w:hanging="319"/>
        <w:spacing w:after="0" w:line="287" w:lineRule="auto"/>
        <w:tabs>
          <w:tab w:leader="none" w:pos="123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our clients’ businesses and maximize clients’ listings and deal presence.</w:t>
      </w:r>
    </w:p>
    <w:p>
      <w:pPr>
        <w:spacing w:after="0" w:line="48" w:lineRule="exact"/>
        <w:rPr>
          <w:rFonts w:ascii="Times New Roman" w:cs="Times New Roman" w:eastAsia="Times New Roman" w:hAnsi="Times New Roman"/>
          <w:sz w:val="17"/>
          <w:szCs w:val="17"/>
          <w:color w:val="auto"/>
        </w:rPr>
      </w:pPr>
    </w:p>
    <w:p>
      <w:pPr>
        <w:ind w:left="1240" w:hanging="319"/>
        <w:spacing w:after="0" w:line="287" w:lineRule="auto"/>
        <w:tabs>
          <w:tab w:leader="none" w:pos="123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48" w:lineRule="exact"/>
        <w:rPr>
          <w:rFonts w:ascii="Times New Roman" w:cs="Times New Roman" w:eastAsia="Times New Roman" w:hAnsi="Times New Roman"/>
          <w:sz w:val="17"/>
          <w:szCs w:val="17"/>
          <w:color w:val="auto"/>
        </w:rPr>
      </w:pPr>
    </w:p>
    <w:p>
      <w:pPr>
        <w:ind w:left="1240" w:right="20" w:hanging="319"/>
        <w:spacing w:after="0" w:line="287" w:lineRule="auto"/>
        <w:tabs>
          <w:tab w:leader="none" w:pos="124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48" w:lineRule="exact"/>
        <w:rPr>
          <w:rFonts w:ascii="Times New Roman" w:cs="Times New Roman" w:eastAsia="Times New Roman" w:hAnsi="Times New Roman"/>
          <w:sz w:val="17"/>
          <w:szCs w:val="17"/>
          <w:color w:val="auto"/>
        </w:rPr>
      </w:pPr>
    </w:p>
    <w:p>
      <w:pPr>
        <w:ind w:left="620" w:right="20" w:hanging="318"/>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December 31, 2025,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1240"/>
          </w:cols>
          <w:pgMar w:left="500" w:top="603" w:right="500" w:bottom="135" w:gutter="0" w:footer="0" w:header="0"/>
          <w:type w:val="continuous"/>
        </w:sectPr>
      </w:pPr>
    </w:p>
    <w:bookmarkStart w:id="11" w:name="page12"/>
    <w:bookmarkEnd w:id="11"/>
    <w:p>
      <w:pPr>
        <w:spacing w:after="0" w:line="287" w:lineRule="auto"/>
        <w:rPr>
          <w:sz w:val="20"/>
          <w:szCs w:val="20"/>
          <w:color w:val="auto"/>
        </w:rPr>
      </w:pPr>
      <w:r>
        <w:rPr>
          <w:rFonts w:ascii="Times New Roman" w:cs="Times New Roman" w:eastAsia="Times New Roman" w:hAnsi="Times New Roman"/>
          <w:sz w:val="17"/>
          <w:szCs w:val="17"/>
          <w:color w:val="auto"/>
        </w:rPr>
        <w:t>monetize new solutions to extend the functionality of our platform. These investments serve to deepen the consumer experience with our platform and continue to provide a high level of support to our business clients.</w:t>
      </w:r>
    </w:p>
    <w:p>
      <w:pPr>
        <w:spacing w:after="0" w:line="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While the cannabis industry is still in the early innings of what could be decades of growth, we have established a leading position and a recognized brand given our 17-year operating history. Over the coming years, we plan to continue expanding our solutions and service offerings.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Challenges in Our End-Markets</w:t>
      </w:r>
    </w:p>
    <w:p>
      <w:pPr>
        <w:spacing w:after="0" w:line="11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Despite cannabis being a large and growing sector in the United States, we believe that cannabis is unlike many other consumer goods and retail categories for a number of reasons:</w:t>
      </w:r>
    </w:p>
    <w:p>
      <w:pPr>
        <w:spacing w:after="0" w:line="48" w:lineRule="exact"/>
        <w:rPr>
          <w:sz w:val="20"/>
          <w:szCs w:val="20"/>
          <w:color w:val="auto"/>
        </w:rPr>
      </w:pPr>
    </w:p>
    <w:p>
      <w:pPr>
        <w:ind w:left="600" w:hanging="298"/>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as a regulated industry is still in a nascent stage of development.</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governing cannabis are complex and vary state-by-state and by city and county within states.</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has wide variance in characteristics that make it complex for consumers to make an informed purchase decision.</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is a perishable good with a lack of product homogeneity.</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Brands are only in the early stages of establishing a consumer presence.</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illicit market continues to pose a major challenge, directly competing with licensed operators burdened by high taxes and complex regulations.</w:t>
      </w:r>
    </w:p>
    <w:p>
      <w:pPr>
        <w:spacing w:after="0" w:line="113" w:lineRule="exact"/>
        <w:rPr>
          <w:rFonts w:ascii="Times New Roman" w:cs="Times New Roman" w:eastAsia="Times New Roman" w:hAnsi="Times New Roman"/>
          <w:sz w:val="17"/>
          <w:szCs w:val="17"/>
          <w:color w:val="auto"/>
        </w:rPr>
      </w:pPr>
    </w:p>
    <w:p>
      <w:pPr>
        <w:ind w:left="620" w:right="20" w:hanging="318"/>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industry has experienced periods of price deflation, including over the past three years, impacting the financial performance of businesses across the value chain.</w:t>
      </w:r>
    </w:p>
    <w:p>
      <w:pPr>
        <w:spacing w:after="0" w:line="48" w:lineRule="exact"/>
        <w:rPr>
          <w:rFonts w:ascii="Times New Roman" w:cs="Times New Roman" w:eastAsia="Times New Roman" w:hAnsi="Times New Roman"/>
          <w:sz w:val="17"/>
          <w:szCs w:val="17"/>
          <w:color w:val="auto"/>
        </w:rPr>
      </w:pPr>
    </w:p>
    <w:p>
      <w:pPr>
        <w:ind w:left="620" w:hanging="318"/>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Since our founding in 2008, we have grown to become a leading provider of technology solutions to the cannabis industry by leveraging our competitive strengths, including:</w:t>
      </w:r>
    </w:p>
    <w:p>
      <w:pPr>
        <w:spacing w:after="0" w:line="42" w:lineRule="exact"/>
        <w:rPr>
          <w:sz w:val="20"/>
          <w:szCs w:val="20"/>
          <w:color w:val="auto"/>
        </w:rPr>
      </w:pPr>
    </w:p>
    <w:p>
      <w:pPr>
        <w:jc w:val="both"/>
        <w:ind w:left="620" w:hanging="318"/>
        <w:spacing w:after="0" w:line="26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Long History as a Technology Leader Serving the Cannabis Industry. </w:t>
      </w:r>
      <w:r>
        <w:rPr>
          <w:rFonts w:ascii="Times New Roman" w:cs="Times New Roman" w:eastAsia="Times New Roman" w:hAnsi="Times New Roman"/>
          <w:sz w:val="17"/>
          <w:szCs w:val="17"/>
          <w:color w:val="auto"/>
        </w:rPr>
        <w:t>Founded in 2008, we have a long history and established relationships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63" w:lineRule="exact"/>
        <w:rPr>
          <w:rFonts w:ascii="Times New Roman" w:cs="Times New Roman" w:eastAsia="Times New Roman" w:hAnsi="Times New Roman"/>
          <w:sz w:val="17"/>
          <w:szCs w:val="17"/>
          <w:color w:val="auto"/>
        </w:rPr>
      </w:pPr>
    </w:p>
    <w:p>
      <w:pPr>
        <w:jc w:val="both"/>
        <w:ind w:left="620" w:hanging="318"/>
        <w:spacing w:after="0" w:line="260"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Largest Two-Sided Platform for Cannabis Businesses and Consumers. </w:t>
      </w:r>
      <w:r>
        <w:rPr>
          <w:rFonts w:ascii="Times New Roman" w:cs="Times New Roman" w:eastAsia="Times New Roman" w:hAnsi="Times New Roman"/>
          <w:sz w:val="17"/>
          <w:szCs w:val="17"/>
          <w:color w:val="auto"/>
        </w:rPr>
        <w:t>With $174.7 million in revenues and 5,190 average monthly paying clients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year ended December 31, 2025, we believe we are the largest two-sided platform for cannabis businesses and consumers in the United States. Increasing the number of users on our platform, generates more engagements, which we expect can more easily persuade our business clients to consolidate their service providers by switching to our value-priced Weedmaps for Business bundled solution. Increasing the number of businesses on our marketplace, allows us to be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64" w:lineRule="exact"/>
        <w:rPr>
          <w:rFonts w:ascii="Times New Roman" w:cs="Times New Roman" w:eastAsia="Times New Roman" w:hAnsi="Times New Roman"/>
          <w:sz w:val="17"/>
          <w:szCs w:val="17"/>
          <w:color w:val="auto"/>
        </w:rPr>
      </w:pPr>
    </w:p>
    <w:p>
      <w:pPr>
        <w:jc w:val="both"/>
        <w:ind w:left="620" w:hanging="318"/>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Fully-Integrated Solution Specific to the Cannabis Industry. </w:t>
      </w:r>
      <w:r>
        <w:rPr>
          <w:rFonts w:ascii="Times New Roman" w:cs="Times New Roman" w:eastAsia="Times New Roman" w:hAnsi="Times New Roman"/>
          <w:sz w:val="17"/>
          <w:szCs w:val="17"/>
          <w:color w:val="auto"/>
        </w:rPr>
        <w:t>We believe our Weedmaps for Business is the industry’s only comprehensive solution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734060</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734060</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1240"/>
          </w:cols>
          <w:pgMar w:left="500" w:top="603" w:right="500" w:bottom="135" w:gutter="0" w:footer="0" w:header="0"/>
          <w:type w:val="continuous"/>
        </w:sectPr>
      </w:pPr>
    </w:p>
    <w:bookmarkStart w:id="12" w:name="page13"/>
    <w:bookmarkEnd w:id="12"/>
    <w:p>
      <w:pPr>
        <w:jc w:val="both"/>
        <w:ind w:left="620" w:hanging="318"/>
        <w:spacing w:after="0" w:line="26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Unique and Growing Data Asset. </w:t>
      </w:r>
      <w:r>
        <w:rPr>
          <w:rFonts w:ascii="Times New Roman" w:cs="Times New Roman" w:eastAsia="Times New Roman" w:hAnsi="Times New Roman"/>
          <w:sz w:val="17"/>
          <w:szCs w:val="17"/>
          <w:color w:val="auto"/>
        </w:rPr>
        <w:t>As a result our established presence, scale and the breadth of product offerings that provide us with a high volume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63" w:lineRule="exact"/>
        <w:rPr>
          <w:rFonts w:ascii="Times New Roman" w:cs="Times New Roman" w:eastAsia="Times New Roman" w:hAnsi="Times New Roman"/>
          <w:sz w:val="17"/>
          <w:szCs w:val="17"/>
          <w:color w:val="auto"/>
        </w:rPr>
      </w:pPr>
    </w:p>
    <w:p>
      <w:pPr>
        <w:jc w:val="both"/>
        <w:ind w:left="620" w:hanging="318"/>
        <w:spacing w:after="0" w:line="259"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Ability to Innovate Rapidly and Launch New Products Efficiently at Scale. </w:t>
      </w:r>
      <w:r>
        <w:rPr>
          <w:rFonts w:ascii="Times New Roman" w:cs="Times New Roman" w:eastAsia="Times New Roman" w:hAnsi="Times New Roman"/>
          <w:sz w:val="17"/>
          <w:szCs w:val="17"/>
          <w:color w:val="auto"/>
        </w:rPr>
        <w:t>We have an agile product innovation and deployment process. Our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65" w:lineRule="exact"/>
        <w:rPr>
          <w:rFonts w:ascii="Times New Roman" w:cs="Times New Roman" w:eastAsia="Times New Roman" w:hAnsi="Times New Roman"/>
          <w:sz w:val="17"/>
          <w:szCs w:val="17"/>
          <w:color w:val="auto"/>
        </w:rPr>
      </w:pPr>
    </w:p>
    <w:p>
      <w:pPr>
        <w:jc w:val="both"/>
        <w:ind w:left="620" w:hanging="318"/>
        <w:spacing w:after="0" w:line="26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7"/>
          <w:szCs w:val="17"/>
          <w:color w:val="auto"/>
        </w:rPr>
        <w:t>We operate a 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our track record of positive Adjusted EBITDA and cash flows from operating activities.</w:t>
      </w:r>
    </w:p>
    <w:p>
      <w:pPr>
        <w:spacing w:after="0" w:line="63" w:lineRule="exact"/>
        <w:rPr>
          <w:rFonts w:ascii="Times New Roman" w:cs="Times New Roman" w:eastAsia="Times New Roman" w:hAnsi="Times New Roman"/>
          <w:sz w:val="17"/>
          <w:szCs w:val="17"/>
          <w:color w:val="auto"/>
        </w:rPr>
      </w:pPr>
    </w:p>
    <w:p>
      <w:pPr>
        <w:jc w:val="both"/>
        <w:ind w:left="620" w:hanging="318"/>
        <w:spacing w:after="0" w:line="26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Operationally-Focused Management Team with Deep Experience. </w:t>
      </w:r>
      <w:r>
        <w:rPr>
          <w:rFonts w:ascii="Times New Roman" w:cs="Times New Roman" w:eastAsia="Times New Roman" w:hAnsi="Times New Roman"/>
          <w:sz w:val="17"/>
          <w:szCs w:val="17"/>
          <w:color w:val="auto"/>
        </w:rPr>
        <w:t>Our executive leadership team has extensive and relevant professional experience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spanning the technology, consumer, retail, legal and financial services industries, with a track record of operational execution and driving growth. Our Chief Executive Officer, Douglas Francis is a co-founder of WM Technology and, prior to 2024, had also served as Executive Chair. We believe our deep knowledge of our end-markets and broad-based operational expertise spanning several industry sectors provides a key competitive advantage in executing against our growth strategy.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56" w:lineRule="exact"/>
        <w:rPr>
          <w:sz w:val="20"/>
          <w:szCs w:val="20"/>
          <w:color w:val="auto"/>
        </w:rPr>
      </w:pPr>
    </w:p>
    <w:p>
      <w:pPr>
        <w:jc w:val="both"/>
        <w:ind w:left="620" w:right="20" w:hanging="318"/>
        <w:spacing w:after="0" w:line="263"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Grow Our Two-Sided Marketplace. </w:t>
      </w:r>
      <w:r>
        <w:rPr>
          <w:rFonts w:ascii="Times New Roman" w:cs="Times New Roman" w:eastAsia="Times New Roman" w:hAnsi="Times New Roman"/>
          <w:sz w:val="17"/>
          <w:szCs w:val="17"/>
          <w:color w:val="auto"/>
        </w:rPr>
        <w:t>Our goal is to be the center of commerce for consumers seeking cannabis. To support this goal, we intend to continue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63" w:lineRule="exact"/>
        <w:rPr>
          <w:rFonts w:ascii="Times New Roman" w:cs="Times New Roman" w:eastAsia="Times New Roman" w:hAnsi="Times New Roman"/>
          <w:sz w:val="17"/>
          <w:szCs w:val="17"/>
          <w:color w:val="auto"/>
        </w:rPr>
      </w:pPr>
    </w:p>
    <w:p>
      <w:pPr>
        <w:jc w:val="both"/>
        <w:ind w:left="620" w:hanging="318"/>
        <w:spacing w:after="0" w:line="25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Existing Markets and Enter New Markets. </w:t>
      </w:r>
      <w:r>
        <w:rPr>
          <w:rFonts w:ascii="Times New Roman" w:cs="Times New Roman" w:eastAsia="Times New Roman" w:hAnsi="Times New Roman"/>
          <w:sz w:val="17"/>
          <w:szCs w:val="17"/>
          <w:color w:val="auto"/>
        </w:rPr>
        <w:t>We have a significant opportunity to grow our client base both within existing markets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continuing to grow and new markets as they become open to regulated cannabis. We believe we are a nationally-recognized brand in the cannabis industry, and we are monetizing our platform in over 35 U.S. states and territories, as of December 31, 2025.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based on our internal data. Despite recent and near term challenges, we believe that there are substantial growth opportunities for us in the long-term within our existing markets as retail licenses continue to be issued, and states move towards, and eventually beyond, the one retail license per 10,000 people ratio. As of December 31, 2025, there were approximately 13,600 existing retail licenses across the United States. Assuming no cap on the number of licenses issued or other restrictions on the number of licenses issued, if these same markets were to issue enough licenses to match a ratio of one retail license per 10,000 residents, approximately 15,000 new retail licenses would be issued. This may require continued liberalization of license restrictions across cities and counties within certain states where we do business today. In addition, we believe that legalization by additional states and eventually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602615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602615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7"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1240"/>
          </w:cols>
          <w:pgMar w:left="500" w:top="597" w:right="500" w:bottom="135" w:gutter="0" w:footer="0" w:header="0"/>
          <w:type w:val="continuous"/>
        </w:sectPr>
      </w:pPr>
    </w:p>
    <w:bookmarkStart w:id="13" w:name="page14"/>
    <w:bookmarkEnd w:id="13"/>
    <w:p>
      <w:pPr>
        <w:jc w:val="both"/>
        <w:ind w:left="620"/>
        <w:spacing w:after="0" w:line="261" w:lineRule="auto"/>
        <w:rPr>
          <w:sz w:val="20"/>
          <w:szCs w:val="20"/>
          <w:color w:val="auto"/>
        </w:rPr>
      </w:pPr>
      <w:r>
        <w:rPr>
          <w:rFonts w:ascii="Times New Roman" w:cs="Times New Roman" w:eastAsia="Times New Roman" w:hAnsi="Times New Roman"/>
          <w:sz w:val="17"/>
          <w:szCs w:val="17"/>
          <w:color w:val="auto"/>
        </w:rPr>
        <w:t>government is inevitable. Assuming no other restrictions on the number of licenses issued, if the entire United States reached a minimum level of density of one retail license per 10,000 residents, the total universe of retail licenses would reach approximately 34,500, which is approximately 2.5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66" w:lineRule="exact"/>
        <w:rPr>
          <w:sz w:val="20"/>
          <w:szCs w:val="20"/>
          <w:color w:val="auto"/>
        </w:rPr>
      </w:pPr>
    </w:p>
    <w:p>
      <w:pPr>
        <w:jc w:val="both"/>
        <w:ind w:left="620" w:hanging="318"/>
        <w:spacing w:after="0" w:line="259"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7"/>
          <w:szCs w:val="17"/>
          <w:color w:val="auto"/>
        </w:rPr>
        <w:t>We intend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continue expanding our suite of valuable 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65" w:lineRule="exact"/>
        <w:rPr>
          <w:rFonts w:ascii="Times New Roman" w:cs="Times New Roman" w:eastAsia="Times New Roman" w:hAnsi="Times New Roman"/>
          <w:sz w:val="17"/>
          <w:szCs w:val="17"/>
          <w:color w:val="auto"/>
        </w:rPr>
      </w:pPr>
    </w:p>
    <w:p>
      <w:pPr>
        <w:ind w:left="620" w:hanging="318"/>
        <w:spacing w:after="0" w:line="29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Pursue Strategic Acquisitions. </w:t>
      </w:r>
      <w:r>
        <w:rPr>
          <w:rFonts w:ascii="Times New Roman" w:cs="Times New Roman" w:eastAsia="Times New Roman" w:hAnsi="Times New Roman"/>
          <w:sz w:val="17"/>
          <w:szCs w:val="17"/>
          <w:color w:val="auto"/>
        </w:rPr>
        <w:t>We take a measured approach to acquisition-related growth. We intend to continue selectively pursuing opportunities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 in and acquire technology offerings that either complement our existing products and services or allow us to accelerate our growth.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direct competitors for individual components or parts of our platform include cannabis-focused marketplace like Leafly (for retail listing pages), cannabis-focused technology companies like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general two-sided networks like Yelp, various other newspaper, television and media companies, outdoor billboard advertising, and online merchant platforms, such as Shopify, Square and Lightspeed, or delivery companies like DoorDash. For example, in January 2025, DoorDash announced an expanded offering to allow customers of legal age to purchase hemp derived THC and CBD products from merchants.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Should cannabis ultimately be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7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For additional information about the risks to our business related to competition, see the section titled “Risk Factors—Risks Related to our Business and Industry —We currently face intense competition in the market and we expect competition to further intensify as the cannabis industry continues to evolve.”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1240"/>
          </w:cols>
          <w:pgMar w:left="500" w:top="603" w:right="500" w:bottom="13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4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key marketing efforts consist of driving awareness of the marketplace, new user acquisition, and increasing platform engagement with existing users. To drive awareness, we apply a range of strategies from broad integrated marketing campaigns, such as our work each year on April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(“420”), to local, on-the ground events in partnership with brands and retailers.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search engine optimization tactics to drive organic traffic. To engage and retain existing users, we apply lifecycle tactics, leveraging our first party data to personalize touch points based on user interests.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reinvested in our own on-the-ground and field marketing presence and are increasing the types and cadence of client events. These events and in-store activations allow us to engage with consumers at the point of purchase and to engage directly with our clients, allowing us to understand each of their needs and challenges and foster goodwill.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Social Impact</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Development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2025, we have been issued trademark registrations in the United States, Canada, Japan, the European Union, the United Kingdom, Mexico and Australia. We have also been issued an international trademark registration with designation in Australia and the European Union for “Weedmaps.”</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593725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593725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1240"/>
          </w:cols>
          <w:pgMar w:left="500" w:top="599" w:right="500" w:bottom="13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wmforbusiness.com, WM.store and headie.com. Our trademarks and domain names are material to our business and brand identity.</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Circumstances outside our control could pose a threat to our intellectual property rights. For more information, refer to the section titled “Risk Factors—Risks Related to our Business and Industry.”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cannabis industry has certain industry holidays that in recent years have resulted in increased purchases by cannabis consumers. Such “holidays” include, but are not limited to April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(420), and the 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People Operations and Human Capital Resources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2025, we had 416 full-time employees and 33 temporary employees, including 155 in engineering, product and design, 200 in sales and marketing and 94 in general and administrative. Of these employees, 444 are located in the United States and 5 are located in Canada.</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and Territories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titled “Risk Factors—Risks Related to our Business and Industry.”</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Department of Justice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2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729615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729615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1240"/>
          </w:cols>
          <w:pgMar w:left="500" w:top="603" w:right="500" w:bottom="135" w:gutter="0" w:footer="0" w:header="0"/>
          <w:type w:val="continuous"/>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7"/>
          <w:szCs w:val="17"/>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Trump administration given the recent Executive Order regarding rescheduling cannabis and his prior administrations actions on cannabis and statements while campaigning, although prosecutions against state-legal entities cannot be ruled out entirely at this time. Prior to the current administration, President Biden signed into law the “Medical Marijuana and Cannabidiol Research Expansion Act,” a bill aimed at easing restrictions on cannabis research -- bipartisan legislation which is the first standalone cannabis reform bill to pass</w:t>
      </w: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Following that recommendation, DOJ issued a Notice of Proposed Rulemaking (the “NPRM”) proposing to reschedule cannabis, and DEA issued a notice for a hearing which commenced in November 2023, but the hearing is currently stayed pending an administrative interlocutory appeal. 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If the DOJ follows through on Trump’s directive, it would be a momentous change whose full implications are currently unknown, however, the decision to reclassify cannabis would neither legalize nor likely eliminate current state cannabis program.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Section 280E of the Code, and cannabis-related businesses (whether involved in medical or adult-use cannabis) would finally be able to take advantage of all applicable deductions and credits on their business taxes that other businesses enjoy. However, some fear that if cannabis were successfully rescheduled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U.S. Attorney General, Pam Bondi has repeatedly declined to specify her stance on cannabis policy issues, responding to several related questions from senators that she will give “careful consideration after consulting with appropriate Department officials.” She has also avoided specifying her stance on the federal enforcement of cannabis laws or how she would approach states where cannabis is legal. Therefore, key questions remain about how Attorney General Bondi would handle both the rescheduling process and federal enforcement priorities. Despite President Trump's recent support for cannabis rescheduling and ending arrests for personal use, Attorney General Bondi's past record as Florida Attorney General shows opposition to medical cannabis legalization, including defending a ban on smoking medical cannabis in 2018, which has raised concerns among advocates about her approach at the federal level. It is unclear whether the status quo of federal non-enforcement will continue for the foreseeable future; however, increased enforcement would be a marked departure from the prior ten years and inconsistent with President Trump’s purported views on cannabis.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increase access for veterans, or facilitate state-legal cannabis. Since the recent election, however, there has also been proposed anti-cannabis legislation, for example, a bill aiming to ensure Section 280E of the Code continues to apply to state cannabis businesses even if cannabis is ultimately rescheduled to Schedule III. Nevertheless, while the timing of federal reform remains unknown, it is expected that federal policy on cannabis will continue becoming more, rather than less, permissive, including potentially through rescheduling in 2026.</w:t>
      </w:r>
    </w:p>
    <w:p>
      <w:pPr>
        <w:spacing w:after="0" w:line="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Should cannabis ultimately be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Some of our retail clients sell products with hemp-derived cannabinoids, including, tetrahydrocannabinol (“THC”) and cannabidiol (“CBD”) products. In December 2018, the U.S. government removed hemp and extracts of hemp from the CSA schedules through the Agriculture Improvement Act of 2018, Pub. L. 115-334 (the “2018 Farm Bill”). Accordingly, the production, sale and possession of hemp or extracts of hemp, including certain THC and CBD products, no longer violate the CSA. The states have implemented a patchwork of different laws on hemp and its extracts. Additionally, the Food &amp; Drug Administration (“FDA”) claims that the Food, Drugs &amp; Cosmetics Act significantly limits the legality of certain hemp-derived THC and CBD products. In January 2023, FDA affirmed that the agency will not compromise—or create new standards—in evaluating or permitting cannabis or cannabinoid compounds and products, and particularly CBD. In November 2025, Congress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602615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602615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1240"/>
          </w:cols>
          <w:pgMar w:left="500" w:top="603" w:right="500" w:bottom="135" w:gutter="0" w:footer="0" w:header="0"/>
          <w:type w:val="continuous"/>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17"/>
          <w:szCs w:val="17"/>
          <w:color w:val="auto"/>
        </w:rPr>
        <w:t>passed the Continuing Appropriations and Extensions Act of 2026 (H.R. 5371) (the “2026 Appropriations Act”), which included a provision (section 781) to amend the definition of hemp in the 2018 Farm Bill to effectively prohibit the currently commercialized hemp-derived THC and full spectrum products, although the change does not become effective for 365 days from the date of enactment. Efforts are underway to repeal, replace, or delay this amendment, but whether any change will occur is uncertain. The December Executive Order also directs White House staff to work with Congress to “update the statutory definition” of hemp to allow Americans to access CBD products while permitting Congress to “restrict the sale of products posing serious health risks,” and to consult with relevant executive branch departments to “develop a regulatory framework for hemp-derived cannabinoid products, including development of guidance on an upper limit on milligrams of THC per serving with considerations on per container limits and CBD to THC ratio requirements.” It is unclear how this will be achieved, and whether Congress—which just revised the definition of hemp in the 2026 Appropriations Act—will agree to further changes. All of this regulatory volatility creates significant uncertainty for our hemp clients.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sales of hemp-derived products have generally continued thus far, the amendment may lead to changes in enforcement priorities or further federal regulations that could negatively impact our clients that sell such products, which could adversely impact our business, operating results, financial condition, brand and reputation; at the same time, a repeal of the hemp amendment or a continued lack of federal enforcement could negatively impact our cannabis clients that compete against such products, which could adversely impact our business, operating results, financial condition, brand and reputation.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titled “Business—Overview” and “Risk Factors—Risks Related to our Business and Industry.”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 of the World</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593725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593725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1240"/>
          </w:cols>
          <w:pgMar w:left="500" w:top="603" w:right="500" w:bottom="135" w:gutter="0" w:footer="0" w:header="0"/>
          <w:type w:val="continuous"/>
        </w:sectPr>
      </w:pPr>
    </w:p>
    <w:bookmarkStart w:id="18" w:name="page19"/>
    <w:bookmarkEnd w:id="18"/>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SEC. We may from time to time provide important disclosures to investors by posting them in the investor relations section of our website, as allowed by SEC rules.</w:t>
      </w:r>
    </w:p>
    <w:p>
      <w:pPr>
        <w:spacing w:after="0" w:line="30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or our Quarterly Reports on Form 10-Q are not the only risks and uncertainties that we face. Additional risks and uncertainties not presently known to us or that we currently believe to be immaterial may become material and adversely affect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 our costs increase, we may not be able to generate sufficient revenue to achieve profitability in the future.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revenue has in the past declined in comparison to prior periods and may decline in the future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72" w:lineRule="exact"/>
        <w:rPr>
          <w:sz w:val="20"/>
          <w:szCs w:val="20"/>
          <w:color w:val="auto"/>
        </w:rPr>
      </w:pPr>
    </w:p>
    <w:p>
      <w:pPr>
        <w:ind w:left="600" w:hanging="298"/>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including continued investment in our current marketing efforts and future marketing initiatives;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additional employees, including in our product and engineering teams;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domestically and internationally in an effort to increase our consumer and client usage, client base and our sales to our clients;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products, and increased investment in the ongoing development of our existing products;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any acquired companies into our operations; and</w:t>
      </w:r>
    </w:p>
    <w:p>
      <w:pPr>
        <w:spacing w:after="0" w:line="62"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administration, including continued compliance with various regulations applicable to public companies and cannabis industry businesses and other work arising from the growth and maturity of our company.</w:t>
      </w:r>
    </w:p>
    <w:p>
      <w:pPr>
        <w:spacing w:after="0" w:line="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has grown more slowly than anticipated, and may continue to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602615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602615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1240"/>
          </w:cols>
          <w:pgMar w:left="500" w:top="603" w:right="500" w:bottom="135" w:gutter="0" w:footer="0" w:header="0"/>
          <w:type w:val="continuous"/>
        </w:sectPr>
      </w:pPr>
    </w:p>
    <w:bookmarkStart w:id="19" w:name="page20"/>
    <w:bookmarkEnd w:id="19"/>
    <w:p>
      <w:pPr>
        <w:jc w:val="both"/>
        <w:spacing w:after="0" w:line="270" w:lineRule="auto"/>
        <w:rPr>
          <w:sz w:val="20"/>
          <w:szCs w:val="20"/>
          <w:color w:val="auto"/>
        </w:rPr>
      </w:pPr>
      <w:r>
        <w:rPr>
          <w:rFonts w:ascii="Times New Roman" w:cs="Times New Roman" w:eastAsia="Times New Roman" w:hAnsi="Times New Roman"/>
          <w:sz w:val="17"/>
          <w:szCs w:val="17"/>
          <w:color w:val="auto"/>
        </w:rPr>
        <w:t>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offer the optimal pricing of our products and solutions.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expand effectively into new markets, our revenue and business will be adversely affected.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121212"/>
        </w:rPr>
        <w:t xml:space="preserve">Competition </w:t>
      </w:r>
      <w:r>
        <w:rPr>
          <w:rFonts w:ascii="Times New Roman" w:cs="Times New Roman" w:eastAsia="Times New Roman" w:hAnsi="Times New Roman"/>
          <w:sz w:val="17"/>
          <w:szCs w:val="17"/>
          <w:b w:val="1"/>
          <w:bCs w:val="1"/>
          <w:i w:val="1"/>
          <w:iCs w:val="1"/>
          <w:color w:val="000000"/>
        </w:rPr>
        <w:t>from the illicit cannabis market could impact our ability to succeed.</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121212"/>
        </w:rPr>
        <w:t xml:space="preserve">Our clients face competition from illegal market operators that are unlicensed and unregulated including illegal dispensaries and illicit market suppliers selling cannabis and cannabis-based products.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w:t>
      </w:r>
      <w:r>
        <w:rPr>
          <w:rFonts w:ascii="Times New Roman" w:cs="Times New Roman" w:eastAsia="Times New Roman" w:hAnsi="Times New Roman"/>
          <w:sz w:val="17"/>
          <w:szCs w:val="17"/>
          <w:color w:val="000000"/>
        </w:rPr>
        <w:t>In particular, we rely on licensed cannabis businesses to drive the growth of our revenue</w:t>
      </w:r>
      <w:r>
        <w:rPr>
          <w:rFonts w:ascii="Times New Roman" w:cs="Times New Roman" w:eastAsia="Times New Roman" w:hAnsi="Times New Roman"/>
          <w:sz w:val="17"/>
          <w:szCs w:val="17"/>
          <w:color w:val="121212"/>
        </w:rPr>
        <w:t xml:space="preserve"> </w:t>
      </w:r>
      <w:r>
        <w:rPr>
          <w:rFonts w:ascii="Times New Roman" w:cs="Times New Roman" w:eastAsia="Times New Roman" w:hAnsi="Times New Roman"/>
          <w:sz w:val="17"/>
          <w:szCs w:val="17"/>
          <w:color w:val="000000"/>
        </w:rPr>
        <w:t>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concentrated in California, and, as a result, our performance may be affected by factors unique to the California market.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California represents one of the largest state legal cannabis markets in the United States, and approximately 56% and 53% of our revenue for the years ended December 31, 2025 and 2024,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For example, California has instituted a cannabis excise tax of 15%, which could increase to 19% in July 2028, on the gross receipts from any retail sale of cannabis or cannabis products. This tax, and similar efforts, has contributed to, and may further have a material adverse effect on our clients’ business, operating results and financial condition, thereby limiting their ability to spend with us.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or legal proceedings could expose us to significant liabilities and have a negative impact on our reputation or business.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us. The settlement was approved by the SEC, and the administrative cease-and-desist order was entered in September 2024. In addition, on October 17, 2024, a putative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1240"/>
          </w:cols>
          <w:pgMar w:left="500" w:top="603" w:right="500" w:bottom="135" w:gutter="0" w:footer="0" w:header="0"/>
          <w:type w:val="continuous"/>
        </w:sectPr>
      </w:pPr>
    </w:p>
    <w:bookmarkStart w:id="20" w:name="page21"/>
    <w:bookmarkEnd w:id="20"/>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shareholder class action complaint, captioned </w:t>
      </w:r>
      <w:r>
        <w:rPr>
          <w:rFonts w:ascii="Times New Roman" w:cs="Times New Roman" w:eastAsia="Times New Roman" w:hAnsi="Times New Roman"/>
          <w:sz w:val="17"/>
          <w:szCs w:val="17"/>
          <w:i w:val="1"/>
          <w:iCs w:val="1"/>
          <w:color w:val="auto"/>
        </w:rPr>
        <w:t>Seret Ishak v. WM Technology, Inc. et al.</w:t>
      </w:r>
      <w:r>
        <w:rPr>
          <w:rFonts w:ascii="Times New Roman" w:cs="Times New Roman" w:eastAsia="Times New Roman" w:hAnsi="Times New Roman"/>
          <w:sz w:val="17"/>
          <w:szCs w:val="17"/>
          <w:color w:val="auto"/>
        </w:rPr>
        <w:t>, Case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our monthly active users (“MAUs”) metric. On May 12, 2025, the plaintiffs filed an amended class action complaint. On July 11, 2025, the defendants moved to dismiss the plaintiffs’ amended class action complaint. On February 12, 2026, the parties filed a notice of settlement stating that they had reached an agreement in principle to fully settle all pending claims in the action and requesting the court to not rule on the pending motions to dismiss as they were now moot. On February 13, 2026, the court denied as moot the motions to dismiss and ordered lead plaintiff to file a motion for preliminary approval of the settlement by April 13, 2026.</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addition, on November 8, 2024, a shareholder derivative action, captioned </w:t>
      </w:r>
      <w:r>
        <w:rPr>
          <w:rFonts w:ascii="Times New Roman" w:cs="Times New Roman" w:eastAsia="Times New Roman" w:hAnsi="Times New Roman"/>
          <w:sz w:val="17"/>
          <w:szCs w:val="17"/>
          <w:i w:val="1"/>
          <w:iCs w:val="1"/>
          <w:color w:val="auto"/>
        </w:rPr>
        <w:t>DeGennaro v. Francis, et. al</w:t>
      </w:r>
      <w:r>
        <w:rPr>
          <w:rFonts w:ascii="Times New Roman" w:cs="Times New Roman" w:eastAsia="Times New Roman" w:hAnsi="Times New Roman"/>
          <w:sz w:val="17"/>
          <w:szCs w:val="17"/>
          <w:color w:val="auto"/>
        </w:rPr>
        <w:t>,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Further, on November 18, 2024, a shareholder derivative action, captioned </w:t>
      </w:r>
      <w:r>
        <w:rPr>
          <w:rFonts w:ascii="Times New Roman" w:cs="Times New Roman" w:eastAsia="Times New Roman" w:hAnsi="Times New Roman"/>
          <w:sz w:val="17"/>
          <w:szCs w:val="17"/>
          <w:i w:val="1"/>
          <w:iCs w:val="1"/>
          <w:color w:val="auto"/>
        </w:rPr>
        <w:t>Pearson v. Francis, et. al</w:t>
      </w:r>
      <w:r>
        <w:rPr>
          <w:rFonts w:ascii="Times New Roman" w:cs="Times New Roman" w:eastAsia="Times New Roman" w:hAnsi="Times New Roman"/>
          <w:sz w:val="17"/>
          <w:szCs w:val="17"/>
          <w:color w:val="auto"/>
        </w:rPr>
        <w:t>,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On December 10, 2024, the U.S. District Court of the Central District of California issued an order consolidating the DeGennaro and Pearson shareholder derivative actions. On October 3, 2025, the court granted the parties’ joint stipulation to stay the consolidated action until resolution of the motions to dismiss the putative shareholder class action discussed above. On February 17, 2026, in light of the notice of settlement in the above-referenced putative shareholder class action and the denial of the motions to dismiss as moot, the court ordered the parties to show cause regarding the continued stay of the consolidated shareholder derivative action. On February 25, 2026, the court extended the stay to April 10, 2026 to provide the parties additional time to discuss a potential resolution to the consolidated shareholder derivative action, pursuant to a court-entered stipulation by the parties.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Regardless of the outcome, such proceedings can have an adverse impact on us because of legal costs, penalties and other sanctions, diversion of management resources, negative publicity and reputational harm and other factors.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600075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600075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6"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1240"/>
          </w:cols>
          <w:pgMar w:left="500" w:top="496" w:right="500" w:bottom="135" w:gutter="0" w:footer="0" w:header="0"/>
          <w:type w:val="continuous"/>
        </w:sectPr>
      </w:pPr>
    </w:p>
    <w:bookmarkStart w:id="21" w:name="page22"/>
    <w:bookmarkEnd w:id="21"/>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hemp products at retail, and the illicit market could fraudulently attempt to use our hemp product listings to sell products containing more than the allowable amount of THC under federal or state laws. While we periodically audit and respond to reports related to our hemp product listings, it is difficult to monitor the individual products listed, and marketing claims contained, in the listings of our hemp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hemp, which could negatively impact us.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733425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733425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1240"/>
          </w:cols>
          <w:pgMar w:left="500" w:top="500" w:right="500" w:bottom="135" w:gutter="0" w:footer="0" w:header="0"/>
          <w:type w:val="continuous"/>
        </w:sectPr>
      </w:pPr>
    </w:p>
    <w:bookmarkStart w:id="22" w:name="page23"/>
    <w:bookmarkEnd w:id="22"/>
    <w:p>
      <w:pPr>
        <w:jc w:val="both"/>
        <w:spacing w:after="0" w:line="287" w:lineRule="auto"/>
        <w:rPr>
          <w:sz w:val="20"/>
          <w:szCs w:val="20"/>
          <w:color w:val="auto"/>
        </w:rPr>
      </w:pPr>
      <w:r>
        <w:rPr>
          <w:rFonts w:ascii="Times New Roman" w:cs="Times New Roman" w:eastAsia="Times New Roman" w:hAnsi="Times New Roman"/>
          <w:sz w:val="17"/>
          <w:szCs w:val="17"/>
          <w:color w:val="auto"/>
        </w:rPr>
        <w:t>results, financial condition, brand and reputation. In addition, allowing businesses who engage in false or deceptive advertising practices to use our solutions may subject us to negative publicity, which could have similar adverse impacts on 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U.S. state laws and regulations.</w:t>
      </w:r>
    </w:p>
    <w:p>
      <w:pPr>
        <w:spacing w:after="0" w:line="12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Although cannabis is a restricted controlled substance under the federal CSA, U.S. states have legalized cannabis to varying degrees through state-specific regulatory frameworks. See “Business—Government Regulation” for additional information.</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6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62" w:lineRule="exact"/>
        <w:rPr>
          <w:sz w:val="20"/>
          <w:szCs w:val="20"/>
          <w:color w:val="auto"/>
        </w:rPr>
      </w:pPr>
    </w:p>
    <w:p>
      <w:pPr>
        <w:ind w:left="620" w:right="20" w:hanging="318"/>
        <w:spacing w:after="0" w:line="284"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complex, disparate and rapidly evolving regulatory regimes imposed by U.S. federal, state and local and other non-U.S. governments around the world applicable to cannabis and cannabis-related businesses;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rapidly evolving trends in the cannabis industry and the way consumers and cannabis industry businesses interact with technology;</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increasing our base of clients and consumers;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preserve and build our brand while upgrading our existing offerings;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attracting, hiring and retaining qualified personnel to manage operations;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changes in the cannabis industry if sales of cannabis expand significantly beyond a regulated model;</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commodification of the cannabis industry;</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the hemp industry;</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executing our business and marketing strategies; and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expanding our business into new and existing cannabis markets.</w:t>
      </w:r>
    </w:p>
    <w:p>
      <w:pPr>
        <w:spacing w:after="0" w:line="11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1240"/>
          </w:cols>
          <w:pgMar w:left="500" w:top="500" w:right="500" w:bottom="135" w:gutter="0" w:footer="0" w:header="0"/>
          <w:type w:val="continuous"/>
        </w:sectPr>
      </w:pPr>
    </w:p>
    <w:bookmarkStart w:id="23" w:name="page24"/>
    <w:bookmarkEnd w:id="23"/>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our business is dependent, in part, upon continued market acceptance of cannabis by consumers, any negative trends could adversely affect our business operations.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Expansion of our business is dependent on the continued legalization of cannabis.</w:t>
      </w:r>
    </w:p>
    <w:p>
      <w:pPr>
        <w:spacing w:after="0" w:line="120" w:lineRule="exact"/>
        <w:rPr>
          <w:sz w:val="20"/>
          <w:szCs w:val="20"/>
          <w:color w:val="auto"/>
        </w:rPr>
      </w:pPr>
    </w:p>
    <w:p>
      <w:pPr>
        <w:jc w:val="both"/>
        <w:spacing w:after="0" w:line="208" w:lineRule="exact"/>
        <w:rPr>
          <w:sz w:val="20"/>
          <w:szCs w:val="20"/>
          <w:color w:val="auto"/>
        </w:rPr>
      </w:pPr>
      <w:r>
        <w:rPr>
          <w:rFonts w:ascii="Times New Roman" w:cs="Times New Roman" w:eastAsia="Times New Roman" w:hAnsi="Times New Roman"/>
          <w:sz w:val="17"/>
          <w:szCs w:val="17"/>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2025, at least three ballot initiatives (Arizona, Massachusetts and Maine) were introduced to repeal all or some portion of each state’s laws permitting adult use sales, and Florida’s Attorney General has thus far successfully precluded adult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legalization from being placed on the 2026 ballot.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56% and 53% of our revenue for the years ended December 31, 2025 and 2024 in California, and such developments may in turn have a material adverse effect on our business, operating results and financial condition. For more information, refer to “Risk Factors—Our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over the last three years, further pressuring many of our paying clients. This resulted in financial hardship for certain cannabis companies, including some of our paying clients which caused elevated churn and impacted their ability to spend on our platform over the last three years.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credit losses. See “Accounts Receivable, Net” of Note 2, “Summary of Significant Accounting Policies” to the audited consolidated financial statements for additional information.</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4"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1240"/>
          </w:cols>
          <w:pgMar w:left="500" w:top="494" w:right="500" w:bottom="135" w:gutter="0" w:footer="0" w:header="0"/>
          <w:type w:val="continuous"/>
        </w:sectPr>
      </w:pPr>
    </w:p>
    <w:bookmarkStart w:id="24" w:name="page25"/>
    <w:bookmarkEnd w:id="24"/>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information about cannabis brands or products if clients or consumers do not contribute content that is helpful and reliable, or if they remove previously submitted content.</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4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68" w:lineRule="exact"/>
        <w:rPr>
          <w:sz w:val="20"/>
          <w:szCs w:val="20"/>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our marketing efforts;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high-quality, innovative and error- and bug-free platform;</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high satisfaction among clients and consumers;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perceived value of our platform;</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developing new features, including alternative revenue streams;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and enforce trademarks and other indicia of origin that are valuable to our brand;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differentiate our platform from competitors’ products;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laws and regulations, including those applicable to any political action committees affiliated with us and to our registered lobbying activities;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provide client support; and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perceived data breach or data loss, or misuse or perceived misuse of our platform.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our brand recognition and reputation may be affected by factors that are outside our control, such as:</w:t>
      </w:r>
    </w:p>
    <w:p>
      <w:pPr>
        <w:spacing w:after="0" w:line="62" w:lineRule="exact"/>
        <w:rPr>
          <w:sz w:val="20"/>
          <w:szCs w:val="20"/>
          <w:color w:val="auto"/>
        </w:rPr>
      </w:pPr>
    </w:p>
    <w:p>
      <w:pPr>
        <w:ind w:left="600" w:hanging="298"/>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competitors or other third parties;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timeliness of our clients’ delivery businesses;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experiences with clients or products identified through our platform;</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delays or attacks on our platform; and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regulatory developments.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face intense competition in the cannabis information market, and we expect competition to further intensify as the cannabis industry continues to evolve.</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marketplace like Leafly (for retailer listing pages) and cannabis-focused technology companies like Dutchie and Jane Technologies (for menu embed and orders functionality) and a variety of cannabis-focused marketing and advertising technology solutions. In addition, our platform also may compete with current or potential products and solutions offered by internet search engines and advertising networks, like Google, general two-sided networks like Yelp, various other newspaper, television, media companies, outdoor billboard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602615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602615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1240"/>
          </w:cols>
          <w:pgMar w:left="500" w:top="500" w:right="500" w:bottom="135" w:gutter="0" w:footer="0" w:header="0"/>
          <w:type w:val="continuous"/>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17"/>
          <w:szCs w:val="17"/>
          <w:color w:val="auto"/>
        </w:rPr>
        <w:t>advertising, and online merchant platforms, such as Shopify, Square and Lightspeed, or delivery companies like DoorDash. In January 2025, DoorDash announced an expanded offering to allow customers of legal age to purchase hemp-derived THC and CBD products from merchants on the DoorDash app.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If cannabis is ultimately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7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employee operations and organization effectively, our brand, business and operating results could be harmed.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since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recruit, train, retain and motivate key personnel, we may not achieve our business objectives.</w:t>
      </w:r>
    </w:p>
    <w:p>
      <w:pPr>
        <w:spacing w:after="0" w:line="12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Our future success depends on our continued ability to recruit, train, retain and motivate key personnel, including Douglas Francis, our Chief Executive Officer and Chairman, Brian Camire, our General Counsel, Sarah Griffis, our Chief Technology Officer, and Susan Echard, our Chief Financial Officer.</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Competition for qualified personnel in the technology industry is intense, particularly in Southern California, where we are headquartered, and Austin, Texas, where we have a growing office.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1240"/>
          </w:cols>
          <w:pgMar w:left="500" w:top="500" w:right="500" w:bottom="135" w:gutter="0" w:footer="0" w:header="0"/>
          <w:type w:val="continuous"/>
        </w:sectPr>
      </w:pPr>
    </w:p>
    <w:bookmarkStart w:id="26" w:name="page27"/>
    <w:bookmarkEnd w:id="26"/>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our Chief Financial Officer, Susan Echard, prior to January 30, 2026 was a consultant and not a full time employee. Ms. Echard was a partner at SeatonHill Partners, LP a CFO services firm. Ms. Echard served as our interim Chief Financial Officer from February 2024 through November 2024, which, as noted in our Notification of Late Filing on Form 12b-25 with the SEC, had an impact on our ability to complete our financial statements. Effectively January 30, 2026, we entered into an employment agreement with Ms. Echard. If Ms. Echard departs, and we are unable to recruit and retain a qualified replacement in a timely manner it could result in management, operating and financial reporting difficulties, which could have an adverse effect on our business.</w:t>
      </w:r>
    </w:p>
    <w:p>
      <w:pPr>
        <w:spacing w:after="0" w:line="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Visits to our website could also decline if our social media accounts, such as those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for short periods in each of September 2024 and was suspended from October 2024 through June 2025. Once our account is restated, it may, and our other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6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Apple App Store or Google Play limit the functionality or availability of our mobile application platform, including as a result of changes or violations of terms and conditions, access to and utilization of our platform may suffer.</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example, we have at times been unable to offer our WM Orders functionality in our iOS Weedmaps mobile application and are currently unable to offer such functionality in our Android Weedmaps mobile application due to restrictions imposed by the Apple App Store and Google Play, respectively. While our platform is still available in the Apple App Store and on Google Play for download, there can be no assurance that our platform or all of its functionalities will remain available in the immediate or longer term. To the extent that we are limited or prohibited from making some or all of our solutions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1240"/>
          </w:cols>
          <w:pgMar w:left="500" w:top="603" w:right="500" w:bottom="135" w:gutter="0" w:footer="0" w:header="0"/>
          <w:type w:val="continuous"/>
        </w:sectPr>
      </w:pPr>
    </w:p>
    <w:bookmarkStart w:id="27" w:name="page28"/>
    <w:bookmarkEnd w:id="27"/>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through any third-party platform, including the Apple App Store or the Google Play,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defects, software bugs, capacity constraints and distributed denial of service, or DDoS, fraud or other security incidents or vulnerabilities. In some instances, we may not be able to identify the cause or causes of these performance problems within an acceptable period of time. Additionally, even if we are able to develop a patch or other fix to address such issues, such fix may be difficult to push out to our customers or otherwise be delayed. It may become increasingly difficult to maintain and improve the availability of our platform, especially during peak usage times and as our products become more complex and our traffic increases. If our platform is wholly or partially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have and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our business depends upon the appropriate and successful implementation of our platform by our customers. If our customers fail to use our platform according to our specifications, our customers may suffer a security incident or other disruption on their own systems or other adverse consequences. Even if such an incident is unrelated to our practices, it could result in our incurring significant economic and operational costs in investigating, remediating, and implementing additional measures, and could result in reputational harm.</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and expect to continue making significant investments in the functionality, performance, reliability, design, security and scalability of our platform. We have in the past and may in the future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payment system and the payment systems of our clients depend on third-party providers and are subject to evolving laws and regulations.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engaged third-party service providers to perform credit and debit card processing services for client’s payments to us, and we understand that some of our clients use those services. We also have and may continue to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refer to “Risk Factors—We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598805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598805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1240"/>
          </w:cols>
          <w:pgMar w:left="500" w:top="500" w:right="500" w:bottom="135" w:gutter="0" w:footer="0" w:header="0"/>
          <w:type w:val="continuous"/>
        </w:sectPr>
      </w:pPr>
    </w:p>
    <w:bookmarkStart w:id="28" w:name="page29"/>
    <w:bookmarkEnd w:id="28"/>
    <w:p>
      <w:pPr>
        <w:jc w:val="both"/>
        <w:spacing w:after="0" w:line="287" w:lineRule="auto"/>
        <w:rPr>
          <w:sz w:val="20"/>
          <w:szCs w:val="20"/>
          <w:color w:val="auto"/>
        </w:rPr>
      </w:pPr>
      <w:r>
        <w:rPr>
          <w:rFonts w:ascii="Times New Roman" w:cs="Times New Roman" w:eastAsia="Times New Roman" w:hAnsi="Times New Roman"/>
          <w:sz w:val="17"/>
          <w:szCs w:val="17"/>
          <w:color w:val="auto"/>
        </w:rPr>
        <w:t>subject to industry standards, governmental laws and regulations, policies and other obligations governing privacy, data protection and information security and any actual or perceived failure to comply with such obligations could harm our business” below.</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6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successfully drive engagement on our platform, as well as changes to our user engagement and advertising strategy and practices, pose risks to our business.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72" w:lineRule="exact"/>
        <w:rPr>
          <w:sz w:val="20"/>
          <w:szCs w:val="20"/>
          <w:color w:val="auto"/>
        </w:rPr>
      </w:pPr>
    </w:p>
    <w:p>
      <w:pPr>
        <w:ind w:left="620" w:hanging="318"/>
        <w:spacing w:after="0" w:line="28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to entice consumers to use our products and services, or our consumers don’t have the ability to maximize the consumer experience;</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convince consumers and clients of the value and usefulness of our platform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593725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593725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1240"/>
          </w:cols>
          <w:pgMar w:left="500" w:top="500" w:right="500" w:bottom="135" w:gutter="0" w:footer="0" w:header="0"/>
          <w:type w:val="continuous"/>
        </w:sectPr>
      </w:pPr>
    </w:p>
    <w:bookmarkStart w:id="29" w:name="page30"/>
    <w:bookmarkEnd w:id="29"/>
    <w:p>
      <w:pPr>
        <w:ind w:left="620" w:right="20" w:hanging="318"/>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find cost-effective marketing channels or other strategies to drive traffic to our website, including replacing any pop-under advertisements that we have decreased our usage of or discontinued;</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fail to operate effectively on the iOS or Android mobile operating systems;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continue to develop products that work with a variety of mobile operating systems, networks and smartphones;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because of the decisions we make regarding the type and frequency of advertisements that we display or the structure and design of our products;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engage more with competing platforms or products at the expense of ours or those of our clients;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manner in which we promote engagement or traffic is seen by consumers or clients as unappealing or harm our brand image or reputation;</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concerns about the privacy implications, safety, or security of our products;</w:t>
      </w:r>
    </w:p>
    <w:p>
      <w:pPr>
        <w:spacing w:after="0" w:line="62"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1"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1" w:lineRule="exact"/>
        <w:rPr>
          <w:rFonts w:ascii="Times New Roman" w:cs="Times New Roman" w:eastAsia="Times New Roman" w:hAnsi="Times New Roman"/>
          <w:sz w:val="17"/>
          <w:szCs w:val="17"/>
          <w:color w:val="auto"/>
        </w:rPr>
      </w:pPr>
    </w:p>
    <w:p>
      <w:pPr>
        <w:ind w:left="620" w:right="20" w:hanging="318"/>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products reduce consumer activity on our website or our applications by making it easier for our consumers to interact directly with our clients.</w:t>
      </w:r>
    </w:p>
    <w:p>
      <w:pPr>
        <w:spacing w:after="0" w:line="4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Any decrease to consumer retention, growth, or engagement could render our products less attractive to consumers, advertisers, or partners, and could seriously harm our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prevent others from aggregating or misappropriating data from our websites.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and activity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2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ordinary course of our business, we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also share and receive certain sensitive data with or from third parties.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ability to monitor these third parties’ information security practices is limited, and these third parties may not have adequate information security measures in place. If our third-party service providers experience a security incident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51"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1240"/>
          </w:cols>
          <w:pgMar w:left="500" w:top="551" w:right="500" w:bottom="135" w:gutter="0" w:footer="0" w:header="0"/>
          <w:type w:val="continuous"/>
        </w:sectPr>
      </w:pPr>
    </w:p>
    <w:bookmarkStart w:id="30" w:name="page31"/>
    <w:bookmarkEnd w:id="30"/>
    <w:p>
      <w:pPr>
        <w:jc w:val="both"/>
        <w:spacing w:after="0" w:line="264" w:lineRule="auto"/>
        <w:rPr>
          <w:sz w:val="20"/>
          <w:szCs w:val="20"/>
          <w:color w:val="auto"/>
        </w:rPr>
      </w:pPr>
      <w:r>
        <w:rPr>
          <w:rFonts w:ascii="Times New Roman" w:cs="Times New Roman" w:eastAsia="Times New Roman" w:hAnsi="Times New Roman"/>
          <w:sz w:val="17"/>
          <w:szCs w:val="17"/>
          <w:color w:val="auto"/>
        </w:rPr>
        <w:t>interruption, which has occurred in the past,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Remote work has increased risks to our information technology systems and data, as our employees utilize network connections, computers and devices outside our premises or network, including working at home, while in transit and in public locations.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actual or perceived security incident could damage our reputation and brand, result in decreased utilization of our platform or prevent users from using our platform, expose us to fines and penalties, government enforcement actions (for example, investigations or inspection); negative publicity; additional reporting requirements and/or oversight; restrictions on processing sensitive information (including personal data); litigation (including class claims); indemnification obligations; reputational harm; monetary fund diversions; diversion of management’s attention; interruptions in our operations (including availability of data); financial loss; and other similar harms that may require us to expend significant capital and other resources to alleviate any resulting problems and otherwise to remediate the incident, and require us to expend increased cybersecurity protection costs. We have in the past and may in the future incur significant costs in an effort to detect and prevent security incidents. Our efforts to do so may not be successful. Actions taken by us or the third parties with whom we work to detect, investigate,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600075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600075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1240"/>
          </w:cols>
          <w:pgMar w:left="500" w:top="500" w:right="500" w:bottom="135" w:gutter="0" w:footer="0" w:header="0"/>
          <w:type w:val="continuous"/>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7"/>
          <w:szCs w:val="17"/>
          <w:color w:val="auto"/>
        </w:rPr>
        <w:t>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Certain data privacy and security obligations require us to implement and maintain specific security measures or industry-standard or reasonable security measures to protect our information technology systems and sensitive information.</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of these impacts or circumstances arising from an actual or perceived security incident could materially and adversely affect our business, financial condition, reputation and relationships with clients and consumers. 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sensitive information of the Company or our customers could be leaked, disclosed, or revealed as a result of or in connection with our employees’, personnel’s, or vendors’ use of generative AI technologies.</w:t>
      </w:r>
    </w:p>
    <w:p>
      <w:pPr>
        <w:spacing w:after="0" w:line="4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employees face risks related to macroeconomic conditions and catastrophic events, that have adversely impacted and could in the future adversely impact our business, financial condition and operating results.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Macroeconomic conditions, including but not limited to inflation, tariffs, uncertain credit and global financial markets, government shutdowns, past and potential future disruptions in access to bank deposits or lending commitments due to bank failures; current and potential future geopolitical events, including the military conflicts between Russia and Ukraine and the state of war between Israel and Hamas and the related risk of a larger regional conflict; and the occurrence of a catastrophic event, including but not limited to severe weather, wildfire, war, or terrorist attack, could adversely impact our business, financial condition and operating results. For example, in the event of damage or interruption, our insurance policies may not adequately compensate us for any losses that we may incur. We also face risks related to public health crises,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7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1240"/>
          </w:cols>
          <w:pgMar w:left="500" w:top="603" w:right="500" w:bottom="135"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our quarterly and annual operating results may adversely affect our business and prospects.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clients and consumers and retain existing clients and consumers;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forecast revenue and appropriately plan our expenses;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changes in search engine placement and prominence;</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on our business;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 existing markets and successfully enter new markets;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regional or economic conditions;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licensed cannabis markets to successfully grow and out compete illegal cannabis markets;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effectively manage an adequate rate of growth;</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traffic to our platform;</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defending claims, including intellectual property infringement claims and related judgments or settlements;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or other regulation affecting our business;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platform availability and any related impact on our business, reputation or brand;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attraction and retention of qualified personnel;</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natural or man-made catastrophic events; and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internal controls, including the material weaknesses that we have identified.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improve our products and solutions in ways that forego short-term gains.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6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4"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1240"/>
          </w:cols>
          <w:pgMar w:left="500" w:top="494" w:right="500" w:bottom="135" w:gutter="0" w:footer="0" w:header="0"/>
          <w:type w:val="continuous"/>
        </w:sectPr>
      </w:pPr>
    </w:p>
    <w:bookmarkStart w:id="33" w:name="page34"/>
    <w:bookmarkEnd w:id="33"/>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sell our Weedmaps for Business offering in the United States and have a limited number of non-monetized listings in several other countries including Austria, Canada, Germany, the Netherlands, Spain, Switzerland, and Uruguay.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6" w:lineRule="exact"/>
        <w:rPr>
          <w:sz w:val="20"/>
          <w:szCs w:val="20"/>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legal and regulatory environment in foreign jurisdictions, including with respect to privacy and data protection, and unexpected changes in laws, regulatory requirements and enforcement;</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levels of credit risk and payment fraud;</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tax requirements of multiple jurisdictions;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difficulties of integrating any foreign acquisitions;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present our content effectively in foreign languages;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a variety of foreign laws, including certain employment laws requiring national collective bargaining agreements that set minimum salaries, benefits, working conditions and termination requirements;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protection for intellectual property rights in some countries;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global operations and the increased travel, infrastructure and compliance costs associated with multiple foreign locations;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that might add difficulties in repatriating cash earned outside the United States and otherwise preventing us from freely moving cash;</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restrictions and changes in trade regulation;</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statutory equity requirements;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U.S. Foreign Corrupt Practices Act of 1977, as amended, the U.K. Bribery Act 2010, the Corruption of Public Officials Act (Canada), and similar laws in other jurisdictions; and</w:t>
      </w:r>
    </w:p>
    <w:p>
      <w:pPr>
        <w:spacing w:after="0" w:line="1" w:lineRule="exact"/>
        <w:rPr>
          <w:rFonts w:ascii="Times New Roman" w:cs="Times New Roman" w:eastAsia="Times New Roman" w:hAnsi="Times New Roman"/>
          <w:sz w:val="17"/>
          <w:szCs w:val="17"/>
          <w:color w:val="auto"/>
        </w:rPr>
      </w:pPr>
    </w:p>
    <w:p>
      <w:pPr>
        <w:ind w:left="620" w:right="20" w:hanging="318"/>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controls and economic sanctions administered by the U.S. Department of Commerce Bureau of Industry and Security and the U.S. Treasury Department’s Office of Foreign Assets Control.</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industry standards, governmental laws and regulations, contractual obligations, policies, and other obligations governing privacy, data protection and information security, and any actual or perceived failure to comply with such obligations could harm our business.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7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sale of personal data, targeted advertising, profiling, and automated decision-making. The exercise of these rights may impact our business and ability to provide our products and services. Certain states also impose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4"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1240"/>
          </w:cols>
          <w:pgMar w:left="500" w:top="494" w:right="500" w:bottom="135" w:gutter="0" w:footer="0" w:header="0"/>
          <w:type w:val="continuous"/>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7"/>
          <w:szCs w:val="17"/>
          <w:color w:val="auto"/>
        </w:rPr>
        <w:t>stricter requirements for processing certain personal data, including sensitive information, such as obtaining consumer consent and conducting data privacy impact assessments. These state laws allow for statutory fines for noncompliance. For example, the California Consumer Privacy Act (“CCPA”), applies to personal data of consumers, business representatives, and employees who are California residents, provides for fines,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Many foreign countries and governmental bodies, including Canada, the United Kingdom (“UK”), and the European Union (“E.U.”) have laws, regulations, and industry standards concerning the processing of personal information, including for example, in Canada, the federal Personal Information Protection and Electronic Documents Act, or PIPEDA and various related laws. Further, Canada has robust anti-spam legislation, the Anti-Spam Legislation, or CASL. The penalties for non-compliance under CASL are significant. In addition, the E.U.’s General Data Protection Regulation, or the EU GDPR, and the United Kingdom’s GDPR, or UK GDPR (collectively, “GDPR”) regulate the processing of personal data and provide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There are also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adopted and may in the future adopt similar laws.</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have and may continue to adopt similarly stringent data localization and cross-border data transfer laws.</w:t>
      </w:r>
    </w:p>
    <w:p>
      <w:pPr>
        <w:spacing w:after="0" w:line="2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a company can satisfy or rely on these measures to lawfully transfer personal data to the United States.</w:t>
      </w:r>
    </w:p>
    <w:p>
      <w:pPr>
        <w:spacing w:after="0" w:line="2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there is no lawful manner for a company to transfer personal data from the EEA, the UK or other jurisdictions to the United States, or if the requirements for a legally-compliant transfer are too onerous, a company could face significant adverse consequences, including, increased exposure to regulatory actions, substantial fines and penalties, the inability to transfer data and work with partners, vendors and other third parties, and injunctions against their processing or transferring of personal data related to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are also subject to the PCI-DSS, which requires companies to adopt certain measures to ensure the security of cardholder information, including using and maintaining firewalls, adopting proper password protections for certain devices and software, and restricting data access. Noncompliance with the PCI-DSS can result in penalties ranging from $5,000 to $100,000 per month by credit card companies, litigation, damage to our reputation, and revenue losses.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employees and personnel use generative artificial intelligence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 We use machine learning and AI, including generative AI, in certain aspects of our products and services. The development and use of AI technologies present various privacy and security risks that may impact our business. AI technologies are subject to privacy and data security laws, as well as increasing regulation and scrutiny.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602615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602615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1240"/>
          </w:cols>
          <w:pgMar w:left="500" w:top="500" w:right="500" w:bottom="135" w:gutter="0" w:footer="0" w:header="0"/>
          <w:type w:val="continuous"/>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under various privacy laws and other obligations, we may be required to obtain certain consents to process personal data. For example, some of our data processing practices may be challenged under wiretapping laws, if we share consumer information to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Obligations related to data privacy and security (and consumers’ data privacy expectations) are evolving, becoming increasingly stringent, and creating uncertainty. These obligations have and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Governmental regulation of the internet continues to develop, and unfavorable changes could substantially harm our business and operating results.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often unclear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brought against us as a result of content we provide.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7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For content that we publish or provide ourselves, we have editorial procedures in place to provide quality control of the information that we publish or provide. However, we cannot assure you that our editorial and other quality control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1240"/>
          </w:cols>
          <w:pgMar w:left="500" w:top="500" w:right="500" w:bottom="135" w:gutter="0" w:footer="0" w:header="0"/>
          <w:type w:val="continuous"/>
        </w:sectPr>
      </w:pPr>
    </w:p>
    <w:bookmarkStart w:id="36" w:name="page37"/>
    <w:bookmarkEnd w:id="36"/>
    <w:p>
      <w:pPr>
        <w:jc w:val="both"/>
        <w:spacing w:after="0" w:line="264" w:lineRule="auto"/>
        <w:rPr>
          <w:sz w:val="20"/>
          <w:szCs w:val="20"/>
          <w:color w:val="auto"/>
        </w:rPr>
      </w:pPr>
      <w:r>
        <w:rPr>
          <w:rFonts w:ascii="Times New Roman" w:cs="Times New Roman" w:eastAsia="Times New Roman" w:hAnsi="Times New Roman"/>
          <w:sz w:val="17"/>
          <w:szCs w:val="17"/>
          <w:color w:val="auto"/>
        </w:rPr>
        <w:t>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legal claims based on the content published to our platform.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investments in alternative revenue streams or acquisitions could disrupt our business and adversely affect our operating results, financial condition and cash flows.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48" w:lineRule="exact"/>
        <w:rPr>
          <w:sz w:val="20"/>
          <w:szCs w:val="20"/>
          <w:color w:val="auto"/>
        </w:rPr>
      </w:pPr>
    </w:p>
    <w:p>
      <w:pPr>
        <w:jc w:val="both"/>
        <w:ind w:left="620" w:hanging="318"/>
        <w:spacing w:after="0" w:line="26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6" w:lineRule="exact"/>
        <w:rPr>
          <w:rFonts w:ascii="Times New Roman" w:cs="Times New Roman" w:eastAsia="Times New Roman" w:hAnsi="Times New Roman"/>
          <w:sz w:val="17"/>
          <w:szCs w:val="17"/>
          <w:color w:val="auto"/>
        </w:rPr>
      </w:pPr>
    </w:p>
    <w:p>
      <w:pPr>
        <w:jc w:val="both"/>
        <w:ind w:left="620" w:hanging="318"/>
        <w:spacing w:after="0" w:line="27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0"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disrupt our ongoing business, divert resources, increase our expenses and distract our management;</w:t>
      </w:r>
    </w:p>
    <w:p>
      <w:pPr>
        <w:spacing w:after="0" w:line="62"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in, or may be unable to, successfully sell any acquired products;</w:t>
      </w:r>
    </w:p>
    <w:p>
      <w:pPr>
        <w:spacing w:after="0" w:line="62"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involve the entry into geographic or business markets in which we have little or no prior experience or where competitors have stronger market positions;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strain on our financial and managerial controls and reporting systems and procedures;</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known and unknown liabilities associated with an acquired company;</w:t>
      </w:r>
    </w:p>
    <w:p>
      <w:pPr>
        <w:spacing w:after="0" w:line="62" w:lineRule="exact"/>
        <w:rPr>
          <w:rFonts w:ascii="Times New Roman" w:cs="Times New Roman" w:eastAsia="Times New Roman" w:hAnsi="Times New Roman"/>
          <w:sz w:val="17"/>
          <w:szCs w:val="17"/>
          <w:color w:val="auto"/>
        </w:rPr>
      </w:pPr>
    </w:p>
    <w:p>
      <w:pPr>
        <w:ind w:left="620" w:right="20" w:hanging="318"/>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incur debt to fund such acquisitions, such debt may subject us to material restrictions on our ability to conduct our business as well as financial maintenance covenants;</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impairment charges related to potential write-downs of acquired assets or goodwill in future acquisitions;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we issue a significant amount of equity or convertible debt securities in connection with future acquisitions, existing equity holders may be diluted and earnings per share may decrease; and</w:t>
      </w:r>
    </w:p>
    <w:p>
      <w:pPr>
        <w:spacing w:after="0" w:line="1"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the varying intellectual property protection strategies and other activities of an acquired company.</w:t>
      </w:r>
    </w:p>
    <w:p>
      <w:pPr>
        <w:spacing w:after="0" w:line="1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593725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593725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1240"/>
          </w:cols>
          <w:pgMar w:left="500" w:top="500" w:right="500" w:bottom="135" w:gutter="0" w:footer="0" w:header="0"/>
          <w:type w:val="continuous"/>
        </w:sectPr>
      </w:pPr>
    </w:p>
    <w:bookmarkStart w:id="37" w:name="page38"/>
    <w:bookmarkEnd w:id="37"/>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operating results may be harmed if we are deemed responsible for the collection and remittance of state sales taxes or other indirect taxes.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do not collect sales and use, value-added, goods and services, or other similar taxes as part of our client agreements in the United States or Canada. Sales and use, value-added and similar tax laws and rates vary greatly by jurisdiction. If we are deemed an agent for the clients on our platform under state or other applicable tax law, we may be deemed responsible for collecting and remitting such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potential adverse tax consequences both domestically and in foreign jurisdictions.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or their interpretation.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accounting standards or other factors could negatively impact our future effective tax rate.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For example, California has instituted a cannabis excise tax of 15% which could increase in July 2028, on the gross receipts from any retail sale of cannabis or cannabis products. This tax, and similar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4"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1240"/>
          </w:cols>
          <w:pgMar w:left="500" w:top="494" w:right="500" w:bottom="135" w:gutter="0" w:footer="0" w:header="0"/>
          <w:type w:val="continuous"/>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7"/>
          <w:szCs w:val="17"/>
          <w:color w:val="auto"/>
        </w:rPr>
        <w:t>has, and may continue to have a material adverse effect on the number of consumers purchasing cannabis, as well as negatively impact the operating results of cannabis retail, both of which has and may continue to adversely affect to our business, cash flow, financial condition and operating results. In addition, existing tax laws, statutes, rules, regulations, or ordinances, such as Section 280E of the Code, discussed in this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ongoing material weaknesses in our internal control over financial reporting as of December 31, 2025.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2025,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that as of December 31, 2025, our internal control over financial reporting was not effective due to the ongoing material weaknesses in internal control over financial reporting.</w:t>
      </w:r>
    </w:p>
    <w:p>
      <w:pPr>
        <w:spacing w:after="0" w:line="7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As of December 31, 2025, we have an ongoing entity-level material weakness that was identified in the years ended December 31, 2024 and 2023, and for which remediation efforts continued in the year ended December 31, 2025 as further described below.</w:t>
      </w:r>
    </w:p>
    <w:p>
      <w:pPr>
        <w:spacing w:after="0" w:line="48" w:lineRule="exact"/>
        <w:rPr>
          <w:sz w:val="20"/>
          <w:szCs w:val="20"/>
          <w:color w:val="auto"/>
        </w:rPr>
      </w:pPr>
    </w:p>
    <w:p>
      <w:pPr>
        <w:jc w:val="both"/>
        <w:ind w:left="620" w:hanging="318"/>
        <w:spacing w:after="0" w:line="261"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entity-level material weakness contributed to material weaknesses within our system of internal control over financial reporting as follows: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Unremediated material weaknesses identified in the years ended December 31, 2025, 2024 and 2023</w:t>
      </w:r>
    </w:p>
    <w:p>
      <w:pPr>
        <w:spacing w:after="0" w:line="118" w:lineRule="exact"/>
        <w:rPr>
          <w:sz w:val="20"/>
          <w:szCs w:val="20"/>
          <w:color w:val="auto"/>
        </w:rPr>
      </w:pPr>
    </w:p>
    <w:p>
      <w:pPr>
        <w:jc w:val="both"/>
        <w:ind w:left="620" w:hanging="318"/>
        <w:spacing w:after="0" w:line="25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75" w:lineRule="exact"/>
        <w:rPr>
          <w:rFonts w:ascii="Times New Roman" w:cs="Times New Roman" w:eastAsia="Times New Roman" w:hAnsi="Times New Roman"/>
          <w:sz w:val="17"/>
          <w:szCs w:val="17"/>
          <w:color w:val="auto"/>
        </w:rPr>
      </w:pPr>
    </w:p>
    <w:p>
      <w:pPr>
        <w:jc w:val="both"/>
        <w:ind w:left="620" w:hanging="318"/>
        <w:spacing w:after="0" w:line="264"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1240"/>
          </w:cols>
          <w:pgMar w:left="500" w:top="603" w:right="500" w:bottom="135" w:gutter="0" w:footer="0" w:header="0"/>
          <w:type w:val="continuous"/>
        </w:sectPr>
      </w:pPr>
    </w:p>
    <w:bookmarkStart w:id="39" w:name="page40"/>
    <w:bookmarkEnd w:id="39"/>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these material weaknesses could result in a misstatement of account balances or disclosures that could result in a material misstatement to the annual or interim consolidated financial statements that would not be prevented or detected.</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Management has been implementing and continues to implement measures to remediate the ongoing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27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previously restated our financial statements for several quarters, which resulted in unanticipated costs and may adversely affect investor confidence, our stock price, our ability to raise capital, raise reputational issues and may subject us to additional risks and uncertainties, including the increased possibility of legal proceedings and regulatory inquiries</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20, 2024, management and the audit committee of our board of directors concluded that our previously issued unaudited condensed consolidated financial statements as of and for the three months ended March 31, 2023, six months ended June 30, 2023 and nine months ended September 30, 2023 included in our Quarterly Reports on Form 10-Q filed with the SEC on May 9, 2023, August 9, 2023 and November 8, 2023, respectively (collectively, the “Affected Periods”), were materially misstated and should no longer be relied upon due to identified errors in the application of our revenue recognition policies related to the cash collection of a certain subset of our customers that had been placed on a cash basis. As a result, we restated the financial statements for the Affected Periods.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 Any restatements may have the effect of eroding investor confidence in us and our financial reporting and accounting practices and processes and may raise reputational issues for our business. The restatements may negatively impact the trading price of our securities and may make it more difficult for us to raise capital on acceptable terms, or at all.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Organizational 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this discussion of risks related to our organizational structure, references to “we,” “us” and “our” generally refer to WM Technology Inc.</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598805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598805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1240"/>
          </w:cols>
          <w:pgMar w:left="500" w:top="603" w:right="500" w:bottom="135" w:gutter="0" w:footer="0" w:header="0"/>
          <w:type w:val="continuous"/>
        </w:sectPr>
      </w:pPr>
    </w:p>
    <w:bookmarkStart w:id="40" w:name="page41"/>
    <w:bookmarkEnd w:id="40"/>
    <w:p>
      <w:pPr>
        <w:ind w:left="7"/>
        <w:spacing w:after="0"/>
        <w:rPr>
          <w:sz w:val="20"/>
          <w:szCs w:val="20"/>
          <w:color w:val="auto"/>
        </w:rPr>
      </w:pPr>
      <w:r>
        <w:rPr>
          <w:rFonts w:ascii="Times New Roman" w:cs="Times New Roman" w:eastAsia="Times New Roman" w:hAnsi="Times New Roman"/>
          <w:sz w:val="17"/>
          <w:szCs w:val="17"/>
          <w:color w:val="auto"/>
        </w:rPr>
        <w:t>financing arrangements, or WMH LLC is otherwise unable to provide such funds, it could materially adversely affect our liquidity and financial condition.</w:t>
      </w:r>
    </w:p>
    <w:p>
      <w:pPr>
        <w:spacing w:after="0" w:line="114"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3"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7"/>
          <w:szCs w:val="17"/>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62"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70" w:lineRule="exact"/>
        <w:rPr>
          <w:sz w:val="20"/>
          <w:szCs w:val="20"/>
          <w:color w:val="auto"/>
        </w:rPr>
      </w:pPr>
    </w:p>
    <w:p>
      <w:pPr>
        <w:jc w:val="both"/>
        <w:ind w:left="7"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43" w:lineRule="exact"/>
        <w:rPr>
          <w:sz w:val="20"/>
          <w:szCs w:val="20"/>
          <w:color w:val="auto"/>
        </w:rPr>
      </w:pPr>
    </w:p>
    <w:p>
      <w:pPr>
        <w:jc w:val="both"/>
        <w:ind w:left="7"/>
        <w:spacing w:after="0" w:line="260" w:lineRule="auto"/>
        <w:rPr>
          <w:sz w:val="20"/>
          <w:szCs w:val="20"/>
          <w:color w:val="auto"/>
        </w:rPr>
      </w:pPr>
      <w:r>
        <w:rPr>
          <w:rFonts w:ascii="Times New Roman" w:cs="Times New Roman" w:eastAsia="Times New Roman" w:hAnsi="Times New Roman"/>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w:t>
      </w:r>
    </w:p>
    <w:p>
      <w:pPr>
        <w:jc w:val="both"/>
        <w:ind w:left="7" w:hanging="7"/>
        <w:spacing w:after="0" w:line="254" w:lineRule="auto"/>
        <w:tabs>
          <w:tab w:leader="none" w:pos="28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75" w:lineRule="exact"/>
        <w:rPr>
          <w:sz w:val="20"/>
          <w:szCs w:val="20"/>
          <w:color w:val="auto"/>
        </w:rPr>
      </w:pPr>
    </w:p>
    <w:p>
      <w:pPr>
        <w:jc w:val="both"/>
        <w:ind w:left="7"/>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43"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7"/>
          <w:szCs w:val="17"/>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593725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593725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7"/>
          </w:cols>
          <w:pgMar w:left="493"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1247"/>
          </w:cols>
          <w:pgMar w:left="493" w:top="500" w:right="500" w:bottom="135" w:gutter="0" w:footer="0" w:header="0"/>
          <w:type w:val="continuous"/>
        </w:sectPr>
      </w:pPr>
    </w:p>
    <w:bookmarkStart w:id="41" w:name="page42"/>
    <w:bookmarkEnd w:id="41"/>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For additional information, see “Management’s Discussion and Analysis of Financial Condition and Results of Operations—Contractual Obligations and Commitments” and See Note 15, “Income Taxes,” to our audited consolidated financial statements included herein.</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cases, payments under the TRA may be accelerated and/or significantly exceed the actual benefits we realize in respect of the tax attributes subject to the TRA.</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2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Risks Related to the Cannabis Industry</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Cannabis, other than hemp (defined by the U.S. government as </w:t>
      </w:r>
      <w:r>
        <w:rPr>
          <w:rFonts w:ascii="Times New Roman" w:cs="Times New Roman" w:eastAsia="Times New Roman" w:hAnsi="Times New Roman"/>
          <w:sz w:val="17"/>
          <w:szCs w:val="17"/>
          <w:i w:val="1"/>
          <w:iCs w:val="1"/>
          <w:color w:val="auto"/>
        </w:rPr>
        <w:t>Cannabis sativa</w:t>
      </w:r>
      <w:r>
        <w:rPr>
          <w:rFonts w:ascii="Times New Roman" w:cs="Times New Roman" w:eastAsia="Times New Roman" w:hAnsi="Times New Roman"/>
          <w:sz w:val="17"/>
          <w:szCs w:val="17"/>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600075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600075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1240"/>
          </w:cols>
          <w:pgMar w:left="500" w:top="603" w:right="500" w:bottom="135" w:gutter="0" w:footer="0" w:header="0"/>
          <w:type w:val="continuous"/>
        </w:sectPr>
      </w:pPr>
    </w:p>
    <w:bookmarkStart w:id="42" w:name="page43"/>
    <w:bookmarkEnd w:id="42"/>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Court has ruled that the federal government has the authority to regulate and criminalize the sale, possession and use of cannabis, even for individual medical purposes, regardless of whether it is legal under state law.</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eight years ago, however, U.S. Attorneys have generally not prioritized the targeting of state law compliant entities.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Joyce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USA vs. McIntosh</w:t>
      </w:r>
      <w:r>
        <w:rPr>
          <w:rFonts w:ascii="Times New Roman" w:cs="Times New Roman" w:eastAsia="Times New Roman" w:hAnsi="Times New Roman"/>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598805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598805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1240"/>
          </w:cols>
          <w:pgMar w:left="500" w:top="603" w:right="500" w:bottom="135" w:gutter="0" w:footer="0" w:header="0"/>
          <w:type w:val="continuous"/>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7"/>
          <w:szCs w:val="17"/>
          <w:color w:val="auto"/>
        </w:rPr>
        <w:t>In the prior administration,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Following the NPRM, DEA issued a notice for a hearing which commenced in November 2023, but the hearing is currently stayed pending an administrative interlocutory appeal. 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If rescheduling does occur, this would be a momentous change whose full implications are currently unknown. The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if cannabis is successfully rescheduled,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although President Trump has appeared supportive of the cannabis industry, his nominees have not offered clear answers on their cannabis stance.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President alone cannot reschedule or legalize medical cannabis, and as states have demonstrated, legalizing cannabis can take many different forms.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U.S. Attorney General Pam Bondi has repeatedly declined to specify her stance on cannabis policy issues, responding to several related questions from senators that she will give “careful consideration after consulting with appropriate Department officials.” She has also avoided specifying her stance on the federal enforcement of cannabis laws. Therefore, key questions remain about how Attorney General Bondi would handle both the rescheduling process and federal enforcement priorities. Despite President Trump's recent support for cannabis rescheduling and ending arrests for personal use, Attorney General Bondi's past record as Florida Attorney General shows opposition to medical cannabis legalization, including defending a ban on smoking medical cannabis in 2018, which has raised concerns among advocates about her approach at the federal level. It is unclear whether the status quo of federal non-enforcement will continue for the foreseeable future; however, increased enforcement would be a marked departure from the prior ten years and inconsistent with President Trump’s purported views on cannabis.</w:t>
      </w:r>
    </w:p>
    <w:p>
      <w:pPr>
        <w:spacing w:after="0" w:line="2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Since the recent election, however, there has also been proposed anti-cannabis legislation, for example, a bill aiming to ensure Section 280E of the Code continues to apply to state cannabis businesses even if cannabis is ultimately rescheduled to schedule III. Nevertheless, the timing of federal reform remains unknown, it is expected that federal policy on cannabis will continue becoming more, rather than less, permissive, including potentially through rescheduling, in 2026.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6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1240"/>
          </w:cols>
          <w:pgMar w:left="500" w:top="603" w:right="500" w:bottom="135" w:gutter="0" w:footer="0" w:header="0"/>
          <w:type w:val="continuous"/>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7"/>
          <w:szCs w:val="17"/>
          <w:color w:val="auto"/>
        </w:rPr>
        <w:t>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Trump’s prior lack of action against cannabis and his current stance on cannabis, can be found in the “U.S. and Territories” section.</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600710</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600710</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1240"/>
          </w:cols>
          <w:pgMar w:left="500" w:top="500" w:right="500" w:bottom="135" w:gutter="0" w:footer="0" w:header="0"/>
          <w:type w:val="continuous"/>
        </w:sectPr>
      </w:pPr>
    </w:p>
    <w:bookmarkStart w:id="45" w:name="page46"/>
    <w:bookmarkEnd w:id="45"/>
    <w:p>
      <w:pPr>
        <w:jc w:val="both"/>
        <w:spacing w:after="0" w:line="270" w:lineRule="auto"/>
        <w:rPr>
          <w:sz w:val="20"/>
          <w:szCs w:val="20"/>
          <w:color w:val="auto"/>
        </w:rPr>
      </w:pPr>
      <w:r>
        <w:rPr>
          <w:rFonts w:ascii="Times New Roman" w:cs="Times New Roman" w:eastAsia="Times New Roman" w:hAnsi="Times New Roman"/>
          <w:sz w:val="17"/>
          <w:szCs w:val="17"/>
          <w:color w:val="auto"/>
        </w:rPr>
        <w:t>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Participating in transactions involving proceeds derived from cannabis may constitute criminal money laundering.</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difficulty using bankruptcy courts due to our involvement in the regulated cannabis industry.</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business.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1240"/>
          </w:cols>
          <w:pgMar w:left="500" w:top="500" w:right="500" w:bottom="135" w:gutter="0" w:footer="0" w:header="0"/>
          <w:type w:val="continuous"/>
        </w:sectPr>
      </w:pPr>
    </w:p>
    <w:bookmarkStart w:id="46" w:name="page47"/>
    <w:bookmarkEnd w:id="46"/>
    <w:p>
      <w:pPr>
        <w:jc w:val="both"/>
        <w:spacing w:after="0" w:line="270" w:lineRule="auto"/>
        <w:rPr>
          <w:sz w:val="20"/>
          <w:szCs w:val="20"/>
          <w:color w:val="auto"/>
        </w:rPr>
      </w:pPr>
      <w:r>
        <w:rPr>
          <w:rFonts w:ascii="Times New Roman" w:cs="Times New Roman" w:eastAsia="Times New Roman" w:hAnsi="Times New Roman"/>
          <w:sz w:val="17"/>
          <w:szCs w:val="17"/>
          <w:color w:val="auto"/>
        </w:rPr>
        <w:t>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regulatory compliance.</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FDA regulation of adult-use and medical-use cannabis, as well as hemp products, e-cigarettes and other vaping products, could negatively affect the cannabis industry, which would directly affect our financial condition.</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Should the federal government legalize cannabis for adult-use and/or medical-use, it is possible that the U.S. Food and Drug Administration (the “FDA”) would seek to regulate it under the Food, Drug and Cosmetics Act of 1938, and Continuing Appropriations and Extensions Act of 2026 (H.R. 5371) (the “2026 Appropriations Act”) ,directed FDA to create regulations relating to hemp products. The FDA may issue rules and regulations including certified good manufacturing practices related to the growth, cultivation, harvesting and processing of hemp, cannabinoids broadly, or following a rescheduling, even adult-use and medical-use cannabis specifically.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Synthetic or hemp-derived products may compete with cannabis use and products.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hemp and pharmaceutical industry may attempt to compete with or dominate the cannabis industry, and in particular, legal cannabis, through the development and distribution of hemp-derived containing intoxicating doses of THC or other cannabinoids (e.g., delta-8-THC) or derivative/synthetic products (e.g., THC-O) which emulate or even magnify the psychoactive effects of cannabis. Since the passage of the Farm Bill over six years ago, the hemp product market, and beverage market, in particular, has exploded – with 2024 sales for all hemp THC products projected to reach $3.5 billion and a path toward $4.4 billion by 2029. However, in November 2025, Congress passed 2026 Appropriations Act, which included a provision (section 781) to amend the definition of hemp in the 2018 Farm Bill to effectively prohibit the currently commercialized hemp-derived THC and full spectrum products, although the change does not become effective for 365 days from the date of enactment. Efforts are underway to repeal, replace, or delay this amendment, but whether any change will occur is uncertain. The December Executive Order directs White House staff to work with Congress to “update the statutory definition” of hemp to allow Americans to access CBD products while permitting Congress to “restrict the sale of products posing serious health risks,” and to consult with relevant executive branch departments to “develop a regulatory framework for hemp-derived cannabinoid products, including development of guidance on an upper limit on milligrams of THC per serving with considerations on per container limits and CBD to THC ratio requirements.” It is unclear how this will be achieved, and whether Congress—which just revised the definition of hemp in the 2026 Appropriations Act—will agree to further changes. All of this regulatory volatility creates significant uncertainty for our hemp and cannabis clients. If such products continue to be successful, the widespread popularity of such products could continue to negatively impact the demand, volume and profitability of the cannabis industry. This could adversely affect the ability of our cannabis clients to secure long-term profitability and success.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Products made with intoxicating cannabinoids from industrial hemp currently have several competitive advantages over similar cannabis derived products. Utilizing the legality of industrial hemp under U.S. federal law, many such products are available for sale through unlicensed channels and are shipped in interstate commerce. Such products are increasingly available direct-to-consumer or at brick and mortar stores such as gas stations and convenience stores (often without age verification or other safeguards). While some states have attempted to prohibit or regulate such products, the requirements are much less onerous than for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cannabis-licensees, and enforcement against manufacturers of such products have been limited. Furthermore,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626745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626745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1240"/>
          </w:cols>
          <w:pgMar w:left="500" w:top="500" w:right="500" w:bottom="135" w:gutter="0" w:footer="0" w:header="0"/>
          <w:type w:val="continuous"/>
        </w:sectPr>
      </w:pPr>
    </w:p>
    <w:bookmarkStart w:id="47" w:name="page48"/>
    <w:bookmarkEnd w:id="47"/>
    <w:p>
      <w:pPr>
        <w:jc w:val="both"/>
        <w:spacing w:after="0" w:line="287" w:lineRule="auto"/>
        <w:rPr>
          <w:sz w:val="20"/>
          <w:szCs w:val="20"/>
          <w:color w:val="auto"/>
        </w:rPr>
      </w:pPr>
      <w:r>
        <w:rPr>
          <w:rFonts w:ascii="Times New Roman" w:cs="Times New Roman" w:eastAsia="Times New Roman" w:hAnsi="Times New Roman"/>
          <w:sz w:val="17"/>
          <w:szCs w:val="17"/>
          <w:color w:val="auto"/>
        </w:rPr>
        <w:t>testing standards are less rigorous or sometimes non-existent, hemp-derived products could have negative health consequences which consumers then generalize to cannabis products.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some hemp companies sell hemp-derived THC products with state authorization. Hemp THC beverages, for example, are now expressly legal in several states, where they can be sold in liquor stores, restaurants and grocery stores. Given the similar intoxicating effects to cannabis-derived THC, which is an illegal substance under the CSA, the ease of acquiring such products,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believe that Section 230(c)(1) of the Communications Decency Act (“CDA”) provides immunity from civil and state criminal liability, but it is possible that it does not, which would subject us to legal, business and operational risks.</w:t>
      </w:r>
    </w:p>
    <w:p>
      <w:pPr>
        <w:spacing w:after="0" w:line="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titled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continue to be subject to constraints on marketing our products.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are subject to unfavorable U.S. tax treatment.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of the Code may have a lesser impact on cannabis cultivation and manufacturing operations than on sales operations, which directly affects our clients, who are cannabis retailers. However, Section 280E of the Code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providers to cannabis businesses may also be subject to unfavorable U.S. tax treatment.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1240"/>
          </w:cols>
          <w:pgMar w:left="500" w:top="603" w:right="500" w:bottom="135" w:gutter="0" w:footer="0" w:header="0"/>
          <w:type w:val="continuous"/>
        </w:sectPr>
      </w:pPr>
    </w:p>
    <w:bookmarkStart w:id="48" w:name="page49"/>
    <w:bookmarkEnd w:id="48"/>
    <w:p>
      <w:pPr>
        <w:jc w:val="both"/>
        <w:spacing w:after="0" w:line="264" w:lineRule="auto"/>
        <w:rPr>
          <w:sz w:val="20"/>
          <w:szCs w:val="20"/>
          <w:color w:val="auto"/>
        </w:rPr>
      </w:pPr>
      <w:r>
        <w:rPr>
          <w:rFonts w:ascii="Times New Roman" w:cs="Times New Roman" w:eastAsia="Times New Roman" w:hAnsi="Times New Roman"/>
          <w:sz w:val="17"/>
          <w:szCs w:val="17"/>
          <w:color w:val="auto"/>
        </w:rPr>
        <w:t>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of the Code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may be subject to civil asset forfeiture.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6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may be difficulty enforcing certain of our commercial agreements and contracts.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directors, officers, employees and investors who are not U.S. citizens may face constraints on cross-border travel into the United States.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warns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598805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598805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1240"/>
          </w:cols>
          <w:pgMar w:left="500" w:top="500" w:right="500" w:bottom="13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Securities</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our affiliates, executive officers, directors and their respective affiliates as a group beneficially own approximately 19.9%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Public statements from investors, including expressions of interest or proposals to purchase our company, may increase the volatility of, or otherwise have an adverse impact on, the market price of our Class A common stock.</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investors or other market participants may make public statements recommending strategies for our company. In some cases, these statements are in the form of expressions of interest or proposals to purchase or acquire our company or significant portions of our stock. While we do not typically comment on or disclose investor recommendations or expressions of interest, any public disclosures made by us or others related to such expressions of interest or proposals could have a material impact on our stock price, even in the absence of any determination by our board of directors to pursue them. Any disclosures related to any offers, communications, or proposals, or the commencement of any litigation related to any such matters, or the withdrawal or modification of such offers, communications, or proposals, could have an adverse effect on the market price of our Class A Common Stock.</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declare any dividends in the foreseeable future.</w:t>
      </w:r>
    </w:p>
    <w:p>
      <w:pPr>
        <w:spacing w:after="0" w:line="12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While the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593725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593725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6"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1240"/>
          </w:cols>
          <w:pgMar w:left="500" w:top="496" w:right="500" w:bottom="135" w:gutter="0" w:footer="0" w:header="0"/>
          <w:type w:val="continuous"/>
        </w:sectPr>
      </w:pPr>
    </w:p>
    <w:bookmarkStart w:id="50" w:name="page51"/>
    <w:bookmarkEnd w:id="50"/>
    <w:p>
      <w:pPr>
        <w:jc w:val="both"/>
        <w:spacing w:after="0" w:line="257" w:lineRule="auto"/>
        <w:rPr>
          <w:sz w:val="20"/>
          <w:szCs w:val="20"/>
          <w:color w:val="auto"/>
        </w:rPr>
      </w:pPr>
      <w:r>
        <w:rPr>
          <w:rFonts w:ascii="Times New Roman" w:cs="Times New Roman" w:eastAsia="Times New Roman" w:hAnsi="Times New Roman"/>
          <w:sz w:val="17"/>
          <w:szCs w:val="17"/>
          <w:color w:val="auto"/>
        </w:rPr>
        <w:t>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to be effective immediately prior to the closing of this offering. This may require significant additional costs associated with resolving such action in other jurisdictions and there can be no assurance that the provisions will be enforced by a court in those other jurisdictions. If a court were to find either exclusive forum provision in our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6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6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48" w:lineRule="exact"/>
        <w:rPr>
          <w:sz w:val="20"/>
          <w:szCs w:val="20"/>
          <w:color w:val="auto"/>
        </w:rPr>
      </w:pPr>
    </w:p>
    <w:p>
      <w:pPr>
        <w:ind w:left="600" w:hanging="298"/>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interests of our investors;</w:t>
      </w:r>
    </w:p>
    <w:p>
      <w:pPr>
        <w:spacing w:after="0" w:line="62" w:lineRule="exact"/>
        <w:rPr>
          <w:rFonts w:ascii="Times New Roman" w:cs="Times New Roman" w:eastAsia="Times New Roman" w:hAnsi="Times New Roman"/>
          <w:sz w:val="17"/>
          <w:szCs w:val="17"/>
          <w:color w:val="auto"/>
        </w:rPr>
      </w:pPr>
    </w:p>
    <w:p>
      <w:pPr>
        <w:ind w:left="620" w:hanging="318"/>
        <w:spacing w:after="0" w:line="284"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subordinate the rights of holders of Class A Common Stock if preferred stock is issued with rights senior to those afforded our Class A Common Stock;</w:t>
      </w:r>
    </w:p>
    <w:p>
      <w:pPr>
        <w:spacing w:after="0" w:line="1" w:lineRule="exact"/>
        <w:rPr>
          <w:rFonts w:ascii="Times New Roman" w:cs="Times New Roman" w:eastAsia="Times New Roman" w:hAnsi="Times New Roman"/>
          <w:sz w:val="17"/>
          <w:szCs w:val="17"/>
          <w:color w:val="auto"/>
        </w:rPr>
      </w:pPr>
    </w:p>
    <w:p>
      <w:pPr>
        <w:jc w:val="both"/>
        <w:ind w:left="620" w:hanging="318"/>
        <w:spacing w:after="0" w:line="270"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cause a change in control if a substantial number of shares of our Class A Common Stock are issued, which may affect, among other things, our ability to use our net operating loss carry forwards, and other tax attributes, if any, and could result in the resignation or removal of our present officers and directors; and</w:t>
      </w:r>
    </w:p>
    <w:p>
      <w:pPr>
        <w:spacing w:after="0" w:line="10"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adversely affect prevailing market prices for our Class A Common Stock and/or Warrants.</w:t>
      </w:r>
    </w:p>
    <w:p>
      <w:pPr>
        <w:spacing w:after="0" w:line="108"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market price of our Class A Common Stock and the Public Warrants have been and may continue to be subject to wide fluctuations in response to numerous factors, many of which are beyond our control, including:</w:t>
      </w:r>
    </w:p>
    <w:p>
      <w:pPr>
        <w:spacing w:after="0" w:line="48" w:lineRule="exact"/>
        <w:rPr>
          <w:sz w:val="20"/>
          <w:szCs w:val="20"/>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condition and operating results;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projected operational and financial results;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and hemp industries;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or conclusion of legal proceedings that involve us;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our competitors;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or services by us or our competitors;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or joint ventures;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capital-raising activities or commitments;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or updated research or reports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594360</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594360</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1240"/>
          </w:cols>
          <w:pgMar w:left="500" w:top="500" w:right="500" w:bottom="135" w:gutter="0" w:footer="0" w:header="0"/>
          <w:type w:val="continuous"/>
        </w:sectPr>
      </w:pPr>
    </w:p>
    <w:bookmarkStart w:id="51" w:name="page52"/>
    <w:bookmarkEnd w:id="51"/>
    <w:p>
      <w:pPr>
        <w:ind w:left="540" w:hanging="238"/>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by investors or analysts of third-party data regarding our business that may not reflect our financial performance;</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securities, including short selling of our securities;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 and</w:t>
      </w:r>
    </w:p>
    <w:p>
      <w:pPr>
        <w:spacing w:after="0" w:line="62" w:lineRule="exact"/>
        <w:rPr>
          <w:rFonts w:ascii="Times New Roman" w:cs="Times New Roman" w:eastAsia="Times New Roman" w:hAnsi="Times New Roman"/>
          <w:sz w:val="17"/>
          <w:szCs w:val="17"/>
          <w:color w:val="auto"/>
        </w:rPr>
      </w:pPr>
    </w:p>
    <w:p>
      <w:pPr>
        <w:ind w:left="540" w:hanging="238"/>
        <w:spacing w:after="0"/>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civil unrest, war, foreign invasions, terrorism, or public health crises, or responses to such events.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7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the past we have not met, and may in the future not comply with, the listing standards of Nasdaq, and as a result our Class A Common Stock may be delisted. Delisting could adversely affect the liquidity of our Class A Common Stock and the market price of our Class A Common Stock could decrease.</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 For example, on February 4, 2026, we received a letter from the Listing Qualifications Department of Nasdaq notifying us that, for the last 30 consecutive trading days, the closing bid price for our Class A Common Stock was below $1.00 per share, (the “Notice”). In accordance with Nasdaq Listing Rule 5810(c)(3)(A), we were provided a compliance period of 180 calendar days from the date of the Notice, or until August 3, 2026, to regain compliance with the minimum closing bid price requirement, which we did, and Nasdaq provided us written confirmation of compliance on December 3, 2024. We received such letters and achieved compliance thrice prior to February 4, 2026, and may again in the future.</w:t>
      </w:r>
    </w:p>
    <w:p>
      <w:pPr>
        <w:spacing w:after="0" w:line="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There can be no assurance that we will remain in compliance with the minimum bid price requirement. In the event that our Class A Common Stock is delisted from Nasdaq as a result of our failure to regain compliance with the minimum closing bid price requirement through the various methods permitted under the Nasdaq rules,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impact of global, regional or local economic and market conditions may adversely affect our business, operating results and financial condition.</w:t>
      </w:r>
    </w:p>
    <w:p>
      <w:pPr>
        <w:spacing w:after="0" w:line="12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1240"/>
          </w:cols>
          <w:pgMar w:left="500" w:top="500" w:right="500" w:bottom="135" w:gutter="0" w:footer="0" w:header="0"/>
          <w:type w:val="continuous"/>
        </w:sectPr>
      </w:pPr>
    </w:p>
    <w:bookmarkStart w:id="52" w:name="page53"/>
    <w:bookmarkEnd w:id="52"/>
    <w:p>
      <w:pPr>
        <w:jc w:val="both"/>
        <w:spacing w:after="0" w:line="264" w:lineRule="auto"/>
        <w:rPr>
          <w:sz w:val="20"/>
          <w:szCs w:val="20"/>
          <w:color w:val="auto"/>
        </w:rPr>
      </w:pPr>
      <w:r>
        <w:rPr>
          <w:rFonts w:ascii="Times New Roman" w:cs="Times New Roman" w:eastAsia="Times New Roman" w:hAnsi="Times New Roman"/>
          <w:sz w:val="17"/>
          <w:szCs w:val="17"/>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requirements of these rules and regulations increase our legal, accounting, and financial compliance costs, make some activities more difficult, time-consuming and costly, and place significant strain on our personnel, systems, and resources. The additional reporting and other obligations imposed by these rules and regulations have increased legal and financial compliance costs and the costs of related legal, accounting and administrative activities. These increased costs require us to divert a significant amount of money that could otherwise be used to expand the business and achieve strategic objectives. In addition, our management and other personnel devote a substantial amount of time to these compliance initiatives, and as such our management’s attention may be diverted from other business concerns, which could harm our business, results of operations, and financial condition.</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if any issues in complying with those requirements are identified (for example, our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In addition,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w:t>
      </w:r>
    </w:p>
    <w:p>
      <w:pPr>
        <w:spacing w:after="0" w:line="7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 addition, it may also be more expensive to obtain director and officer liability insurance. These factors could also make it more difficult for us to attract and retain qualified members of our board of directors, particularly members who can serve on our audit committee and compensation committee, and qualified executive officers. We cannot predict or estimate the amount or timing of additional costs it may incur to respond to these requirements.</w:t>
      </w:r>
    </w:p>
    <w:p>
      <w:pPr>
        <w:spacing w:after="0" w:line="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600075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600075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1240"/>
          </w:cols>
          <w:pgMar w:left="500" w:top="500" w:right="500" w:bottom="135" w:gutter="0" w:footer="0" w:header="0"/>
          <w:type w:val="continuous"/>
        </w:sectPr>
      </w:pPr>
    </w:p>
    <w:bookmarkStart w:id="53" w:name="page54"/>
    <w:bookmarkEnd w:id="53"/>
    <w:p>
      <w:pPr>
        <w:jc w:val="both"/>
        <w:spacing w:after="0" w:line="259" w:lineRule="auto"/>
        <w:rPr>
          <w:sz w:val="20"/>
          <w:szCs w:val="20"/>
          <w:color w:val="auto"/>
        </w:rPr>
      </w:pPr>
      <w:r>
        <w:rPr>
          <w:rFonts w:ascii="Times New Roman" w:cs="Times New Roman" w:eastAsia="Times New Roman" w:hAnsi="Times New Roman"/>
          <w:sz w:val="17"/>
          <w:szCs w:val="17"/>
          <w:color w:val="auto"/>
        </w:rPr>
        <w:t>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2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funds to satisfy indemnification claims of our directors and executive officers.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security team, managed by our Chief Technology Officer (“CTO”) who works with a team of security professionals to help identify, assess and manage our cybersecurity threats and risks. Our security team identifies and assesses risks from cybersecurity threats by monitoring and evaluating our threat environment and our risk profile using various methods including, for example: manual and automated tools; conducting vulnerability scans; penetration tests conducted internally and by third parties; leveraging threat intelligence feeds; reports and services that identify cybersecurity threats; and working with third parties who conduct threat assessments of our platform and APIs.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Depending on the environment, we implement and maintain various technical, physical, and organizational measures, processes, standards and policies designed to manage and mitigate material risks from cybersecurity threats to our systems and data. Our cybersecurity program is informed by recognized industry frameworks and standards and we regularly evaluate our controls and processes against these benchmarks to help ensure the continued effectiveness of our security posture. We use third-party service providers to assist us from time to time with the identification, assessment, and management of material cybersecurity risks. We have a vendor management program designed to manage cybersecurity risks associated with our use of these providers, as well as other third-party suppliers and business partners, which may involve different levels of assessment designed to help identify cybersecurity risks associated with a provider.</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assessment and management of material risks from cybersecurity threats are integrated into our overall risk management processes. Our CTO and our senior management evaluates material risks from cybersecurity threats against our overall business objectives and provide periodic reports to the technology and audit committees of our board of directors, which evaluate our overall enterprise risk.</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For a description of the risks from cybersecurity threats that may materially affect us and how they may do so, see our risk factors under Part 1. Item 1A. Risk Factors in this Annual Report on Form 10-K, including </w:t>
      </w:r>
      <w:r>
        <w:rPr>
          <w:rFonts w:ascii="Times New Roman" w:cs="Times New Roman" w:eastAsia="Times New Roman" w:hAnsi="Times New Roman"/>
          <w:sz w:val="17"/>
          <w:szCs w:val="17"/>
          <w:i w:val="1"/>
          <w:iCs w:val="1"/>
          <w:color w:val="auto"/>
        </w:rPr>
        <w:t>If our information technology systems or those third parties with whom we work, or our data, are or were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compromised, we could experience adverse consequences resulting from such compromise, including but not limited to regulatory investigations or actions; litigation; 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1240"/>
          </w:cols>
          <w:pgMar w:left="500" w:top="500" w:right="500" w:bottom="135" w:gutter="0" w:footer="0" w:header="0"/>
          <w:type w:val="continuous"/>
        </w:sectPr>
      </w:pPr>
    </w:p>
    <w:bookmarkStart w:id="54" w:name="page55"/>
    <w:bookmarkEnd w:id="54"/>
    <w:p>
      <w:pPr>
        <w:ind w:right="200"/>
        <w:spacing w:after="0" w:line="382" w:lineRule="auto"/>
        <w:rPr>
          <w:sz w:val="20"/>
          <w:szCs w:val="20"/>
          <w:color w:val="auto"/>
        </w:rPr>
      </w:pPr>
      <w:r>
        <w:rPr>
          <w:rFonts w:ascii="Times New Roman" w:cs="Times New Roman" w:eastAsia="Times New Roman" w:hAnsi="Times New Roman"/>
          <w:sz w:val="17"/>
          <w:szCs w:val="17"/>
          <w:i w:val="1"/>
          <w:iCs w:val="1"/>
          <w:color w:val="auto"/>
        </w:rPr>
        <w:t>and penalties; disruptions of our business operations; reputational harm; loss of revenue or profits; loss of customers or sales; and other adverse consequences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Governance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and technology committee of our board of directors are responsible for overseeing our cybersecurity risk management processes, including oversight and mitigation of risks from cybersecurity threats. Management is responsible for identifying, assessing, and managing material cybersecurity risks on an ongoing basis, establishing processes to ensure that such potential cybersecurity risk exposures are monitored, putting in place appropriate mitigation measures, maintaining cybersecurity policies and procedures, and providing regular reports to our board of directors. We also maintain a security awareness training program designed to educate employees on cybersecurity risks, social engineering threats, and their role in safeguarding company systems and data.</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certain members of our security team, led by our CTO. Our CTO has over 15 years of experience in engineering, development and information security, including leadership roles overseeing enterprise security programs, compliance initiatives, and risk management across regulated industries. Our CTO is supported by a dedicated security team whose members collectively hold over 40 years of experience in information security, including expertise in threat detection, incident response, vulnerability management, and regulatory compliance.</w:t>
      </w:r>
    </w:p>
    <w:p>
      <w:pPr>
        <w:spacing w:after="0" w:line="27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Our cybersecurity incident response and vulnerability management plans are designed to escalate certain cybersecurity incidents to members of leadership depending on the circumstances. In these situations, members of our leadership team work with our incident response team to help us evaluate, mitigate and remediate cybersecurity incidents of which they are notified. In addition, our incident response and vulnerability management plans include reporting to the Audit Committee (who may consult with our technology committee) for certain cybersecurity incidents.</w:t>
      </w:r>
    </w:p>
    <w:p>
      <w:pPr>
        <w:spacing w:after="0" w:line="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Our technology committee receives periodic reports from our security team concerning our significant cybersecurity threats and risk and the processes we have implemented to address them.</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We currently maintain our executive offices and headquarters at 41 Discovery, Irvine, California 92618, pursuant to an operating lease that expires in 2030. We also have office spaces in Los Angeles, California and Austin, Texas.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consider our current office space adequate to meet our ongoing needs. However, from time to time we may evaluate additional or substitute office spaces. We believe that we will be able to obtain additional facilities, as needed, on commercially reasonable terms.</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set forth under "Commitment and Contingencies—Litigation" in Note 6 to our consolidated financial statements included in Part II, Item 8 of this Annual Report on Form 10-K is incorporated by reference into this Item 3.</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626745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626745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1240"/>
          </w:cols>
          <w:pgMar w:left="500" w:top="599" w:right="500" w:bottom="135"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Class A Common Stock and Public Warrants are currently listed on Nasdaq under the symbols “MAPS” and “MAPSW”, respectively. As of March 5, 2026, there were 111,187,614 shares of Class A Common Stock issued and outstanding and 47,852,652 shares of our Class V common stock (the “Class V Common Stock”) issued and outstanding. No market exists for the Class V Common Stock.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5, 2026, there were 90 holders of record of our Class A Common Stock, 11 holders of record of our Class V Common Stock and 2 holders of record of our Public Warrants.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our equity compensation plans in Item 12 of Part III of this Annual Report on Form 10-K is incorporated herein by reference.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 from Registered Offerings</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There have been no recent sales of unregistered securities for the years ended December 31, 2025 and December 31, 2024 that would be required to be disclosed pursuant to Item 701 of Regulation S-K.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11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WM Technology, Inc. should be read in conjunction with our consolidated financial statements and related notes included in this Annual Report on Form 10-K,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“Item 1A. Risk Factors” and included herein.</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years ended December 31, 2025 and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2025 Financial Highlights</w:t>
      </w:r>
    </w:p>
    <w:p>
      <w:pPr>
        <w:spacing w:after="0" w:line="138" w:lineRule="exact"/>
        <w:rPr>
          <w:sz w:val="20"/>
          <w:szCs w:val="20"/>
          <w:color w:val="auto"/>
        </w:rPr>
      </w:pPr>
    </w:p>
    <w:p>
      <w:pPr>
        <w:ind w:left="600" w:hanging="298"/>
        <w:spacing w:after="0"/>
        <w:tabs>
          <w:tab w:leader="none" w:pos="600" w:val="left"/>
        </w:tabs>
        <w:numPr>
          <w:ilvl w:val="0"/>
          <w:numId w:val="33"/>
        </w:numPr>
        <w:rPr>
          <w:rFonts w:ascii="Arial" w:cs="Arial" w:eastAsia="Arial" w:hAnsi="Arial"/>
          <w:sz w:val="21"/>
          <w:szCs w:val="21"/>
          <w:b w:val="1"/>
          <w:bCs w:val="1"/>
          <w:color w:val="auto"/>
        </w:rPr>
      </w:pPr>
      <w:r>
        <w:rPr>
          <w:rFonts w:ascii="Times New Roman" w:cs="Times New Roman" w:eastAsia="Times New Roman" w:hAnsi="Times New Roman"/>
          <w:sz w:val="17"/>
          <w:szCs w:val="17"/>
          <w:color w:val="auto"/>
        </w:rPr>
        <w:t>Revenues were $174.7 million as compared to $184.5 million in the prior year.</w:t>
      </w:r>
    </w:p>
    <w:p>
      <w:pPr>
        <w:spacing w:after="0" w:line="34" w:lineRule="exact"/>
        <w:rPr>
          <w:rFonts w:ascii="Arial" w:cs="Arial" w:eastAsia="Arial" w:hAnsi="Arial"/>
          <w:sz w:val="21"/>
          <w:szCs w:val="21"/>
          <w:b w:val="1"/>
          <w:bCs w:val="1"/>
          <w:color w:val="auto"/>
        </w:rPr>
      </w:pPr>
    </w:p>
    <w:p>
      <w:pPr>
        <w:ind w:left="600" w:hanging="298"/>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paying clients was 5,190, as compared to 5,077 in the prior year.</w:t>
      </w:r>
    </w:p>
    <w:p>
      <w:pPr>
        <w:spacing w:after="0" w:line="6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revenues per paying client was $2,805, as compared to $3,029 in the prior year.</w:t>
      </w:r>
    </w:p>
    <w:p>
      <w:pPr>
        <w:spacing w:after="0" w:line="82"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Net income was $3.3 million as compared to $12.2 million in the prior year.</w:t>
      </w:r>
    </w:p>
    <w:p>
      <w:pPr>
        <w:spacing w:after="0" w:line="34" w:lineRule="exact"/>
        <w:rPr>
          <w:rFonts w:ascii="Times New Roman" w:cs="Times New Roman" w:eastAsia="Times New Roman" w:hAnsi="Times New Roman"/>
          <w:sz w:val="21"/>
          <w:szCs w:val="21"/>
          <w:color w:val="auto"/>
        </w:rPr>
      </w:pPr>
    </w:p>
    <w:p>
      <w:pPr>
        <w:ind w:left="600" w:hanging="298"/>
        <w:spacing w:after="0"/>
        <w:tabs>
          <w:tab w:leader="none" w:pos="6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Adjusted EBITDA was $39.8 million as compared to Adjusted EBITDA of $42.9 million in the prior year.</w:t>
      </w:r>
    </w:p>
    <w:p>
      <w:pPr>
        <w:spacing w:after="0" w:line="62" w:lineRule="exact"/>
        <w:rPr>
          <w:rFonts w:ascii="Times New Roman" w:cs="Times New Roman" w:eastAsia="Times New Roman" w:hAnsi="Times New Roman"/>
          <w:sz w:val="17"/>
          <w:szCs w:val="17"/>
          <w:b w:val="1"/>
          <w:bCs w:val="1"/>
          <w:color w:val="auto"/>
        </w:rPr>
      </w:pPr>
    </w:p>
    <w:p>
      <w:pPr>
        <w:ind w:left="600" w:hanging="298"/>
        <w:spacing w:after="0"/>
        <w:tabs>
          <w:tab w:leader="none" w:pos="6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and cash equivalents totaled $62.4 million as of December 31, 2025, with no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659765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659765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702"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1240"/>
          </w:cols>
          <w:pgMar w:left="500" w:top="702" w:right="500" w:bottom="135" w:gutter="0" w:footer="0" w:header="0"/>
          <w:type w:val="continuous"/>
        </w:sectPr>
      </w:pPr>
    </w:p>
    <w:bookmarkStart w:id="56" w:name="page57"/>
    <w:bookmarkEnd w:id="56"/>
    <w:p>
      <w:pPr>
        <w:jc w:val="both"/>
        <w:spacing w:after="0" w:line="287" w:lineRule="auto"/>
        <w:rPr>
          <w:sz w:val="20"/>
          <w:szCs w:val="20"/>
          <w:color w:val="auto"/>
        </w:rPr>
      </w:pPr>
      <w:r>
        <w:rPr>
          <w:rFonts w:ascii="Times New Roman" w:cs="Times New Roman" w:eastAsia="Times New Roman" w:hAnsi="Times New Roman"/>
          <w:sz w:val="17"/>
          <w:szCs w:val="17"/>
          <w:color w:val="auto"/>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5,190 average monthly paying clients during the year ended December 31, 2025, on the supply-side of our marketplace. These paying clients include retailers, brands and other client types (such as doctors). Further, these clients, who can choose to purchase multiple listings solutions for each business, had purchased approximately 8,100 active listing pages as of December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December 31, 2025,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598805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598805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1240"/>
          </w:cols>
          <w:pgMar w:left="500" w:top="500" w:right="500" w:bottom="135" w:gutter="0" w:footer="0" w:header="0"/>
          <w:type w:val="continuous"/>
        </w:sectPr>
      </w:pPr>
    </w:p>
    <w:bookmarkStart w:id="57" w:name="page58"/>
    <w:bookmarkEnd w:id="57"/>
    <w:p>
      <w:pPr>
        <w:ind w:left="7"/>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118"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 The following table summarizes our financial performance for the year ended December 31, 2025 compared to our financial performance for the year ended December 31, 2024. For a detailed discussion of our results of operations, see “Results of Operations” below.</w:t>
      </w:r>
    </w:p>
    <w:p>
      <w:pPr>
        <w:spacing w:after="0" w:line="207"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right"/>
              <w:ind w:right="1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80" w:type="dxa"/>
            <w:vAlign w:val="bottom"/>
            <w:tcBorders>
              <w:bottom w:val="single" w:sz="8" w:color="auto"/>
            </w:tcBorders>
          </w:tcPr>
          <w:p>
            <w:pPr>
              <w:spacing w:after="0"/>
              <w:rPr>
                <w:sz w:val="19"/>
                <w:szCs w:val="19"/>
                <w:color w:val="auto"/>
              </w:rPr>
            </w:pPr>
          </w:p>
        </w:tc>
      </w:tr>
      <w:tr>
        <w:trPr>
          <w:trHeight w:val="215"/>
        </w:trPr>
        <w:tc>
          <w:tcPr>
            <w:tcW w:w="5480" w:type="dxa"/>
            <w:vAlign w:val="bottom"/>
          </w:tcPr>
          <w:p>
            <w:pPr>
              <w:spacing w:after="0"/>
              <w:rPr>
                <w:sz w:val="18"/>
                <w:szCs w:val="18"/>
                <w:color w:val="auto"/>
              </w:rPr>
            </w:pPr>
          </w:p>
        </w:tc>
        <w:tc>
          <w:tcPr>
            <w:tcW w:w="1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r>
      <w:tr>
        <w:trPr>
          <w:trHeight w:val="212"/>
        </w:trPr>
        <w:tc>
          <w:tcPr>
            <w:tcW w:w="5480" w:type="dxa"/>
            <w:vAlign w:val="bottom"/>
          </w:tcPr>
          <w:p>
            <w:pPr>
              <w:spacing w:after="0"/>
              <w:rPr>
                <w:sz w:val="18"/>
                <w:szCs w:val="18"/>
                <w:color w:val="auto"/>
              </w:rPr>
            </w:pPr>
          </w:p>
        </w:tc>
        <w:tc>
          <w:tcPr>
            <w:tcW w:w="50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(dollars in thousands, except for revenue per paying client)</w:t>
            </w:r>
          </w:p>
        </w:tc>
        <w:tc>
          <w:tcPr>
            <w:tcW w:w="680" w:type="dxa"/>
            <w:vAlign w:val="bottom"/>
          </w:tcPr>
          <w:p>
            <w:pPr>
              <w:spacing w:after="0"/>
              <w:rPr>
                <w:sz w:val="18"/>
                <w:szCs w:val="18"/>
                <w:color w:val="auto"/>
              </w:rPr>
            </w:pPr>
          </w:p>
        </w:tc>
      </w:tr>
      <w:tr>
        <w:trPr>
          <w:trHeight w:val="219"/>
        </w:trPr>
        <w:tc>
          <w:tcPr>
            <w:tcW w:w="548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Revenues</w:t>
            </w:r>
          </w:p>
        </w:tc>
        <w:tc>
          <w:tcPr>
            <w:tcW w:w="1740" w:type="dxa"/>
            <w:vAlign w:val="bottom"/>
            <w:shd w:val="clear" w:color="auto" w:fill="DDDDDD"/>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174,704</w:t>
            </w:r>
          </w:p>
        </w:tc>
        <w:tc>
          <w:tcPr>
            <w:tcW w:w="2240" w:type="dxa"/>
            <w:vAlign w:val="bottom"/>
            <w:shd w:val="clear" w:color="auto" w:fill="DDDDDD"/>
          </w:tcPr>
          <w:p>
            <w:pPr>
              <w:jc w:val="right"/>
              <w:ind w:right="1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184,514</w:t>
            </w: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2240" w:type="dxa"/>
            <w:vAlign w:val="bottom"/>
          </w:tcPr>
          <w:p>
            <w:pPr>
              <w:jc w:val="right"/>
              <w:ind w:right="1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12,187</w:t>
            </w:r>
          </w:p>
        </w:tc>
      </w:tr>
      <w:tr>
        <w:trPr>
          <w:trHeight w:val="322"/>
        </w:trPr>
        <w:tc>
          <w:tcPr>
            <w:tcW w:w="54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2"/>
                <w:szCs w:val="22"/>
                <w:color w:val="auto"/>
                <w:vertAlign w:val="superscript"/>
              </w:rPr>
              <w:t>(1)</w:t>
            </w:r>
          </w:p>
        </w:tc>
        <w:tc>
          <w:tcPr>
            <w:tcW w:w="1740" w:type="dxa"/>
            <w:vAlign w:val="bottom"/>
            <w:shd w:val="clear" w:color="auto" w:fill="DDDDDD"/>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14,951</w:t>
            </w:r>
          </w:p>
        </w:tc>
        <w:tc>
          <w:tcPr>
            <w:tcW w:w="2240" w:type="dxa"/>
            <w:vAlign w:val="bottom"/>
            <w:shd w:val="clear" w:color="auto" w:fill="DDDDDD"/>
          </w:tcPr>
          <w:p>
            <w:pPr>
              <w:jc w:val="right"/>
              <w:ind w:right="1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25,089</w:t>
            </w:r>
          </w:p>
        </w:tc>
      </w:tr>
      <w:tr>
        <w:trPr>
          <w:trHeight w:val="322"/>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740" w:type="dxa"/>
            <w:vAlign w:val="bottom"/>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39,847</w:t>
            </w:r>
          </w:p>
        </w:tc>
        <w:tc>
          <w:tcPr>
            <w:tcW w:w="2240" w:type="dxa"/>
            <w:vAlign w:val="bottom"/>
          </w:tcPr>
          <w:p>
            <w:pPr>
              <w:jc w:val="right"/>
              <w:ind w:right="1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42,919</w:t>
            </w:r>
          </w:p>
        </w:tc>
      </w:tr>
      <w:tr>
        <w:trPr>
          <w:trHeight w:val="322"/>
        </w:trPr>
        <w:tc>
          <w:tcPr>
            <w:tcW w:w="54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Average monthly revenues per paying client</w:t>
            </w:r>
            <w:r>
              <w:rPr>
                <w:rFonts w:ascii="Times New Roman" w:cs="Times New Roman" w:eastAsia="Times New Roman" w:hAnsi="Times New Roman"/>
                <w:sz w:val="22"/>
                <w:szCs w:val="22"/>
                <w:color w:val="auto"/>
                <w:vertAlign w:val="superscript"/>
              </w:rPr>
              <w:t>(2)</w:t>
            </w:r>
          </w:p>
        </w:tc>
        <w:tc>
          <w:tcPr>
            <w:tcW w:w="1740" w:type="dxa"/>
            <w:vAlign w:val="bottom"/>
            <w:shd w:val="clear" w:color="auto" w:fill="DDDDDD"/>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2,805</w:t>
            </w:r>
          </w:p>
        </w:tc>
        <w:tc>
          <w:tcPr>
            <w:tcW w:w="2240" w:type="dxa"/>
            <w:vAlign w:val="bottom"/>
            <w:shd w:val="clear" w:color="auto" w:fill="DDDDDD"/>
          </w:tcPr>
          <w:p>
            <w:pPr>
              <w:jc w:val="right"/>
              <w:ind w:right="1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3,029</w:t>
            </w:r>
          </w:p>
        </w:tc>
      </w:tr>
      <w:tr>
        <w:trPr>
          <w:trHeight w:val="371"/>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r>
              <w:rPr>
                <w:rFonts w:ascii="Times New Roman" w:cs="Times New Roman" w:eastAsia="Times New Roman" w:hAnsi="Times New Roman"/>
                <w:sz w:val="22"/>
                <w:szCs w:val="22"/>
                <w:color w:val="auto"/>
                <w:vertAlign w:val="superscript"/>
              </w:rPr>
              <w:t>(3)</w:t>
            </w:r>
          </w:p>
        </w:tc>
        <w:tc>
          <w:tcPr>
            <w:tcW w:w="17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5,190</w:t>
            </w:r>
          </w:p>
        </w:tc>
        <w:tc>
          <w:tcPr>
            <w:tcW w:w="2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5,077</w:t>
            </w: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ind w:left="307" w:right="20" w:hanging="307"/>
        <w:spacing w:after="0" w:line="253" w:lineRule="auto"/>
        <w:tabs>
          <w:tab w:leader="none" w:pos="30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ind w:left="307" w:right="20" w:hanging="307"/>
        <w:spacing w:after="0" w:line="260" w:lineRule="auto"/>
        <w:tabs>
          <w:tab w:leader="none" w:pos="30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revenues per paying client is defined as the average monthly revenues for any particular period divided by the average monthly paying clients in the same respective period.</w:t>
      </w:r>
    </w:p>
    <w:p>
      <w:pPr>
        <w:ind w:left="307" w:hanging="307"/>
        <w:spacing w:after="0"/>
        <w:tabs>
          <w:tab w:leader="none" w:pos="30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paying clients are defined as the average of the number of paying clients billed in a month across a particular period (and for which services were provided).</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Revenues Per Paying Client</w:t>
      </w:r>
    </w:p>
    <w:p>
      <w:pPr>
        <w:spacing w:after="0" w:line="68" w:lineRule="exact"/>
        <w:rPr>
          <w:sz w:val="20"/>
          <w:szCs w:val="20"/>
          <w:color w:val="auto"/>
        </w:rPr>
      </w:pPr>
    </w:p>
    <w:p>
      <w:pPr>
        <w:jc w:val="both"/>
        <w:ind w:left="7"/>
        <w:spacing w:after="0" w:line="260" w:lineRule="auto"/>
        <w:rPr>
          <w:sz w:val="20"/>
          <w:szCs w:val="20"/>
          <w:color w:val="auto"/>
        </w:rPr>
      </w:pPr>
      <w:r>
        <w:rPr>
          <w:rFonts w:ascii="Times New Roman" w:cs="Times New Roman" w:eastAsia="Times New Roman" w:hAnsi="Times New Roman"/>
          <w:sz w:val="17"/>
          <w:szCs w:val="17"/>
          <w:color w:val="auto"/>
        </w:rPr>
        <w:t>Average monthly revenues per paying client measures how much clients, for the period of measurement, are willing to pay us for our subscription and additional offerings and the efficiency of the bid-auction process for our featured listings placements (“Featured Listings”). We calculate this metric by dividing the average monthly revenues for any particular period by the average monthly number of paying clients in the same respective period. The decrease in our average monthly revenues per paying client for the year ended December 31, 2025 compared to 2024 was primarily due to spend declines in established markets driven by continued industry challenges, such as price deflation and ongoing consolidation. In addition, new clients acquired across certain markets had lower levels of average spend.</w:t>
      </w:r>
    </w:p>
    <w:p>
      <w:pPr>
        <w:spacing w:after="0" w:line="3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Paying Clients</w:t>
      </w:r>
    </w:p>
    <w:p>
      <w:pPr>
        <w:spacing w:after="0" w:line="120"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278"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7"/>
          <w:szCs w:val="17"/>
          <w:color w:val="auto"/>
        </w:rPr>
        <w:t>Average monthly paying clients for the year ended December 31, 2025 increased by approximately 2% to 5,190 average monthly paying clients from 5,077 average monthly paying clients in the same period in 2024. The increase in average monthly paying clients in 2025 as compared to 2024 was primarily due to new client acquisitions across certain developing markets, partially offset by a churn in more established markets.</w:t>
      </w:r>
    </w:p>
    <w:p>
      <w:pPr>
        <w:spacing w:after="0" w:line="5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i w:val="1"/>
          <w:iCs w:val="1"/>
          <w:color w:val="auto"/>
        </w:rPr>
        <w:t>Net Income to EBITDA and Adjusted EBITDA</w:t>
      </w:r>
    </w:p>
    <w:p>
      <w:pPr>
        <w:spacing w:after="0" w:line="118" w:lineRule="exact"/>
        <w:rPr>
          <w:sz w:val="20"/>
          <w:szCs w:val="20"/>
          <w:color w:val="auto"/>
        </w:rPr>
      </w:pPr>
    </w:p>
    <w:p>
      <w:pPr>
        <w:jc w:val="both"/>
        <w:ind w:left="7" w:right="20"/>
        <w:spacing w:after="0" w:line="287" w:lineRule="auto"/>
        <w:rPr>
          <w:sz w:val="20"/>
          <w:szCs w:val="20"/>
          <w:color w:val="auto"/>
        </w:rPr>
      </w:pPr>
      <w:r>
        <w:rPr>
          <w:rFonts w:ascii="Times New Roman" w:cs="Times New Roman" w:eastAsia="Times New Roman" w:hAnsi="Times New Roman"/>
          <w:sz w:val="17"/>
          <w:szCs w:val="17"/>
          <w:color w:val="auto"/>
        </w:rPr>
        <w:t>Our financial statements, including net income, are prepared in accordance with GAAP. For more information regarding the components within our net income, see “Components of Our Results of Operations” below.</w:t>
      </w:r>
    </w:p>
    <w:p>
      <w:pPr>
        <w:spacing w:after="0" w:line="48" w:lineRule="exact"/>
        <w:rPr>
          <w:sz w:val="20"/>
          <w:szCs w:val="20"/>
          <w:color w:val="auto"/>
        </w:rPr>
      </w:pPr>
    </w:p>
    <w:p>
      <w:pPr>
        <w:jc w:val="both"/>
        <w:ind w:left="7"/>
        <w:spacing w:after="0" w:line="264" w:lineRule="auto"/>
        <w:rPr>
          <w:sz w:val="20"/>
          <w:szCs w:val="20"/>
          <w:color w:val="auto"/>
        </w:rPr>
      </w:pPr>
      <w:r>
        <w:rPr>
          <w:rFonts w:ascii="Times New Roman" w:cs="Times New Roman" w:eastAsia="Times New Roman" w:hAnsi="Times New Roman"/>
          <w:sz w:val="17"/>
          <w:szCs w:val="17"/>
          <w:color w:val="auto"/>
        </w:rPr>
        <w:t>Net income for the year ended December 31, 2025 was $3.3 million compared with a net income of $12.2 million for the year ended December 31, 2024. The decrease in net income of $8.9 million was primarily due to a decrease in revenues of $9.8 million and an increase in total costs and expenses of $4.2 million, partially offset by change in TRA liability of $3.1 million resulting from the remeasurement of the TRA liability, change in fair value of warrant liability of $0.4 million and an increase in other income of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532130</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532130</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7"/>
          </w:cols>
          <w:pgMar w:left="493"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1247"/>
          </w:cols>
          <w:pgMar w:left="493" w:top="599" w:right="500" w:bottom="135" w:gutter="0" w:footer="0" w:header="0"/>
          <w:type w:val="continuous"/>
        </w:sectPr>
      </w:pPr>
    </w:p>
    <w:bookmarkStart w:id="58" w:name="page59"/>
    <w:bookmarkEnd w:id="58"/>
    <w:p>
      <w:pPr>
        <w:jc w:val="both"/>
        <w:ind w:left="7" w:right="20"/>
        <w:spacing w:after="0" w:line="261"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loss contingency, asset impairment charges, reduction in force, change in the TRA liability and other non-cash, unusual and/or infrequent costs in the case of Adjusted EBITDA. Below we have provided a reconciliation of net income (the most directly comparable GAAP financial measure) to EBITDA; and from EBITDA to Adjusted EBITDA.</w:t>
      </w:r>
    </w:p>
    <w:p>
      <w:pPr>
        <w:spacing w:after="0" w:line="72"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7"/>
          <w:szCs w:val="17"/>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62" w:lineRule="exact"/>
        <w:rPr>
          <w:sz w:val="20"/>
          <w:szCs w:val="20"/>
          <w:color w:val="auto"/>
        </w:rPr>
      </w:pPr>
    </w:p>
    <w:p>
      <w:pPr>
        <w:jc w:val="both"/>
        <w:ind w:left="7" w:right="20"/>
        <w:spacing w:after="0" w:line="287" w:lineRule="auto"/>
        <w:rPr>
          <w:sz w:val="20"/>
          <w:szCs w:val="20"/>
          <w:color w:val="auto"/>
        </w:rPr>
      </w:pPr>
      <w:r>
        <w:rPr>
          <w:rFonts w:ascii="Times New Roman" w:cs="Times New Roman" w:eastAsia="Times New Roman" w:hAnsi="Times New Roman"/>
          <w:sz w:val="17"/>
          <w:szCs w:val="17"/>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48" w:lineRule="exact"/>
        <w:rPr>
          <w:sz w:val="20"/>
          <w:szCs w:val="20"/>
          <w:color w:val="auto"/>
        </w:rPr>
      </w:pPr>
    </w:p>
    <w:p>
      <w:pPr>
        <w:ind w:left="627" w:right="20" w:hanging="318"/>
        <w:spacing w:after="0" w:line="284" w:lineRule="auto"/>
        <w:tabs>
          <w:tab w:leader="none" w:pos="62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 w:lineRule="exact"/>
        <w:rPr>
          <w:rFonts w:ascii="Times New Roman" w:cs="Times New Roman" w:eastAsia="Times New Roman" w:hAnsi="Times New Roman"/>
          <w:sz w:val="17"/>
          <w:szCs w:val="17"/>
          <w:color w:val="auto"/>
        </w:rPr>
      </w:pPr>
    </w:p>
    <w:p>
      <w:pPr>
        <w:ind w:left="607" w:hanging="298"/>
        <w:spacing w:after="0"/>
        <w:tabs>
          <w:tab w:leader="none" w:pos="60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changes in, or cash requirements for, our working capital needs; and</w:t>
      </w:r>
    </w:p>
    <w:p>
      <w:pPr>
        <w:spacing w:after="0" w:line="62" w:lineRule="exact"/>
        <w:rPr>
          <w:rFonts w:ascii="Times New Roman" w:cs="Times New Roman" w:eastAsia="Times New Roman" w:hAnsi="Times New Roman"/>
          <w:sz w:val="17"/>
          <w:szCs w:val="17"/>
          <w:color w:val="auto"/>
        </w:rPr>
      </w:pPr>
    </w:p>
    <w:p>
      <w:pPr>
        <w:ind w:left="607" w:hanging="298"/>
        <w:spacing w:after="0"/>
        <w:tabs>
          <w:tab w:leader="none" w:pos="60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tax payments that may represent a reduction in cash available to us.</w:t>
      </w:r>
    </w:p>
    <w:p>
      <w:pPr>
        <w:spacing w:after="0" w:line="114" w:lineRule="exact"/>
        <w:rPr>
          <w:sz w:val="20"/>
          <w:szCs w:val="20"/>
          <w:color w:val="auto"/>
        </w:rPr>
      </w:pPr>
    </w:p>
    <w:p>
      <w:pPr>
        <w:ind w:left="7"/>
        <w:spacing w:after="0" w:line="287" w:lineRule="auto"/>
        <w:rPr>
          <w:sz w:val="20"/>
          <w:szCs w:val="20"/>
          <w:color w:val="auto"/>
        </w:rPr>
      </w:pPr>
      <w:r>
        <w:rPr>
          <w:rFonts w:ascii="Times New Roman" w:cs="Times New Roman" w:eastAsia="Times New Roman" w:hAnsi="Times New Roman"/>
          <w:sz w:val="17"/>
          <w:szCs w:val="17"/>
          <w:color w:val="auto"/>
        </w:rPr>
        <w:t>Because of these limitations, you should consider EBITDA and Adjusted EBITDA alongside other financial performance measures, including net income and our other GAAP results.</w:t>
      </w:r>
    </w:p>
    <w:p>
      <w:pPr>
        <w:spacing w:after="0" w:line="48"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A reconciliation of net income to non-GAAP EBITDA and Adjusted EBITDA is as follows:</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51"/>
        </w:trPr>
        <w:tc>
          <w:tcPr>
            <w:tcW w:w="744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60" w:type="dxa"/>
            <w:vAlign w:val="bottom"/>
            <w:tcBorders>
              <w:bottom w:val="single" w:sz="8" w:color="auto"/>
            </w:tcBorders>
          </w:tcPr>
          <w:p>
            <w:pPr>
              <w:spacing w:after="0"/>
              <w:rPr>
                <w:sz w:val="24"/>
                <w:szCs w:val="24"/>
                <w:color w:val="auto"/>
              </w:rPr>
            </w:pPr>
          </w:p>
        </w:tc>
      </w:tr>
      <w:tr>
        <w:trPr>
          <w:trHeight w:val="215"/>
        </w:trPr>
        <w:tc>
          <w:tcPr>
            <w:tcW w:w="7440" w:type="dxa"/>
            <w:vAlign w:val="bottom"/>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8"/>
                <w:szCs w:val="18"/>
                <w:color w:val="auto"/>
              </w:rPr>
            </w:pPr>
          </w:p>
        </w:tc>
      </w:tr>
      <w:tr>
        <w:trPr>
          <w:trHeight w:val="212"/>
        </w:trPr>
        <w:tc>
          <w:tcPr>
            <w:tcW w:w="7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gridSpan w:val="3"/>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660" w:type="dxa"/>
            <w:vAlign w:val="bottom"/>
          </w:tcPr>
          <w:p>
            <w:pPr>
              <w:spacing w:after="0"/>
              <w:rPr>
                <w:sz w:val="18"/>
                <w:szCs w:val="18"/>
                <w:color w:val="auto"/>
              </w:rPr>
            </w:pPr>
          </w:p>
        </w:tc>
      </w:tr>
      <w:tr>
        <w:trPr>
          <w:trHeight w:val="219"/>
        </w:trPr>
        <w:tc>
          <w:tcPr>
            <w:tcW w:w="74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shd w:val="clear" w:color="auto" w:fill="DDDDDD"/>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12,187</w:t>
            </w:r>
          </w:p>
        </w:tc>
      </w:tr>
      <w:tr>
        <w:trPr>
          <w:trHeight w:val="219"/>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74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20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13,394</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13,278</w:t>
            </w:r>
          </w:p>
        </w:tc>
      </w:tr>
      <w:tr>
        <w:trPr>
          <w:trHeight w:val="219"/>
        </w:trPr>
        <w:tc>
          <w:tcPr>
            <w:tcW w:w="744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100" w:type="dxa"/>
            <w:vAlign w:val="bottom"/>
            <w:tcBorders>
              <w:bottom w:val="single" w:sz="8" w:color="DDDDDD"/>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12"/>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2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14,951</w:t>
            </w:r>
          </w:p>
        </w:tc>
        <w:tc>
          <w:tcPr>
            <w:tcW w:w="10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25,089</w:t>
            </w:r>
          </w:p>
        </w:tc>
      </w:tr>
      <w:tr>
        <w:trPr>
          <w:trHeight w:val="219"/>
        </w:trPr>
        <w:tc>
          <w:tcPr>
            <w:tcW w:w="7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9,221</w:t>
            </w:r>
          </w:p>
        </w:tc>
      </w:tr>
      <w:tr>
        <w:trPr>
          <w:trHeight w:val="219"/>
        </w:trPr>
        <w:tc>
          <w:tcPr>
            <w:tcW w:w="74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20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Pr>
          <w:p>
            <w:pPr>
              <w:ind w:left="160"/>
              <w:spacing w:after="0" w:line="219" w:lineRule="exact"/>
              <w:rPr>
                <w:sz w:val="20"/>
                <w:szCs w:val="20"/>
                <w:color w:val="auto"/>
              </w:rPr>
            </w:pPr>
            <w:r>
              <w:rPr>
                <w:rFonts w:ascii="Times New Roman" w:cs="Times New Roman" w:eastAsia="Times New Roman" w:hAnsi="Times New Roman"/>
                <w:sz w:val="17"/>
                <w:szCs w:val="17"/>
                <w:color w:val="auto"/>
              </w:rPr>
              <w:t>Loss Contingency</w:t>
            </w:r>
            <w:r>
              <w:rPr>
                <w:rFonts w:ascii="Times New Roman" w:cs="Times New Roman" w:eastAsia="Times New Roman" w:hAnsi="Times New Roman"/>
                <w:sz w:val="22"/>
                <w:szCs w:val="22"/>
                <w:color w:val="auto"/>
                <w:vertAlign w:val="superscript"/>
              </w:rPr>
              <w:t>(1)</w:t>
            </w: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shd w:val="clear" w:color="auto" w:fill="DDDDDD"/>
          </w:tcPr>
          <w:p>
            <w:pPr>
              <w:ind w:left="160"/>
              <w:spacing w:after="0" w:line="219" w:lineRule="exact"/>
              <w:rPr>
                <w:sz w:val="20"/>
                <w:szCs w:val="20"/>
                <w:color w:val="auto"/>
              </w:rPr>
            </w:pPr>
            <w:r>
              <w:rPr>
                <w:rFonts w:ascii="Times New Roman" w:cs="Times New Roman" w:eastAsia="Times New Roman" w:hAnsi="Times New Roman"/>
                <w:sz w:val="17"/>
                <w:szCs w:val="17"/>
                <w:color w:val="auto"/>
              </w:rPr>
              <w:t>Asset impairment charges</w:t>
            </w:r>
            <w:r>
              <w:rPr>
                <w:rFonts w:ascii="Times New Roman" w:cs="Times New Roman" w:eastAsia="Times New Roman" w:hAnsi="Times New Roman"/>
                <w:sz w:val="22"/>
                <w:szCs w:val="22"/>
                <w:color w:val="auto"/>
                <w:vertAlign w:val="superscript"/>
              </w:rPr>
              <w:t>(2)</w:t>
            </w:r>
          </w:p>
        </w:tc>
        <w:tc>
          <w:tcPr>
            <w:tcW w:w="120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Pr>
          <w:p>
            <w:pPr>
              <w:ind w:left="160"/>
              <w:spacing w:after="0" w:line="219" w:lineRule="exact"/>
              <w:rPr>
                <w:sz w:val="20"/>
                <w:szCs w:val="20"/>
                <w:color w:val="auto"/>
              </w:rPr>
            </w:pPr>
            <w:r>
              <w:rPr>
                <w:rFonts w:ascii="Times New Roman" w:cs="Times New Roman" w:eastAsia="Times New Roman" w:hAnsi="Times New Roman"/>
                <w:sz w:val="17"/>
                <w:szCs w:val="17"/>
                <w:color w:val="auto"/>
              </w:rPr>
              <w:t xml:space="preserve">Legal settlements and other legal costs </w:t>
            </w:r>
            <w:r>
              <w:rPr>
                <w:rFonts w:ascii="Times New Roman" w:cs="Times New Roman" w:eastAsia="Times New Roman" w:hAnsi="Times New Roman"/>
                <w:sz w:val="22"/>
                <w:szCs w:val="22"/>
                <w:color w:val="auto"/>
                <w:vertAlign w:val="superscript"/>
              </w:rPr>
              <w:t>(3)</w:t>
            </w: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5,836</w:t>
            </w:r>
          </w:p>
        </w:tc>
      </w:tr>
      <w:tr>
        <w:trPr>
          <w:trHeight w:val="219"/>
        </w:trPr>
        <w:tc>
          <w:tcPr>
            <w:tcW w:w="7440" w:type="dxa"/>
            <w:vAlign w:val="bottom"/>
            <w:shd w:val="clear" w:color="auto" w:fill="DDDDDD"/>
          </w:tcPr>
          <w:p>
            <w:pPr>
              <w:ind w:left="160"/>
              <w:spacing w:after="0" w:line="219" w:lineRule="exact"/>
              <w:rPr>
                <w:sz w:val="20"/>
                <w:szCs w:val="20"/>
                <w:color w:val="auto"/>
              </w:rPr>
            </w:pPr>
            <w:r>
              <w:rPr>
                <w:rFonts w:ascii="Times New Roman" w:cs="Times New Roman" w:eastAsia="Times New Roman" w:hAnsi="Times New Roman"/>
                <w:sz w:val="17"/>
                <w:szCs w:val="17"/>
                <w:color w:val="auto"/>
              </w:rPr>
              <w:t>Reduction in force</w:t>
            </w:r>
            <w:r>
              <w:rPr>
                <w:rFonts w:ascii="Times New Roman" w:cs="Times New Roman" w:eastAsia="Times New Roman" w:hAnsi="Times New Roman"/>
                <w:sz w:val="22"/>
                <w:szCs w:val="22"/>
                <w:color w:val="auto"/>
                <w:vertAlign w:val="superscript"/>
              </w:rPr>
              <w:t>(4)</w:t>
            </w:r>
          </w:p>
        </w:tc>
        <w:tc>
          <w:tcPr>
            <w:tcW w:w="120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Borders>
              <w:bottom w:val="single" w:sz="8" w:color="DDDDDD"/>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2,773</w:t>
            </w:r>
          </w:p>
        </w:tc>
      </w:tr>
      <w:tr>
        <w:trPr>
          <w:trHeight w:val="237"/>
        </w:trPr>
        <w:tc>
          <w:tcPr>
            <w:tcW w:w="74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200" w:type="dxa"/>
            <w:vAlign w:val="bottom"/>
            <w:tcBorders>
              <w:bottom w:val="single" w:sz="8" w:color="auto"/>
            </w:tcBorders>
            <w:shd w:val="clear" w:color="auto" w:fill="DDDDDD"/>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39,847</w:t>
            </w:r>
          </w:p>
        </w:tc>
        <w:tc>
          <w:tcPr>
            <w:tcW w:w="100" w:type="dxa"/>
            <w:vAlign w:val="bottom"/>
            <w:tcBorders>
              <w:bottom w:val="single" w:sz="8" w:color="DDDDDD"/>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42,919</w:t>
            </w:r>
          </w:p>
        </w:tc>
      </w:tr>
      <w:tr>
        <w:trPr>
          <w:trHeight w:val="20"/>
        </w:trPr>
        <w:tc>
          <w:tcPr>
            <w:tcW w:w="7440" w:type="dxa"/>
            <w:vAlign w:val="bottom"/>
            <w:tcBorders>
              <w:top w:val="single" w:sz="8" w:color="DDDDDD"/>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87" w:right="20" w:hanging="87"/>
        <w:spacing w:after="0" w:line="226" w:lineRule="auto"/>
        <w:tabs>
          <w:tab w:leader="none" w:pos="8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loss contingency related to the shortfall under the AWS minimum commitment obligation. See Note 6, “Commitments and Contingencies” to our audited consolidated financial statements included herein.</w:t>
      </w:r>
    </w:p>
    <w:p>
      <w:pPr>
        <w:spacing w:after="0" w:line="33" w:lineRule="exact"/>
        <w:rPr>
          <w:rFonts w:ascii="Times New Roman" w:cs="Times New Roman" w:eastAsia="Times New Roman" w:hAnsi="Times New Roman"/>
          <w:sz w:val="20"/>
          <w:szCs w:val="20"/>
          <w:color w:val="auto"/>
          <w:vertAlign w:val="superscript"/>
        </w:rPr>
      </w:pPr>
    </w:p>
    <w:p>
      <w:pPr>
        <w:ind w:left="87" w:hanging="87"/>
        <w:spacing w:after="0" w:line="234" w:lineRule="auto"/>
        <w:tabs>
          <w:tab w:leader="none" w:pos="8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$7.1 million in goodwill impairment and $0.7 million in impairment charges related to capitalized implementation costs. See Note 8, “Goodwill and Intangible Assets,” and Note 9, “Prepaid Expenses and Other Current Assets,” to our audited consolidated financial statements included herein.</w:t>
      </w:r>
    </w:p>
    <w:p>
      <w:pPr>
        <w:spacing w:after="0" w:line="33" w:lineRule="exact"/>
        <w:rPr>
          <w:rFonts w:ascii="Times New Roman" w:cs="Times New Roman" w:eastAsia="Times New Roman" w:hAnsi="Times New Roman"/>
          <w:sz w:val="20"/>
          <w:szCs w:val="20"/>
          <w:color w:val="auto"/>
          <w:vertAlign w:val="superscript"/>
        </w:rPr>
      </w:pPr>
    </w:p>
    <w:p>
      <w:pPr>
        <w:jc w:val="both"/>
        <w:ind w:left="87" w:right="20" w:hanging="87"/>
        <w:spacing w:after="0" w:line="239" w:lineRule="auto"/>
        <w:tabs>
          <w:tab w:leader="none" w:pos="8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2025, includes legal and advisory fees related to, among other things, ongoing litigation related to shareholder class action and derivative actions, and as of December 31, 2024, includes legal and advisory fees related to the SEC enforcement matter and SEC settlement. See Note 6, “Commitments and Contingencies” to our audited consolidated financial statements included herein.</w:t>
      </w:r>
    </w:p>
    <w:p>
      <w:pPr>
        <w:spacing w:after="0" w:line="33" w:lineRule="exact"/>
        <w:rPr>
          <w:rFonts w:ascii="Times New Roman" w:cs="Times New Roman" w:eastAsia="Times New Roman" w:hAnsi="Times New Roman"/>
          <w:sz w:val="20"/>
          <w:szCs w:val="20"/>
          <w:color w:val="auto"/>
          <w:vertAlign w:val="superscript"/>
        </w:rPr>
      </w:pPr>
    </w:p>
    <w:p>
      <w:pPr>
        <w:jc w:val="both"/>
        <w:ind w:left="87" w:hanging="87"/>
        <w:spacing w:after="0" w:line="239" w:lineRule="auto"/>
        <w:tabs>
          <w:tab w:leader="none" w:pos="8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severance charges included in general and administrative expense in the consolidated statement of operations, related to certain reduction in force actions taken by our management. These reduction in force actions are designed to enhance operational efficiency and align resources with strategic priorities in our corporate technology and marketing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581025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581025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7"/>
          </w:cols>
          <w:pgMar w:left="493"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1247"/>
          </w:cols>
          <w:pgMar w:left="493" w:top="603" w:right="500" w:bottom="13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of Our Two-Sided Weedmaps Marketplace</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and Retention of Our Paying Clients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and global conflicts. Increasing prices in the component materials for the goods or services of our clients have and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 In addition, price deflation across our core markets has and may continue to compress our clients’ operating margins and marketing budgets, which directly impacts our revenue.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Maturation of Cannabis Markets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greater growth as more jurisdictions legalize cannabis for medical and/or adult-use and the regulatory environment continues to develop.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We intend to explore new expansion opportunities as additional jurisdictions legalize cannabis for medical or adult use and leverage our business model informed by our 18-year operating history to enter new markets.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Furthermore, we compete with cannabis-focused and general two-sided marketplaces, internet search engines, delivery companies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 Recognition and Reputation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1240"/>
          </w:cols>
          <w:pgMar w:left="500" w:top="599" w:right="500" w:bottom="135" w:gutter="0" w:footer="0" w:header="0"/>
          <w:type w:val="continuous"/>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7"/>
          <w:szCs w:val="17"/>
          <w:color w:val="auto"/>
        </w:rPr>
        <w:t>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have and expect to continue to shift and accelerate our marketing spend to additional online and traditional channels, such as broadcast television or radio, as they become available to us. Further, we are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2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Growth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7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As operating expenses and capital expenditures fluctuate over time, we may accordingly experience short-term, negative impacts to our operating results and cash flows.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to Weedmaps for Business, Featured Listing and WM Deal products and other ad solutions. Our Weedmaps for Business subscriptions generally have one-month terms that automatically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 of revenues excludes depreciation and amortization expense and primarily consists of web hosting, internet service and credit card processing costs. Cost of revenues is primarily driven by fluctuations in revenue leading to increases or decreases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1240"/>
          </w:cols>
          <w:pgMar w:left="500" w:top="500" w:right="500" w:bottom="135" w:gutter="0" w:footer="0" w:header="0"/>
          <w:type w:val="continuous"/>
        </w:sectPr>
      </w:pPr>
    </w:p>
    <w:bookmarkStart w:id="61" w:name="page62"/>
    <w:bookmarkEnd w:id="61"/>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(recovery) for credit losses, loss contingency, legal settlements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Expenses</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 Charges</w:t>
      </w:r>
    </w:p>
    <w:p>
      <w:pPr>
        <w:spacing w:after="0" w:line="12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Asset impairment charges primarily consist of impairment of goodwill and impairment of capitalized implementation costs related to a cloud computing arrangement that we have determined is not probable to be completed and placed in service.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net consists primarily of change in fair value of warrant liability, TRA liability remeasurement, interest income and other tax related expenses.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15, “Income Taxes,” to our consolidated financial statements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602615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602615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1240"/>
          </w:cols>
          <w:pgMar w:left="500" w:top="500" w:right="500" w:bottom="13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discussion regarding our financial condition and results of operations for the year ended December 31, 2025 compared to the year ended December 31, 2024 is presented below. A discussion regarding our financial condition and results of operations for the year ended December 31, 2024 compared to the year ended December 31, 2023 can be found under Item.7 in our Annual Report on Form 10-K for the year ended December 31, 2024, filed with the SEC on March 13, 2025, which are available free of charge on the SEC’s website at https://www.sec.gov and at our investor relations website, https://ir.weedmaps.com.</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sets forth our results of operations for the periods presented and expresses the relationship of certain line items as a percentage of revenues for those periods. The period-to-period comparison of financial results is not necessarily indicative of future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10"/>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 Revenue</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 Revenue</w:t>
            </w:r>
          </w:p>
        </w:tc>
        <w:tc>
          <w:tcPr>
            <w:tcW w:w="0" w:type="dxa"/>
            <w:vAlign w:val="bottom"/>
          </w:tcPr>
          <w:p>
            <w:pPr>
              <w:spacing w:after="0"/>
              <w:rPr>
                <w:sz w:val="1"/>
                <w:szCs w:val="1"/>
                <w:color w:val="auto"/>
              </w:rPr>
            </w:pPr>
          </w:p>
        </w:tc>
      </w:tr>
      <w:tr>
        <w:trPr>
          <w:trHeight w:val="212"/>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ind w:left="220"/>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680" w:type="dxa"/>
            <w:vAlign w:val="bottom"/>
            <w:gridSpan w:val="2"/>
            <w:shd w:val="clear" w:color="auto" w:fill="DDDDDD"/>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174,704</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184,514</w:t>
            </w: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060" w:type="dxa"/>
            <w:vAlign w:val="bottom"/>
          </w:tcPr>
          <w:p>
            <w:pPr>
              <w:ind w:left="120"/>
              <w:spacing w:after="0" w:line="161" w:lineRule="exact"/>
              <w:rPr>
                <w:sz w:val="20"/>
                <w:szCs w:val="20"/>
                <w:color w:val="auto"/>
              </w:rPr>
            </w:pPr>
            <w:r>
              <w:rPr>
                <w:rFonts w:ascii="Times New Roman" w:cs="Times New Roman" w:eastAsia="Times New Roman" w:hAnsi="Times New Roman"/>
                <w:sz w:val="17"/>
                <w:szCs w:val="17"/>
                <w:color w:val="auto"/>
              </w:rPr>
              <w:t>Cost of revenues (exclusive of depreciation and amortization shown</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separately below)</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8,833</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9,019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22"/>
        </w:trPr>
        <w:tc>
          <w:tcPr>
            <w:tcW w:w="5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38,869</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40,424</w:t>
            </w: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0" w:type="dxa"/>
            <w:vAlign w:val="bottom"/>
          </w:tcPr>
          <w:p>
            <w:pPr>
              <w:spacing w:after="0"/>
              <w:rPr>
                <w:sz w:val="1"/>
                <w:szCs w:val="1"/>
                <w:color w:val="auto"/>
              </w:rPr>
            </w:pPr>
          </w:p>
        </w:tc>
      </w:tr>
      <w:tr>
        <w:trPr>
          <w:trHeight w:val="219"/>
        </w:trPr>
        <w:tc>
          <w:tcPr>
            <w:tcW w:w="5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28,136</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16.1 %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36,426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76,929</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70,602</w:t>
            </w: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0" w:type="dxa"/>
            <w:vAlign w:val="bottom"/>
          </w:tcPr>
          <w:p>
            <w:pPr>
              <w:spacing w:after="0"/>
              <w:rPr>
                <w:sz w:val="1"/>
                <w:szCs w:val="1"/>
                <w:color w:val="auto"/>
              </w:rPr>
            </w:pPr>
          </w:p>
        </w:tc>
      </w:tr>
      <w:tr>
        <w:trPr>
          <w:trHeight w:val="219"/>
        </w:trPr>
        <w:tc>
          <w:tcPr>
            <w:tcW w:w="5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13,394</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13,278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400" w:type="dxa"/>
            <w:vAlign w:val="bottom"/>
            <w:gridSpan w:val="5"/>
            <w:shd w:val="clear" w:color="auto" w:fill="DDDDDD"/>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2"/>
        </w:trPr>
        <w:tc>
          <w:tcPr>
            <w:tcW w:w="5060" w:type="dxa"/>
            <w:vAlign w:val="bottom"/>
            <w:tcBorders>
              <w:bottom w:val="single" w:sz="8" w:color="DDDDDD"/>
            </w:tcBorders>
          </w:tcPr>
          <w:p>
            <w:pPr>
              <w:ind w:left="3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46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173,938</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99.6 %</w:t>
            </w:r>
          </w:p>
        </w:tc>
        <w:tc>
          <w:tcPr>
            <w:tcW w:w="8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169,749</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92.0 %</w:t>
            </w:r>
          </w:p>
        </w:tc>
        <w:tc>
          <w:tcPr>
            <w:tcW w:w="0" w:type="dxa"/>
            <w:vAlign w:val="bottom"/>
          </w:tcPr>
          <w:p>
            <w:pPr>
              <w:spacing w:after="0"/>
              <w:rPr>
                <w:sz w:val="1"/>
                <w:szCs w:val="1"/>
                <w:color w:val="auto"/>
              </w:rPr>
            </w:pPr>
          </w:p>
        </w:tc>
      </w:tr>
      <w:tr>
        <w:trPr>
          <w:trHeight w:val="212"/>
        </w:trPr>
        <w:tc>
          <w:tcPr>
            <w:tcW w:w="506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46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766</w:t>
            </w:r>
          </w:p>
        </w:tc>
        <w:tc>
          <w:tcPr>
            <w:tcW w:w="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14,765</w:t>
            </w:r>
          </w:p>
        </w:tc>
        <w:tc>
          <w:tcPr>
            <w:tcW w:w="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0" w:type="dxa"/>
            <w:vAlign w:val="bottom"/>
          </w:tcPr>
          <w:p>
            <w:pPr>
              <w:spacing w:after="0"/>
              <w:rPr>
                <w:sz w:val="1"/>
                <w:szCs w:val="1"/>
                <w:color w:val="auto"/>
              </w:rPr>
            </w:pPr>
          </w:p>
        </w:tc>
      </w:tr>
      <w:tr>
        <w:trPr>
          <w:trHeight w:val="21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390</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400" w:type="dxa"/>
            <w:vAlign w:val="bottom"/>
            <w:gridSpan w:val="5"/>
            <w:shd w:val="clear" w:color="auto" w:fill="DDDDDD"/>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5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333</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241</w:t>
            </w: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12"/>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12,233</w:t>
            </w: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46</w:t>
            </w: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2"/>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12,187</w:t>
            </w: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4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58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4,548</w:t>
            </w: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12"/>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attributable to WM Technology, Inc.</w:t>
            </w: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7,639</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2025 and 2024</w:t>
            </w: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gridSpan w:val="7"/>
          </w:tcPr>
          <w:p>
            <w:pPr>
              <w:ind w:left="4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60" w:type="dxa"/>
            <w:vAlign w:val="bottom"/>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2"/>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60" w:type="dxa"/>
            <w:vAlign w:val="bottom"/>
            <w:shd w:val="clear" w:color="auto" w:fill="DDDDDD"/>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DDDDDD"/>
          </w:tcPr>
          <w:p>
            <w:pPr>
              <w:spacing w:after="0"/>
              <w:rPr>
                <w:sz w:val="19"/>
                <w:szCs w:val="19"/>
                <w:color w:val="auto"/>
              </w:rPr>
            </w:pPr>
          </w:p>
        </w:tc>
        <w:tc>
          <w:tcPr>
            <w:tcW w:w="7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174,704</w:t>
            </w:r>
          </w:p>
        </w:tc>
        <w:tc>
          <w:tcPr>
            <w:tcW w:w="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184,514</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(9,810)</w:t>
            </w:r>
          </w:p>
        </w:tc>
        <w:tc>
          <w:tcPr>
            <w:tcW w:w="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Revenues decreased by $9.8 million, or 5%, for the year ended December 31, 2025 compared to the same period in 2024. The decrease was primarily due to a decrease in revenues from our Featured Listing and WM Deal products of $8.9 million and our Weedmaps for Business and other SaaS solutions of $0.9 million. The overall decrease in revenues was driven by continued headwinds across core markets, where ongoing pricing pressure and price deflation continues to compress client operating margins and constrain marketing budgets.</w:t>
      </w:r>
    </w:p>
    <w:p>
      <w:pPr>
        <w:spacing w:after="0" w:line="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2025, Featured Listing and WM Deal products, Weedmaps for Business and other SaaS solutions, and other ad solutions represented approximately 61%, 31% and 8% of our total revenues,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519430</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519430</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6"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1240"/>
          </w:cols>
          <w:pgMar w:left="500" w:top="496" w:right="500" w:bottom="13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i w:val="1"/>
          <w:iCs w:val="1"/>
          <w:color w:val="auto"/>
        </w:rPr>
        <w:t>Costs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our total costs and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20"/>
                <w:szCs w:val="20"/>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0"/>
                <w:szCs w:val="20"/>
                <w:color w:val="auto"/>
              </w:rPr>
            </w:pPr>
          </w:p>
        </w:tc>
      </w:tr>
      <w:tr>
        <w:trPr>
          <w:trHeight w:val="215"/>
        </w:trPr>
        <w:tc>
          <w:tcPr>
            <w:tcW w:w="5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1"/>
        </w:trPr>
        <w:tc>
          <w:tcPr>
            <w:tcW w:w="5080" w:type="dxa"/>
            <w:vAlign w:val="bottom"/>
            <w:shd w:val="clear" w:color="auto" w:fill="DDDDDD"/>
          </w:tcPr>
          <w:p>
            <w:pPr>
              <w:ind w:left="20"/>
              <w:spacing w:after="0" w:line="161" w:lineRule="exact"/>
              <w:rPr>
                <w:sz w:val="20"/>
                <w:szCs w:val="20"/>
                <w:color w:val="auto"/>
              </w:rPr>
            </w:pPr>
            <w:r>
              <w:rPr>
                <w:rFonts w:ascii="Times New Roman" w:cs="Times New Roman" w:eastAsia="Times New Roman" w:hAnsi="Times New Roman"/>
                <w:sz w:val="17"/>
                <w:szCs w:val="17"/>
                <w:color w:val="auto"/>
              </w:rPr>
              <w:t>Cost of revenues (exclusive of depreciation and amortization shown</w:t>
            </w:r>
          </w:p>
        </w:tc>
        <w:tc>
          <w:tcPr>
            <w:tcW w:w="300" w:type="dxa"/>
            <w:vAlign w:val="bottom"/>
            <w:shd w:val="clear" w:color="auto" w:fill="DDDDDD"/>
          </w:tcPr>
          <w:p>
            <w:pPr>
              <w:spacing w:after="0"/>
              <w:rPr>
                <w:sz w:val="14"/>
                <w:szCs w:val="14"/>
                <w:color w:val="auto"/>
              </w:rPr>
            </w:pPr>
          </w:p>
        </w:tc>
        <w:tc>
          <w:tcPr>
            <w:tcW w:w="11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11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10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shd w:val="clear" w:color="auto" w:fill="DDDDDD"/>
          </w:tcPr>
          <w:p>
            <w:pPr>
              <w:spacing w:after="0"/>
              <w:rPr>
                <w:sz w:val="14"/>
                <w:szCs w:val="14"/>
                <w:color w:val="auto"/>
              </w:rPr>
            </w:pPr>
          </w:p>
        </w:tc>
        <w:tc>
          <w:tcPr>
            <w:tcW w:w="1100" w:type="dxa"/>
            <w:vAlign w:val="bottom"/>
            <w:shd w:val="clear" w:color="auto" w:fill="DDDDDD"/>
          </w:tcPr>
          <w:p>
            <w:pPr>
              <w:spacing w:after="0"/>
              <w:rPr>
                <w:sz w:val="14"/>
                <w:szCs w:val="14"/>
                <w:color w:val="auto"/>
              </w:rPr>
            </w:pPr>
          </w:p>
        </w:tc>
      </w:tr>
      <w:tr>
        <w:trPr>
          <w:trHeight w:val="239"/>
        </w:trPr>
        <w:tc>
          <w:tcPr>
            <w:tcW w:w="50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separately below)</w:t>
            </w:r>
          </w:p>
        </w:tc>
        <w:tc>
          <w:tcPr>
            <w:tcW w:w="300" w:type="dxa"/>
            <w:vAlign w:val="bottom"/>
            <w:shd w:val="clear" w:color="auto" w:fill="DDDDDD"/>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8,833</w:t>
            </w:r>
          </w:p>
        </w:tc>
        <w:tc>
          <w:tcPr>
            <w:tcW w:w="420" w:type="dxa"/>
            <w:vAlign w:val="bottom"/>
            <w:gridSpan w:val="2"/>
            <w:shd w:val="clear" w:color="auto" w:fill="DDDDDD"/>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80" w:type="dxa"/>
            <w:vAlign w:val="bottom"/>
            <w:shd w:val="clear" w:color="auto" w:fill="DDDDDD"/>
          </w:tcPr>
          <w:p>
            <w:pPr>
              <w:spacing w:after="0"/>
              <w:rPr>
                <w:sz w:val="20"/>
                <w:szCs w:val="20"/>
                <w:color w:val="auto"/>
              </w:rPr>
            </w:pPr>
          </w:p>
        </w:tc>
        <w:tc>
          <w:tcPr>
            <w:tcW w:w="360" w:type="dxa"/>
            <w:vAlign w:val="bottom"/>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shd w:val="clear" w:color="auto" w:fill="DDDDDD"/>
          </w:tcPr>
          <w:p>
            <w:pPr>
              <w:spacing w:after="0"/>
              <w:rPr>
                <w:sz w:val="20"/>
                <w:szCs w:val="20"/>
                <w:color w:val="auto"/>
              </w:rPr>
            </w:pPr>
          </w:p>
        </w:tc>
        <w:tc>
          <w:tcPr>
            <w:tcW w:w="48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508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Product development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28,136</w:t>
            </w:r>
          </w:p>
        </w:tc>
        <w:tc>
          <w:tcPr>
            <w:tcW w:w="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36,426</w:t>
            </w:r>
          </w:p>
        </w:tc>
        <w:tc>
          <w:tcPr>
            <w:tcW w:w="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(8,290)</w:t>
            </w:r>
          </w:p>
        </w:tc>
        <w:tc>
          <w:tcPr>
            <w:tcW w:w="8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9"/>
        </w:trPr>
        <w:tc>
          <w:tcPr>
            <w:tcW w:w="508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13,394</w:t>
            </w:r>
          </w:p>
        </w:tc>
        <w:tc>
          <w:tcPr>
            <w:tcW w:w="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9"/>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Asset impairment charges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37"/>
        </w:trPr>
        <w:tc>
          <w:tcPr>
            <w:tcW w:w="5080" w:type="dxa"/>
            <w:vAlign w:val="bottom"/>
            <w:tcBorders>
              <w:top w:val="single" w:sz="8" w:color="DDDDDD"/>
              <w:bottom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00" w:type="dxa"/>
            <w:vAlign w:val="bottom"/>
            <w:tcBorders>
              <w:top w:val="single" w:sz="8" w:color="auto"/>
              <w:bottom w:val="single" w:sz="8" w:color="auto"/>
            </w:tcBorders>
            <w:shd w:val="clear" w:color="auto" w:fill="DDDDDD"/>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173,938</w:t>
            </w:r>
          </w:p>
        </w:tc>
        <w:tc>
          <w:tcPr>
            <w:tcW w:w="80" w:type="dxa"/>
            <w:vAlign w:val="bottom"/>
            <w:tcBorders>
              <w:top w:val="single" w:sz="8" w:color="DDDDDD"/>
              <w:bottom w:val="single" w:sz="8" w:color="DDDDDD"/>
            </w:tcBorders>
            <w:shd w:val="clear" w:color="auto" w:fill="DDDDDD"/>
          </w:tcPr>
          <w:p>
            <w:pPr>
              <w:spacing w:after="0"/>
              <w:rPr>
                <w:sz w:val="20"/>
                <w:szCs w:val="20"/>
                <w:color w:val="auto"/>
              </w:rPr>
            </w:pPr>
          </w:p>
        </w:tc>
        <w:tc>
          <w:tcPr>
            <w:tcW w:w="340" w:type="dxa"/>
            <w:vAlign w:val="bottom"/>
            <w:tcBorders>
              <w:top w:val="single" w:sz="8" w:color="auto"/>
              <w:bottom w:val="single" w:sz="8" w:color="auto"/>
            </w:tcBorders>
            <w:shd w:val="clear" w:color="auto" w:fill="DDDDDD"/>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169,749</w:t>
            </w:r>
          </w:p>
        </w:tc>
        <w:tc>
          <w:tcPr>
            <w:tcW w:w="80" w:type="dxa"/>
            <w:vAlign w:val="bottom"/>
            <w:tcBorders>
              <w:top w:val="single" w:sz="8" w:color="DDDDDD"/>
              <w:bottom w:val="single" w:sz="8" w:color="DDDDDD"/>
            </w:tcBorders>
            <w:shd w:val="clear" w:color="auto" w:fill="DDDDDD"/>
          </w:tcPr>
          <w:p>
            <w:pPr>
              <w:spacing w:after="0"/>
              <w:rPr>
                <w:sz w:val="20"/>
                <w:szCs w:val="20"/>
                <w:color w:val="auto"/>
              </w:rPr>
            </w:pPr>
          </w:p>
        </w:tc>
        <w:tc>
          <w:tcPr>
            <w:tcW w:w="360" w:type="dxa"/>
            <w:vAlign w:val="bottom"/>
            <w:tcBorders>
              <w:top w:val="single" w:sz="8" w:color="auto"/>
              <w:bottom w:val="single" w:sz="8" w:color="auto"/>
            </w:tcBorders>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4,189</w:t>
            </w:r>
          </w:p>
        </w:tc>
        <w:tc>
          <w:tcPr>
            <w:tcW w:w="80" w:type="dxa"/>
            <w:vAlign w:val="bottom"/>
            <w:tcBorders>
              <w:top w:val="single" w:sz="8" w:color="DDDDDD"/>
              <w:bottom w:val="single" w:sz="8" w:color="DDDDDD"/>
            </w:tcBorders>
            <w:shd w:val="clear" w:color="auto" w:fill="DDDDDD"/>
          </w:tcPr>
          <w:p>
            <w:pPr>
              <w:spacing w:after="0"/>
              <w:rPr>
                <w:sz w:val="20"/>
                <w:szCs w:val="20"/>
                <w:color w:val="auto"/>
              </w:rPr>
            </w:pPr>
          </w:p>
        </w:tc>
        <w:tc>
          <w:tcPr>
            <w:tcW w:w="480" w:type="dxa"/>
            <w:vAlign w:val="bottom"/>
            <w:tcBorders>
              <w:top w:val="single" w:sz="8" w:color="auto"/>
              <w:bottom w:val="single" w:sz="8" w:color="auto"/>
            </w:tcBorders>
            <w:shd w:val="clear" w:color="auto" w:fill="DDDDDD"/>
          </w:tcPr>
          <w:p>
            <w:pPr>
              <w:spacing w:after="0"/>
              <w:rPr>
                <w:sz w:val="20"/>
                <w:szCs w:val="20"/>
                <w:color w:val="auto"/>
              </w:rPr>
            </w:pPr>
          </w:p>
        </w:tc>
        <w:tc>
          <w:tcPr>
            <w:tcW w:w="1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0"/>
        </w:trPr>
        <w:tc>
          <w:tcPr>
            <w:tcW w:w="508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________________________________</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in cost of revenues was primarily related to a decrease of $0.2 million in credit card processing costs primarily driven by a decrease in revenues.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decrease in sales and marketing expenses was primarily related to a decrease in personnel-related costs of $1.8 million and a decrease in advertising expense of $0.3 million, partially offset by an increase in outside service expense of $0.5 million and other expense of $0.1 million. The decrease in personnel-related costs of $1.8 million were primarily due to decreases in salaries and wages of $0.3 million, bonus expense of $0.7 million, stock-based compensation expense of $0.6 million and payroll tax expense of $0.3 million, partially offset by an increase in vacation expense of $0.1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Development Expenses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decrease in product development expenses was primarily due to decreases in personnel-related costs of $7.5 million, outside service expense of $0.6 million and other expense of $0.1 million. The decrease in personnel-related costs was primarily due to decreases in salaries and wages of $5.0 million, bonus expense of $0.8 million, stock-based compensation expense of $1.4 million and payroll tax expense of $0.5 million, partially offset by an increase in vacation expense of 0.2 million.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increase in general and administrative expenses was primarily due to increases in salaries and wages of $1.3 million, stock-based compensation expense of $0.6 million, employee benefits of $0.7 million, vacation expense of $0.2 million, provision (recovery) for credit losses of $4.4 million, software expense of $1.6 million and other expense of $3.1 million, partially offset by decreases in bonus expenses of $1.2 million, payroll tax expense of $0.1 million, SEC settlement of $1.5 million, outside service expense of $1.5 million and rent and facilities expense of $1.4 million. The other expense included $2.8 million related to a preliminary legal settlement agreement. See Note 6, “Commitments and Contingencies,” to our consolidated financial statements for further discussion.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 Expenses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depreciation and amortization expense was primarily due to an increase in depreciation of $0.1 million primarily related to capitalized software development.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Impairment Charges</w:t>
      </w:r>
    </w:p>
    <w:p>
      <w:pPr>
        <w:spacing w:after="0" w:line="11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increase in asset impairment charges was primarily due to $7.8 million in asset impairment charges from 2025. In 2025, we recorded $7.1 million in goodwill impairment and $0.7 million in impairment charges related to capitalized implementation costs as of December 31, 2025. See Note 8, “Goodwill and Intangible Assets,” and Note 9, “Prepaid Expenses and Other Current Assets,” to our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528320</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528320</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7"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1240"/>
          </w:cols>
          <w:pgMar w:left="500" w:top="597" w:right="500" w:bottom="135"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00"/>
        </w:trPr>
        <w:tc>
          <w:tcPr>
            <w:tcW w:w="5080" w:type="dxa"/>
            <w:vAlign w:val="bottom"/>
          </w:tcPr>
          <w:p>
            <w:pPr>
              <w:spacing w:after="0"/>
              <w:rPr>
                <w:sz w:val="24"/>
                <w:szCs w:val="24"/>
                <w:color w:val="auto"/>
              </w:rPr>
            </w:pPr>
          </w:p>
        </w:tc>
        <w:tc>
          <w:tcPr>
            <w:tcW w:w="3040" w:type="dxa"/>
            <w:vAlign w:val="bottom"/>
            <w:gridSpan w:val="6"/>
          </w:tcPr>
          <w:p>
            <w:pPr>
              <w:ind w:left="4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8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5"/>
        </w:trPr>
        <w:tc>
          <w:tcPr>
            <w:tcW w:w="50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920" w:type="dxa"/>
            <w:vAlign w:val="bottom"/>
            <w:shd w:val="clear" w:color="auto" w:fill="DDDDDD"/>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420" w:type="dxa"/>
            <w:vAlign w:val="bottom"/>
            <w:gridSpan w:val="2"/>
            <w:shd w:val="clear" w:color="auto" w:fill="DDDDDD"/>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9"/>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508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920" w:type="dxa"/>
            <w:vAlign w:val="bottom"/>
            <w:tcBorders>
              <w:bottom w:val="single" w:sz="8" w:color="auto"/>
            </w:tcBorders>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10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1,626</w:t>
            </w:r>
          </w:p>
        </w:tc>
        <w:tc>
          <w:tcPr>
            <w:tcW w:w="8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675 %</w:t>
            </w:r>
          </w:p>
        </w:tc>
      </w:tr>
      <w:tr>
        <w:trPr>
          <w:trHeight w:val="212"/>
        </w:trPr>
        <w:tc>
          <w:tcPr>
            <w:tcW w:w="5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5,122</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________________________________</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other income was primary due to changes in TRA liability of $3.1 million, an increase in net interest income of $1.4 million, a decrease in property and other taxes of $0.1 million, favorable changes in fair value of warrant liability of $0.4 million and a decrease in other expense of $0.1 million.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51"/>
        </w:trPr>
        <w:tc>
          <w:tcPr>
            <w:tcW w:w="508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15"/>
        </w:trPr>
        <w:tc>
          <w:tcPr>
            <w:tcW w:w="5080" w:type="dxa"/>
            <w:vAlign w:val="bottom"/>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40" w:type="dxa"/>
            <w:vAlign w:val="bottom"/>
            <w:shd w:val="clear" w:color="auto" w:fill="DDDDDD"/>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0" w:type="dxa"/>
            <w:vAlign w:val="bottom"/>
            <w:shd w:val="clear" w:color="auto" w:fill="DDDDDD"/>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DDDDDD"/>
          </w:tcPr>
          <w:p>
            <w:pPr>
              <w:spacing w:after="0"/>
              <w:rPr>
                <w:sz w:val="19"/>
                <w:szCs w:val="19"/>
                <w:color w:val="auto"/>
              </w:rPr>
            </w:pPr>
          </w:p>
        </w:tc>
        <w:tc>
          <w:tcPr>
            <w:tcW w:w="360" w:type="dxa"/>
            <w:vAlign w:val="bottom"/>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102 %</w:t>
            </w:r>
          </w:p>
        </w:tc>
      </w:tr>
    </w:tbl>
    <w:p>
      <w:pPr>
        <w:spacing w:after="0" w:line="17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For the years ended December 31, 2025 and 2024, we recorded less than $0.1 million in provision for income taxes due to the impact of the full valuation allowance on our net deferred assets. See Note 15, “Income Taxes,” to our consolidated financial statements included herein.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cannabis industry has certain industry holidays that in recent years have resulted in increased purchases by cannabis consumers. Such “holidays” include, but are not limited to April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(420) and the 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0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tables show our cash, accounts receivable and working capital as of the dates indicated:</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7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160" w:type="dxa"/>
            <w:vAlign w:val="bottom"/>
            <w:tcBorders>
              <w:bottom w:val="single" w:sz="8" w:color="auto"/>
            </w:tcBorders>
          </w:tcPr>
          <w:p>
            <w:pPr>
              <w:spacing w:after="0"/>
              <w:rPr>
                <w:sz w:val="24"/>
                <w:szCs w:val="24"/>
                <w:color w:val="auto"/>
              </w:rPr>
            </w:pPr>
          </w:p>
        </w:tc>
      </w:tr>
      <w:tr>
        <w:trPr>
          <w:trHeight w:val="215"/>
        </w:trPr>
        <w:tc>
          <w:tcPr>
            <w:tcW w:w="74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60" w:type="dxa"/>
            <w:vAlign w:val="bottom"/>
          </w:tcPr>
          <w:p>
            <w:pPr>
              <w:spacing w:after="0"/>
              <w:rPr>
                <w:sz w:val="18"/>
                <w:szCs w:val="18"/>
                <w:color w:val="auto"/>
              </w:rPr>
            </w:pPr>
          </w:p>
        </w:tc>
      </w:tr>
      <w:tr>
        <w:trPr>
          <w:trHeight w:val="219"/>
        </w:trPr>
        <w:tc>
          <w:tcPr>
            <w:tcW w:w="74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shd w:val="clear" w:color="auto" w:fill="DDDDDD"/>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62,401</w:t>
            </w:r>
          </w:p>
        </w:tc>
        <w:tc>
          <w:tcPr>
            <w:tcW w:w="780" w:type="dxa"/>
            <w:vAlign w:val="bottom"/>
            <w:shd w:val="clear" w:color="auto" w:fill="DDDDDD"/>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51,966</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14,619</w:t>
            </w:r>
          </w:p>
        </w:tc>
        <w:tc>
          <w:tcPr>
            <w:tcW w:w="7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10,060</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140" w:type="dxa"/>
            <w:vAlign w:val="bottom"/>
            <w:shd w:val="clear" w:color="auto" w:fill="DDDDDD"/>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48,684</w:t>
            </w:r>
          </w:p>
        </w:tc>
        <w:tc>
          <w:tcPr>
            <w:tcW w:w="780" w:type="dxa"/>
            <w:vAlign w:val="bottom"/>
            <w:shd w:val="clear" w:color="auto" w:fill="DDDDDD"/>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39,079</w:t>
            </w:r>
          </w:p>
        </w:tc>
      </w:tr>
    </w:tbl>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2025 and December 31, 2024, we had cash and cash equivalents of $62.4 million and $52.0 million, respectively. Our funds are being used for funding our current operations and potential strategic acquisitions in the future. We also intend to increase our capital expenditures to support the organic growth in our business and operations. We expect to fund our short-term and long-term liquidity requirements from cash and cash equivalents and working capital on hand at December 31, 2025, as well as from cash provided by operating activities. We believe that our existing cash and cash equivalents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600075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600075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7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1240"/>
          </w:cols>
          <w:pgMar w:left="500" w:top="700" w:right="500" w:bottom="135"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51"/>
        </w:trPr>
        <w:tc>
          <w:tcPr>
            <w:tcW w:w="6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5"/>
        </w:trPr>
        <w:tc>
          <w:tcPr>
            <w:tcW w:w="69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420" w:type="dxa"/>
            <w:vAlign w:val="bottom"/>
          </w:tcPr>
          <w:p>
            <w:pPr>
              <w:spacing w:after="0"/>
              <w:rPr>
                <w:sz w:val="18"/>
                <w:szCs w:val="18"/>
                <w:color w:val="auto"/>
              </w:rPr>
            </w:pPr>
          </w:p>
        </w:tc>
      </w:tr>
      <w:tr>
        <w:trPr>
          <w:trHeight w:val="219"/>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500" w:type="dxa"/>
            <w:vAlign w:val="bottom"/>
            <w:shd w:val="clear" w:color="auto" w:fill="DDDDDD"/>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26,188</w:t>
            </w:r>
          </w:p>
        </w:tc>
        <w:tc>
          <w:tcPr>
            <w:tcW w:w="720" w:type="dxa"/>
            <w:vAlign w:val="bottom"/>
            <w:shd w:val="clear" w:color="auto" w:fill="DDDDDD"/>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36,676</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72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(11,637)</w:t>
            </w:r>
          </w:p>
        </w:tc>
      </w:tr>
      <w:tr>
        <w:trPr>
          <w:trHeight w:val="219"/>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500" w:type="dxa"/>
            <w:vAlign w:val="bottom"/>
            <w:shd w:val="clear" w:color="auto" w:fill="DDDDDD"/>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720" w:type="dxa"/>
            <w:vAlign w:val="bottom"/>
            <w:shd w:val="clear" w:color="auto" w:fill="DDDDDD"/>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(7,423)</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Operating Activities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from operating activities consists primarily of net income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Net cash provided by operating activities is affected by changes in operating assets, such as accounts receivable which, is impacted by the timing of customer billings and related collections from our customers. In 2024, operating cash flow increased due to a focused effort on collecting significant outstanding accounts receivable. At the end of 2023, we had significant past due accounts, and we were successful with collecting the majority of them in 2024. This resulted in a higher-than-normal cash influx that did not recur in 2025. Net cash provided by operating activities is also impacted by effects of changes in operating liabilities such as accounts payable and accrued expenses due to timing of payments; accrued personnel costs which are impacted by employee performance targets and the timing of payments related to employee bonus incentives.</w:t>
      </w:r>
    </w:p>
    <w:p>
      <w:pPr>
        <w:spacing w:after="0" w:line="7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2025 was $26.2 million, which resulted from net income of $3.3 million, together with net cash outflows of $14.5 million from changes in operating assets and liabilities, and non-cash items of $37.4 million, consisting of fair value of warrant liability of $0.4 million and TRA remeasurement of $0.3 million, partially offset by stock-based compensation expense of $7.8 million, depreciation and amortization of $13.4 million, amortization of right of use lease assets of $2.5 million, impairment loss of $7.8 million and loss contingency of $2.3 million.</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cash outflows from changes in operating assets and liabilities were primarily due to an increase in accounts receivable of $8.9 million, an increase in prepaid expenses and other current and non-current assets of $2.6 million and a decrease in operating lease liabilities of $3.5 million, partially offset by an increase in accounts payable and accrued expenses of $0.6 million and an increase in deferred revenue of $0.1 million. The changes in operating assets and liabilities are mostly due to fluctuations in timing of cash receipts and payments.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2024 was $36.7 million, which resulted from net income of $12.2 million, together with net cash outflows of $4.5 million from changes in operating assets and liabilities, and non-cash items of $29.0 million, consisting of stock-based compensation expense of $9.2 million, depreciation and amortization of $13.3 million, amortization of right of use lease assets of $3.8 million, TRA remeasurement of $2.8 million, partially offset by gain on lease termination of $0.1 million. Net cash outflows from changes in operating assets and liabilities were primarily due to a decrease in operating lease liabilities of $5.6 million, an increase in prepaid expenses and other current and non-current assets of $0.5 million and a decrease in deferred revenue of $0.5 million, partially offset by a decrease in accounts receivable of $1.1 million and an increase in accounts payable and accrued expenses of $1.0 million.The changes in operating assets and liabilities were mostly due to fluctuations in timing of cash receipts and payments.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2025 was $12.7 million, which resulted from $12.7 million cash paid for capital expenditures which includes purchases of property and equipment, including certain capitalized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7"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1240"/>
          </w:cols>
          <w:pgMar w:left="500" w:top="597" w:right="500" w:bottom="135" w:gutter="0" w:footer="0" w:header="0"/>
          <w:type w:val="continuous"/>
        </w:sectPr>
      </w:pPr>
    </w:p>
    <w:bookmarkStart w:id="66" w:name="page67"/>
    <w:bookmarkEnd w:id="66"/>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2024 was $11.6 million, which resulted from $11.6 million cash paid for capital expenditures which includes purchases of property and equipment, including certain capitalized software development costs..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Financing Activities</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2025 was $3.1 million, which resulted from $1.9 million of distribution payments to members of WMH LLC, $1.4 million in TRA payments and $0.3 million in proceeds from collection of related party note receivable.</w:t>
      </w:r>
    </w:p>
    <w:p>
      <w:pPr>
        <w:spacing w:after="0" w:line="4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Net cash from financing activities for the year ended December 31, 2024 was $7.4 million, which resulted from $7.7 million distribution payments to members of WMH LLC, $0.1 million in TRA payments and $0.4 million in proceeds from collection of related party note receivable.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non-cancellable contractual agreements primarily related to leases and other purchase obligations. As of December 31, 2025, future payments on our operating leases were $34.1 million. See Note 5, “Leases,” to our consolidated financial statements included herein. We also have minimum outstanding purchase obligations $7.5 million in 2026, due under software license agreements, of which the majority relates to the remaining period of our three-year AWS Enterprise agreement. During the year ended December 31, 2025, prompted by a downward revision in forecasted server cost spend for the full fiscal year 2025 and 2026, we performed a review of our cloud infrastructure strategy prompted by a downward revision in forecasted server cost spend for the full fiscal year 2025 and 2026. The lower spend identified was attributable to server management optimization and efficiencies implemented during 2024 and 2025 and discounts received on prepayments under the AWS agreement. Due to the revised forecast, we identified a probable shortfall in the minimum purchase obligation and recorded a loss contingency of $2.3 million in the year ended December 31, 2025.</w:t>
      </w:r>
    </w:p>
    <w:p>
      <w:pPr>
        <w:spacing w:after="0" w:line="7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As of December 31, 2025 and December 31, 2024, our TRA liability was $2.7 million and $4.4 million, respectively. We expect that the payments we will be required to make under the TRA will not be substantial, and therefore, in conjunction with the recording of a full valuation allowance on the related TRA deferred tax assets for the year ended December 31, 2022, we have also adjusted the TRA liabilities as of December 31, 2025 and December 31, 2024 .</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will continue to evaluate the realization of the TRA tax attributes, and in the future, we may conclude that it is more likely than not that the Company will be able to utilize the deferred tax assets that are subject to the TRA, and therefore that the TRA liability is probable of payment, and if the TRA is reinstated, the payments would be substantial. Assuming a reinstatement of the TRA liability, there are several assumptions that would be relevant in the ultimate determination of the amount of our TRA liability, such as, no material changes in relevant tax law, that there are no future redemptions or exchanges to Class A Units and that we earn sufficient taxable income to realize all tax benefits that are subject to the TRA. Under these assumptions, the tax savings associated with acquisitions of Legacy WMH common units in the Business Combination and subsequent exchanges as of December 31, 2025, equal approximately $165.0 million, determined as of December 31, 2025. Under this scenario, we would be required to pay certain Class A Unit holders approximately 85% of such amount, or $138.9 million, determined as of December 31, 2025.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utilize the tax benefits that are subject to the TRA. Payments under the TRA are not conditioned on the TRA parties continued equity ownership in us or WMH LLC. See Note 15, “Income Taxes,” to our consolidated financial statements included herein.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The preparation of these consolidated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income taxes, stock-based compensation, capitalized software development costs, provision (recovery) for credit losses,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consolidated financial statements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0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1240"/>
          </w:cols>
          <w:pgMar w:left="500" w:top="500" w:right="500" w:bottom="135"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recognize revenue when the fundamental criteria for revenue recognition are met. In accordance with ASC topic 606, “Revenue from Contracts with Customers,”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our Together for Equity Access and Legislation program, through which we provide free software, advertising, educational materials and training programs to applicants or licenses under social equity licensing programs. We provide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us on the applicable state’s website. For the years ended December 31, 2025 and 2024, total transaction price adjustments issued were $7.9 million and $5.5 million, respectively. For clients that pay in advance for listing and other services, we record deferred revenue and recognize revenue over the applicable subscription term.</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to Weedmaps for Business, Featured Listing and WM Deal products and other WM Ad solutions. Our Weedmaps for Business subscriptions generally have one-month terms that automatically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for service contracts that are not probable of collection is not recognized until the contract is completed and payment is received. Collectability is reassessed when there is a significant change in facts or circumstances. The assessment of collectability considers whether we may limit our credit risk exposure through our right to stop transferring additional service in the event the customer is delinquent. For more information, refer to Note 3, “Revenue from Contracts with Customers,” of our consolidated financial statements included herein.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Estimates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generally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a TRA with the WMH Class A equity holders and their representatives that provides for a payment to such holders of 85% of the amount of tax benefits, if any, that WM Technology, Inc. realizes, or is deemed to realize, as a result of redemptions or exchanges of WMH Units and payments under the TRA.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600075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600075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1240"/>
          </w:cols>
          <w:pgMar w:left="500" w:top="599" w:right="500" w:bottom="135" w:gutter="0" w:footer="0" w:header="0"/>
          <w:type w:val="continuous"/>
        </w:sectPr>
      </w:pPr>
    </w:p>
    <w:bookmarkStart w:id="68" w:name="page69"/>
    <w:bookmarkEnd w:id="68"/>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and liability requires estimates of our future qualified taxable income over the term of the TRA as a basis to determine if the related tax benefits are expected to be utilized.</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we determined during the three months ended December 31, 2022 that a full valuation allowance was required against our net deferred tax assets. We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2023 and fluctuation in both historical book operating results and future expectations. For the years ended December 31, 2025 and 2024, we conducted a similar analysis, and determined that a full valuation allowance was still required based on a more likely than not standard. See Note 15, “Income Taxes,” to our consolidated financial statements included herein.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measure fair value of employee stock-based compensation awards on the date of grant and allocate the related expense over the requisite service period. The fair value of restricted stock units and performance-based restricted stock units without market conditions is equal to the market price of our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stock-based awards are recognized as they occur and we record compensation cost over the derived service period. For the years ended December 31, 2025 and 2024, we recognized stock-based compensation expense of $7.8 million and $9.2 million, respectively. See Note 13, “Stock-based Compensation,” to our consolidated financial statements included herein.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capitalize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accounting for website and internal-use software costs requires us to make significant judgment, assumptions and estimates related to the timing and amount of recognized capitalized software development costs. For the years ended December 31, 2025 and 2024, we capitalized $13.6 million and $11.6 million of costs related to the development of software applications.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We measure credit losses on our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$4.2 million and $1.2 million as of December 31, 2025 and December 31, 2024, respectively. See Note 2, “Summary of Significant Accounting Policies,” to our consolidated financial statements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597535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597535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1240"/>
          </w:cols>
          <w:pgMar w:left="500" w:top="603" w:right="500" w:bottom="135"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6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judgment, estimates and assumptions. Significant estimates and assumptions in valuing acquired intangible assets and liabilities include projected cash flows attributable to the assets or liabilities, asset useful lives and discount rates.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2025, in accordance with our annual assessment policy, we opted to bypass the qualitative assessment and performed a quantitative assessment to test goodwill for impairment. As part of our impairment assessment,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Based on the results of this analysis, we determined that the carrying value of the reporting unit exceeded the fair value, and therefore we recorded a goodwill impairment charge of $7.1 million during the year ended December 31, 2025. If our forecasts of cash flows or other key inputs are negatively revised in the future, the estimated fair value of the reporting unit would be adversely impacted, potentially leading to an additional impairment in the future that could materially affect our operating results. No goodwill impairment charges were recorded for the year ended December 31, 2024.</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No intangible asset impairment charges have been recorded for the years ended December 31, 2025 and December 31, 2024. See Note 2, “Summary of Significant Accounting Policies,” and Note 8, “Goodwill and Intangible Assets,” to these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Long-Lived Assets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2025 and 2024, our operating leases had a weighted average remaining lease term of 5.0 years and 6.0 years and a weighted-average discount rate of 10.0% and 10.0%, respectively. Our lease agreements do not provide an implicit rate and as a result, we used an estimated incremental borrowing rate, which was derived from third-party information available at the time we adopted Accounting Standards Codification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2024, we amended our lease associated with our corporate headquarters located in Irvine, California. The amendment extended the lease term five years through February 2030 and reduced the leased square footage. The lease extension was accounted for as a lease modification, and we remeasured the lease liability and ROU asset using an incremental borrowing rate of 11.5% and recognized a non-cash lease liability of $3.0 million and the related non-cash ROU asset of $3.0 million. The lease classification remained as an operating lease. We also paid $0.1 million to terminate a lease agreement for one of our offices. In conjunction with the early lease termination, we reported a gain of $0.1 million which is recognized as a reduction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600075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600075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7"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1240"/>
          </w:cols>
          <w:pgMar w:left="500" w:top="597" w:right="500" w:bottom="135" w:gutter="0" w:footer="0" w:header="0"/>
          <w:type w:val="continuous"/>
        </w:sectPr>
      </w:pPr>
    </w:p>
    <w:bookmarkStart w:id="70" w:name="page71"/>
    <w:bookmarkEnd w:id="70"/>
    <w:p>
      <w:pPr>
        <w:jc w:val="both"/>
        <w:spacing w:after="0" w:line="287" w:lineRule="auto"/>
        <w:rPr>
          <w:sz w:val="20"/>
          <w:szCs w:val="20"/>
          <w:color w:val="auto"/>
        </w:rPr>
      </w:pPr>
      <w:r>
        <w:rPr>
          <w:rFonts w:ascii="Times New Roman" w:cs="Times New Roman" w:eastAsia="Times New Roman" w:hAnsi="Times New Roman"/>
          <w:sz w:val="17"/>
          <w:szCs w:val="17"/>
          <w:color w:val="auto"/>
        </w:rPr>
        <w:t>the related lease expense. We also de-recognized the remaining ROU asset of $0.2 million and a lease liability of $0.4 million on the consolidated balance sheet related to early lease termination.</w:t>
      </w:r>
    </w:p>
    <w:p>
      <w:pPr>
        <w:spacing w:after="0" w:line="4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We did not have any impairment charges related to property and equipment for the year ended December 31, 2025 and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December 31, 2025, 12,499,973 of the Public Warrant and all of the Private Placement Warrants remained outstanding. The warrants are measured at fair value under ASC 820 - </w:t>
      </w:r>
      <w:r>
        <w:rPr>
          <w:rFonts w:ascii="Times New Roman" w:cs="Times New Roman" w:eastAsia="Times New Roman" w:hAnsi="Times New Roman"/>
          <w:sz w:val="17"/>
          <w:szCs w:val="17"/>
          <w:i w:val="1"/>
          <w:iCs w:val="1"/>
          <w:color w:val="auto"/>
        </w:rPr>
        <w:t>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2025 and December 31, 2024, warrant liability was $0.2 million and $0.6 million, respectively. See Note 7, “Fair Value Measurements,” to our consolidated financial statements included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We have reviewed all recently issued standards and have determined that, other than as disclosed in Note 2, “Summary of Significant Accounting Policies,” such standards will not have a material impact on our consolidated financial statements or do not otherwise apply to our current operations.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Item 305 of Regulation S-K.</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8 is contained in our Consolidated Financial Statements and the Notes to Consolidated Financial Statements on pages F-1 through F-31 of this Annual Report and is incorporated herein by reference.</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the foregoing in mind, our chief executive officer and chief financial officer (“Certifying Officers”) evaluated the effectiveness of our disclosure controls and procedures as of December 31, 2025, pursuant to Rule 13a-15(b) under the Exchange Act. Based on the evaluation, our chief executive officer and chief financial officer have concluded that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593725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593725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1240"/>
          </w:cols>
          <w:pgMar w:left="500" w:top="603" w:right="500" w:bottom="135" w:gutter="0" w:footer="0" w:header="0"/>
          <w:type w:val="continuous"/>
        </w:sectPr>
      </w:pPr>
    </w:p>
    <w:bookmarkStart w:id="71" w:name="page72"/>
    <w:bookmarkEnd w:id="71"/>
    <w:p>
      <w:pPr>
        <w:jc w:val="both"/>
        <w:spacing w:after="0" w:line="287" w:lineRule="auto"/>
        <w:rPr>
          <w:sz w:val="20"/>
          <w:szCs w:val="20"/>
          <w:color w:val="auto"/>
        </w:rPr>
      </w:pPr>
      <w:r>
        <w:rPr>
          <w:rFonts w:ascii="Times New Roman" w:cs="Times New Roman" w:eastAsia="Times New Roman" w:hAnsi="Times New Roman"/>
          <w:sz w:val="17"/>
          <w:szCs w:val="17"/>
          <w:color w:val="auto"/>
        </w:rPr>
        <w:t>December 31, 2025, our disclosure controls and procedures were not effective due to the ongoing material weaknesses in internal control over financial reporting described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we continue to implement design enhancements to our internal control procedures, we believe that, other than the changes described below regarding the ongoing remediation efforts,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2025, using the criteria set forth by the Committee of Sponsoring Organizations of the Treadway Commission (COSO) in Internal Control — Integrated Framework (2013). Based on the evaluation, our chief executive officer and chief financial officer have concluded that as of December 31, 2025, our internal control over financial reporting was not effective due to the ongoing material weaknesses in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As of December 31, 2025, we have an ongoing entity-level material weakness that was identified in the years ended December 31, 2024 and 2023, and for which remediation efforts continued in the year ended December 31, 2025 as further described below.</w:t>
      </w:r>
    </w:p>
    <w:p>
      <w:pPr>
        <w:spacing w:after="0" w:line="48" w:lineRule="exact"/>
        <w:rPr>
          <w:sz w:val="20"/>
          <w:szCs w:val="20"/>
          <w:color w:val="auto"/>
        </w:rPr>
      </w:pPr>
    </w:p>
    <w:p>
      <w:pPr>
        <w:jc w:val="both"/>
        <w:ind w:left="620" w:hanging="318"/>
        <w:spacing w:after="0" w:line="261"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entity-level material weakness contributed to material weaknesses within our system of internal control over financial reporting as follows: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Unremediated material weaknesses identified in the years ended December 31, 2025, 2024 and 2023</w:t>
      </w:r>
    </w:p>
    <w:p>
      <w:pPr>
        <w:spacing w:after="0" w:line="118" w:lineRule="exact"/>
        <w:rPr>
          <w:sz w:val="20"/>
          <w:szCs w:val="20"/>
          <w:color w:val="auto"/>
        </w:rPr>
      </w:pPr>
    </w:p>
    <w:p>
      <w:pPr>
        <w:jc w:val="both"/>
        <w:ind w:left="620" w:hanging="318"/>
        <w:spacing w:after="0" w:line="257"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602615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602615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1240"/>
          </w:cols>
          <w:pgMar w:left="500" w:top="603" w:right="500" w:bottom="135" w:gutter="0" w:footer="0" w:header="0"/>
          <w:type w:val="continuous"/>
        </w:sectPr>
      </w:pPr>
    </w:p>
    <w:bookmarkStart w:id="72" w:name="page73"/>
    <w:bookmarkEnd w:id="72"/>
    <w:p>
      <w:pPr>
        <w:jc w:val="both"/>
        <w:ind w:left="620" w:hanging="318"/>
        <w:spacing w:after="0" w:line="261"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This material weakness could result in a misstatement of any account balances or disclosures that would result in a material misstatement to the annual or interim consolidated financial statements that would not be prevented or detected.</w:t>
      </w:r>
    </w:p>
    <w:p>
      <w:pPr>
        <w:spacing w:after="0" w:line="5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Our independent registered public accounting firm, Baker Tilly US, LLP, has issued an audit report on our internal control over financial reporting, which appears in Part IV, Item 15 of this Annual Report on Form 10-K.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With the oversight of management and the audit committee of our board of directors, we continue to actively take the appropriate steps toward the remediation of the underlying causes of the material weaknesses described above. We are committed to maintaining a strong internal control environment and implementing measures designed to ensure that the material weaknesses are remediated as soon as possible. We believe progress has been made toward remediation and we continue to implement our remediation plan. 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Remediation Efforts to Address Ongoing Material Weaknesses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remediation efforts for material weaknesses identified in both the current and prior years are still ongoing. To date, we have taken the following actions to remediate certain aspects of the material weaknesses described above that, as of December 31, 2025, had not yet been fully implemented or had not been in place for a sufficient period of time to demonstrate that they were having their desired effect:</w:t>
      </w:r>
    </w:p>
    <w:p>
      <w:pPr>
        <w:spacing w:after="0" w:line="62" w:lineRule="exact"/>
        <w:rPr>
          <w:sz w:val="20"/>
          <w:szCs w:val="20"/>
          <w:color w:val="auto"/>
        </w:rPr>
      </w:pPr>
    </w:p>
    <w:p>
      <w:pPr>
        <w:ind w:left="620" w:right="20" w:hanging="318"/>
        <w:spacing w:after="0" w:line="287"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the design and operation of controls related to revenue recognition including the identification of performance obligations and establishment of policies over the order-to-cash cycle, including policies over our treatment of cash basis customers.</w:t>
      </w:r>
    </w:p>
    <w:p>
      <w:pPr>
        <w:spacing w:after="0" w:line="48"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Segregating access in our ERP system and certain on-premise applications.</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Filling certain key positions in our finance and technology organizations with individuals possessing public company knowledge and experience.</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configuration of our new ERP system, which will replace our legacy ERP system in the fiscal year ended December 31, 2026.</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developers’ administrative access from production systems.</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the ability for certain users, including developers, to access other users’ accounts.</w:t>
      </w:r>
    </w:p>
    <w:p>
      <w:pPr>
        <w:spacing w:after="0" w:line="113"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audit trails to log and monitor system configuration and data changes made by users to detect erroneous or unauthorized changes.</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ind w:right="326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452120</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452120</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1240"/>
          </w:cols>
          <w:pgMar w:left="500" w:top="603" w:right="500" w:bottom="135"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1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10 is incorporated by reference to the information as set forth under the captions “Proposal No. 1 Election of Directors,” “Information Regarding the Board of Directors and Corporate Governance,” and “Executive Officers” in our definitive Proxy Statement for the 2026 Annual Meeting of Stockholders to be filed with the SEC within 120 days of December 31,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Code of Conduct</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adopted a Code of Conduct (the “Code of Conduct”), applicable to all of our employees, executive officers and directors. The Code of Conduct is available on our website at ir.weedmaps.com.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Insider Trading Policy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our securities by our directors, officers and employees. A copy of the Insider Trading Policy is filed as an exhibit to this Report. In addition, it is our practice to comply with the applicable laws and regulations relating to insider trading.</w:t>
      </w:r>
    </w:p>
    <w:p>
      <w:pPr>
        <w:spacing w:after="0" w:line="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11 is incorporated by reference to the information as set forth under the captions “Executive Compensation” and “Information Regarding the Board of Directors and Corporate Governance” in our definitive Proxy Statement for the 2026 Annual Meeting of Stockholders to be filed with the SEC within 120 days of December 31, 2025.</w:t>
      </w:r>
    </w:p>
    <w:p>
      <w:pPr>
        <w:spacing w:after="0" w:line="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12 is incorporated by reference to the information as set forth under the caption “Security Ownership of Certain Beneficial Owners and Management” in our definitive Proxy Statement for the 2026 Annual Meeting of Stockholders to be filed with the SEC within 120 days of December 31, 2025.</w:t>
      </w:r>
    </w:p>
    <w:p>
      <w:pPr>
        <w:spacing w:after="0" w:line="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13 is incorporated by reference to the information as set forth under the caption “Certain Relationships and Related Person Transactions” in our definitive Proxy Statement for the 2026 Annual Meeting of Stockholders to be filed with the SEC within 120 days of December 31, 2025.</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14.</w:t>
        <w:tab/>
        <w:t>PRINCIPAL ACCOUNTING FEES AND SERVICES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14 is incorporated by reference to the information as set forth under the caption “Principal Accountant Fees and Services” in our definitive Proxy Statement for the 2026 Annual Meeting of Stockholders to be filed with the SEC within 120 days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584835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584835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702"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1240"/>
          </w:cols>
          <w:pgMar w:left="500" w:top="702" w:right="500" w:bottom="135" w:gutter="0" w:footer="0" w:header="0"/>
          <w:type w:val="continuous"/>
        </w:sectPr>
      </w:pPr>
    </w:p>
    <w:bookmarkStart w:id="74" w:name="page75"/>
    <w:bookmarkEnd w:id="74"/>
    <w:p>
      <w:pPr>
        <w:ind w:left="7"/>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ind w:left="7"/>
        <w:spacing w:after="0"/>
        <w:tabs>
          <w:tab w:leader="none" w:pos="867"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221" w:lineRule="exact"/>
        <w:rPr>
          <w:sz w:val="20"/>
          <w:szCs w:val="20"/>
          <w:color w:val="auto"/>
        </w:rPr>
      </w:pPr>
    </w:p>
    <w:p>
      <w:pPr>
        <w:ind w:left="7" w:right="6560" w:hanging="7"/>
        <w:spacing w:after="0" w:line="432" w:lineRule="auto"/>
        <w:tabs>
          <w:tab w:leader="none" w:pos="24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Annual Report: 1. Financial Statements.</w:t>
      </w:r>
    </w:p>
    <w:p>
      <w:pPr>
        <w:spacing w:after="0" w:line="1" w:lineRule="exact"/>
        <w:rPr>
          <w:sz w:val="20"/>
          <w:szCs w:val="20"/>
          <w:color w:val="auto"/>
        </w:rPr>
      </w:pPr>
    </w:p>
    <w:tbl>
      <w:tblPr>
        <w:tblLayout w:type="fixed"/>
        <w:tblInd w:w="27" w:type="dxa"/>
        <w:tblCellMar>
          <w:top w:w="0" w:type="dxa"/>
          <w:left w:w="0" w:type="dxa"/>
          <w:bottom w:w="0" w:type="dxa"/>
          <w:right w:w="0" w:type="dxa"/>
        </w:tblCellMar>
      </w:tblPr>
      <w:tr>
        <w:trPr>
          <w:trHeight w:val="227"/>
        </w:trPr>
        <w:tc>
          <w:tcPr>
            <w:tcW w:w="103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3"/>
        </w:trPr>
        <w:tc>
          <w:tcPr>
            <w:tcW w:w="10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7"/>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F-1</w:t>
            </w:r>
          </w:p>
        </w:tc>
      </w:tr>
      <w:tr>
        <w:trPr>
          <w:trHeight w:val="223"/>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r>
      <w:tr>
        <w:trPr>
          <w:trHeight w:val="245"/>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Equity</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F-3</w:t>
            </w:r>
          </w:p>
        </w:tc>
      </w:tr>
      <w:tr>
        <w:trPr>
          <w:trHeight w:val="245"/>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F-4</w:t>
            </w:r>
          </w:p>
        </w:tc>
      </w:tr>
      <w:tr>
        <w:trPr>
          <w:trHeight w:val="245"/>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F-6</w:t>
            </w:r>
          </w:p>
        </w:tc>
      </w:tr>
    </w:tbl>
    <w:p>
      <w:pPr>
        <w:spacing w:after="0" w:line="2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7" w:lineRule="exact"/>
        <w:rPr>
          <w:sz w:val="20"/>
          <w:szCs w:val="20"/>
          <w:color w:val="auto"/>
        </w:rPr>
      </w:pPr>
    </w:p>
    <w:p>
      <w:pPr>
        <w:jc w:val="both"/>
        <w:ind w:left="7" w:right="20"/>
        <w:spacing w:after="0" w:line="287" w:lineRule="auto"/>
        <w:rPr>
          <w:sz w:val="20"/>
          <w:szCs w:val="20"/>
          <w:color w:val="auto"/>
        </w:rPr>
      </w:pPr>
      <w:r>
        <w:rPr>
          <w:rFonts w:ascii="Times New Roman" w:cs="Times New Roman" w:eastAsia="Times New Roman" w:hAnsi="Times New Roman"/>
          <w:sz w:val="17"/>
          <w:szCs w:val="17"/>
          <w:color w:val="auto"/>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3. Exhibits.</w:t>
      </w:r>
    </w:p>
    <w:p>
      <w:pPr>
        <w:spacing w:after="0" w:line="1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Annual Report:</w:t>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219"/>
        </w:trPr>
        <w:tc>
          <w:tcPr>
            <w:tcW w:w="10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1460" w:type="dxa"/>
            <w:vAlign w:val="bottom"/>
          </w:tcPr>
          <w:p>
            <w:pPr>
              <w:spacing w:after="0"/>
              <w:rPr>
                <w:sz w:val="19"/>
                <w:szCs w:val="19"/>
                <w:color w:val="auto"/>
              </w:rPr>
            </w:pPr>
          </w:p>
        </w:tc>
      </w:tr>
      <w:tr>
        <w:trPr>
          <w:trHeight w:val="219"/>
        </w:trPr>
        <w:tc>
          <w:tcPr>
            <w:tcW w:w="10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Form</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16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Filing Date</w:t>
            </w:r>
          </w:p>
        </w:tc>
      </w:tr>
      <w:tr>
        <w:trPr>
          <w:trHeight w:val="197"/>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Agreement and Plan of Merger, dated December 10, 2020, by and</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December 10, 2020</w:t>
            </w:r>
          </w:p>
        </w:tc>
      </w:tr>
      <w:tr>
        <w:trPr>
          <w:trHeight w:val="193"/>
        </w:trPr>
        <w:tc>
          <w:tcPr>
            <w:tcW w:w="1060" w:type="dxa"/>
            <w:vAlign w:val="bottom"/>
            <w:shd w:val="clear" w:color="auto" w:fill="DDDDDD"/>
          </w:tcPr>
          <w:p>
            <w:pPr>
              <w:spacing w:after="0"/>
              <w:rPr>
                <w:sz w:val="16"/>
                <w:szCs w:val="16"/>
                <w:color w:val="auto"/>
              </w:rPr>
            </w:pPr>
          </w:p>
        </w:tc>
        <w:tc>
          <w:tcPr>
            <w:tcW w:w="5300" w:type="dxa"/>
            <w:vAlign w:val="bottom"/>
            <w:shd w:val="clear" w:color="auto" w:fill="DDDDDD"/>
          </w:tcPr>
          <w:p>
            <w:pPr>
              <w:ind w:left="120"/>
              <w:spacing w:after="0" w:line="194" w:lineRule="exact"/>
              <w:rPr>
                <w:sz w:val="20"/>
                <w:szCs w:val="20"/>
                <w:color w:val="auto"/>
              </w:rPr>
            </w:pPr>
            <w:r>
              <w:rPr>
                <w:rFonts w:ascii="Times New Roman" w:cs="Times New Roman" w:eastAsia="Times New Roman" w:hAnsi="Times New Roman"/>
                <w:sz w:val="17"/>
                <w:szCs w:val="17"/>
                <w:color w:val="auto"/>
              </w:rPr>
              <w:t>among Silver Spike, Merger Sub, WMH, and the Holder Representative</w:t>
            </w:r>
          </w:p>
        </w:tc>
        <w:tc>
          <w:tcPr>
            <w:tcW w:w="94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r>
      <w:tr>
        <w:trPr>
          <w:trHeight w:val="241"/>
        </w:trPr>
        <w:tc>
          <w:tcPr>
            <w:tcW w:w="1060" w:type="dxa"/>
            <w:vAlign w:val="bottom"/>
            <w:shd w:val="clear" w:color="auto" w:fill="DDDDDD"/>
          </w:tcPr>
          <w:p>
            <w:pPr>
              <w:spacing w:after="0"/>
              <w:rPr>
                <w:sz w:val="20"/>
                <w:szCs w:val="20"/>
                <w:color w:val="auto"/>
              </w:rPr>
            </w:pP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named therein</w:t>
            </w:r>
          </w:p>
        </w:tc>
        <w:tc>
          <w:tcPr>
            <w:tcW w:w="94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r>
      <w:tr>
        <w:trPr>
          <w:trHeight w:val="236"/>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Certificate of Incorporation of the Company</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54"/>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Amended and Restated Bylaws of the Company</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36"/>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Form of Common Stock Certificate of the Company</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54"/>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Form of Warrant Certificate of the Company</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197"/>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Warrant Agreement, dated as of August 7, 2019, by and between the</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12, 2019</w:t>
            </w:r>
          </w:p>
        </w:tc>
      </w:tr>
      <w:tr>
        <w:trPr>
          <w:trHeight w:val="193"/>
        </w:trPr>
        <w:tc>
          <w:tcPr>
            <w:tcW w:w="1060" w:type="dxa"/>
            <w:vAlign w:val="bottom"/>
          </w:tcPr>
          <w:p>
            <w:pPr>
              <w:spacing w:after="0"/>
              <w:rPr>
                <w:sz w:val="16"/>
                <w:szCs w:val="16"/>
                <w:color w:val="auto"/>
              </w:rPr>
            </w:pPr>
          </w:p>
        </w:tc>
        <w:tc>
          <w:tcPr>
            <w:tcW w:w="530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Company and Continental Stock Transfer &amp; Trust Company, as warrant</w:t>
            </w: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2"/>
        </w:trPr>
        <w:tc>
          <w:tcPr>
            <w:tcW w:w="106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agent</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4"/>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Description of Securities</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February 25, 2022</w:t>
            </w:r>
          </w:p>
        </w:tc>
      </w:tr>
      <w:tr>
        <w:trPr>
          <w:trHeight w:val="197"/>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Exchange Agreement, dated as of June 16, 2021, by and among the</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32"/>
        </w:trPr>
        <w:tc>
          <w:tcPr>
            <w:tcW w:w="106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 Silver Spike Sponsor and the other parties thereto</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6"/>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Tax Receivable Agreement, dated as of June 16, 2021, by and among</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41"/>
        </w:trPr>
        <w:tc>
          <w:tcPr>
            <w:tcW w:w="1060" w:type="dxa"/>
            <w:vAlign w:val="bottom"/>
            <w:shd w:val="clear" w:color="auto" w:fill="DDDDDD"/>
          </w:tcPr>
          <w:p>
            <w:pPr>
              <w:spacing w:after="0"/>
              <w:rPr>
                <w:sz w:val="20"/>
                <w:szCs w:val="20"/>
                <w:color w:val="auto"/>
              </w:rPr>
            </w:pP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the Company and the other parties thereto</w:t>
            </w:r>
          </w:p>
        </w:tc>
        <w:tc>
          <w:tcPr>
            <w:tcW w:w="94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r>
      <w:tr>
        <w:trPr>
          <w:trHeight w:val="236"/>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Fourth Amended and Restated Operating Agreement of WMH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54"/>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Form of Subscription Agreement</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197"/>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Amended and Restated Registration Rights Agreement, dated as of</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193"/>
        </w:trPr>
        <w:tc>
          <w:tcPr>
            <w:tcW w:w="1060" w:type="dxa"/>
            <w:vAlign w:val="bottom"/>
          </w:tcPr>
          <w:p>
            <w:pPr>
              <w:spacing w:after="0"/>
              <w:rPr>
                <w:sz w:val="16"/>
                <w:szCs w:val="16"/>
                <w:color w:val="auto"/>
              </w:rPr>
            </w:pPr>
          </w:p>
        </w:tc>
        <w:tc>
          <w:tcPr>
            <w:tcW w:w="530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June 16, 2021, by and among the Company, Silver Spike Sponsor and</w:t>
            </w: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2"/>
        </w:trPr>
        <w:tc>
          <w:tcPr>
            <w:tcW w:w="106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other parties thereto</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6"/>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9"/>
              </w:rPr>
              <w:t>10.6#</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Form of Indemnification Agreement by and between the Company and</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41"/>
        </w:trPr>
        <w:tc>
          <w:tcPr>
            <w:tcW w:w="1060" w:type="dxa"/>
            <w:vAlign w:val="bottom"/>
            <w:shd w:val="clear" w:color="auto" w:fill="DDDDDD"/>
          </w:tcPr>
          <w:p>
            <w:pPr>
              <w:spacing w:after="0"/>
              <w:rPr>
                <w:sz w:val="20"/>
                <w:szCs w:val="20"/>
                <w:color w:val="auto"/>
              </w:rPr>
            </w:pP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its directors and officers</w:t>
            </w:r>
          </w:p>
        </w:tc>
        <w:tc>
          <w:tcPr>
            <w:tcW w:w="94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r>
      <w:tr>
        <w:trPr>
          <w:trHeight w:val="236"/>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10.7#</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WM Technology, Inc. 2021 Equity Incentive Plan</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54"/>
        </w:trPr>
        <w:tc>
          <w:tcPr>
            <w:tcW w:w="1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10.7(a)(#)</w:t>
            </w:r>
          </w:p>
        </w:tc>
        <w:tc>
          <w:tcPr>
            <w:tcW w:w="53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Form of Stock Option Grant Notice</w:t>
            </w:r>
          </w:p>
        </w:tc>
        <w:tc>
          <w:tcPr>
            <w:tcW w:w="9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10.7(a)</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r>
        <w:trPr>
          <w:trHeight w:val="227"/>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10.7(b)#</w:t>
            </w:r>
          </w:p>
        </w:tc>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Form of RSU Award Grant Notice</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10.7(b)</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22,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608965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608965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7"/>
          </w:cols>
          <w:pgMar w:left="493" w:top="702"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1247"/>
          </w:cols>
          <w:pgMar w:left="493" w:top="702" w:right="500" w:bottom="135"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45"/>
        </w:trPr>
        <w:tc>
          <w:tcPr>
            <w:tcW w:w="960" w:type="dxa"/>
            <w:vAlign w:val="bottom"/>
            <w:shd w:val="clear" w:color="auto" w:fill="DDDDDD"/>
          </w:tcPr>
          <w:p>
            <w:pPr>
              <w:jc w:val="center"/>
              <w:ind w:left="14"/>
              <w:spacing w:after="0"/>
              <w:rPr>
                <w:sz w:val="20"/>
                <w:szCs w:val="20"/>
                <w:color w:val="auto"/>
              </w:rPr>
            </w:pPr>
            <w:r>
              <w:rPr>
                <w:rFonts w:ascii="Times New Roman" w:cs="Times New Roman" w:eastAsia="Times New Roman" w:hAnsi="Times New Roman"/>
                <w:sz w:val="17"/>
                <w:szCs w:val="17"/>
                <w:color w:val="auto"/>
                <w:w w:val="99"/>
              </w:rPr>
              <w:t>10.8#</w:t>
            </w:r>
          </w:p>
        </w:tc>
        <w:tc>
          <w:tcPr>
            <w:tcW w:w="54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WM Technology, Inc. 2021 Employee Stock Purchase Plan</w:t>
            </w:r>
          </w:p>
        </w:tc>
        <w:tc>
          <w:tcPr>
            <w:tcW w:w="9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340" w:type="dxa"/>
            <w:vAlign w:val="bottom"/>
            <w:shd w:val="clear" w:color="auto" w:fill="DDDDDD"/>
          </w:tcPr>
          <w:p>
            <w:pPr>
              <w:jc w:val="right"/>
              <w:ind w:right="194"/>
              <w:spacing w:after="0"/>
              <w:rPr>
                <w:sz w:val="20"/>
                <w:szCs w:val="20"/>
                <w:color w:val="auto"/>
              </w:rPr>
            </w:pPr>
            <w:r>
              <w:rPr>
                <w:rFonts w:ascii="Times New Roman" w:cs="Times New Roman" w:eastAsia="Times New Roman" w:hAnsi="Times New Roman"/>
                <w:sz w:val="17"/>
                <w:szCs w:val="17"/>
                <w:color w:val="auto"/>
              </w:rPr>
              <w:t>001-39021</w:t>
            </w:r>
          </w:p>
        </w:tc>
        <w:tc>
          <w:tcPr>
            <w:tcW w:w="9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620" w:type="dxa"/>
            <w:vAlign w:val="bottom"/>
            <w:shd w:val="clear" w:color="auto" w:fill="DDDDDD"/>
          </w:tcPr>
          <w:p>
            <w:pPr>
              <w:jc w:val="center"/>
              <w:ind w:left="94"/>
              <w:spacing w:after="0"/>
              <w:rPr>
                <w:sz w:val="20"/>
                <w:szCs w:val="20"/>
                <w:color w:val="auto"/>
              </w:rPr>
            </w:pPr>
            <w:r>
              <w:rPr>
                <w:rFonts w:ascii="Times New Roman" w:cs="Times New Roman" w:eastAsia="Times New Roman" w:hAnsi="Times New Roman"/>
                <w:sz w:val="17"/>
                <w:szCs w:val="17"/>
                <w:color w:val="auto"/>
              </w:rPr>
              <w:t>June 22, 2021</w:t>
            </w:r>
          </w:p>
        </w:tc>
      </w:tr>
      <w:tr>
        <w:trPr>
          <w:trHeight w:val="156"/>
        </w:trPr>
        <w:tc>
          <w:tcPr>
            <w:tcW w:w="960" w:type="dxa"/>
            <w:vAlign w:val="bottom"/>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rPr>
              <w:t>10.9</w:t>
            </w:r>
          </w:p>
        </w:tc>
        <w:tc>
          <w:tcPr>
            <w:tcW w:w="54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Lease, dated as of November 11, 2013, by and between the Irvine</w:t>
            </w: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w w:val="99"/>
              </w:rPr>
              <w:t>10.12</w:t>
            </w:r>
          </w:p>
        </w:tc>
        <w:tc>
          <w:tcPr>
            <w:tcW w:w="1620" w:type="dxa"/>
            <w:vAlign w:val="bottom"/>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June 22, 2021</w:t>
            </w:r>
          </w:p>
        </w:tc>
      </w:tr>
      <w:tr>
        <w:trPr>
          <w:trHeight w:val="223"/>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Company LLC and Ghost Media Group, LLC, as amended</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
        </w:trPr>
        <w:tc>
          <w:tcPr>
            <w:tcW w:w="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6"/>
        </w:trPr>
        <w:tc>
          <w:tcPr>
            <w:tcW w:w="960" w:type="dxa"/>
            <w:vAlign w:val="bottom"/>
            <w:shd w:val="clear" w:color="auto" w:fill="DDDDDD"/>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9"/>
              </w:rPr>
              <w:t>10.10</w:t>
            </w:r>
          </w:p>
        </w:tc>
        <w:tc>
          <w:tcPr>
            <w:tcW w:w="5420" w:type="dxa"/>
            <w:vAlign w:val="bottom"/>
            <w:shd w:val="clear" w:color="auto" w:fill="DDDDDD"/>
          </w:tcPr>
          <w:p>
            <w:pPr>
              <w:ind w:left="220"/>
              <w:spacing w:after="0" w:line="156" w:lineRule="exact"/>
              <w:rPr>
                <w:sz w:val="20"/>
                <w:szCs w:val="20"/>
                <w:color w:val="auto"/>
              </w:rPr>
            </w:pPr>
            <w:r>
              <w:rPr>
                <w:rFonts w:ascii="Times New Roman" w:cs="Times New Roman" w:eastAsia="Times New Roman" w:hAnsi="Times New Roman"/>
                <w:sz w:val="17"/>
                <w:szCs w:val="17"/>
                <w:color w:val="auto"/>
              </w:rPr>
              <w:t>First Amendment to Lease and Consent to Assignment, dated as of</w:t>
            </w:r>
          </w:p>
        </w:tc>
        <w:tc>
          <w:tcPr>
            <w:tcW w:w="92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8-K</w:t>
            </w:r>
          </w:p>
        </w:tc>
        <w:tc>
          <w:tcPr>
            <w:tcW w:w="1340" w:type="dxa"/>
            <w:vAlign w:val="bottom"/>
            <w:shd w:val="clear" w:color="auto" w:fill="DDDDDD"/>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w w:val="99"/>
              </w:rPr>
              <w:t>10.13</w:t>
            </w:r>
          </w:p>
        </w:tc>
        <w:tc>
          <w:tcPr>
            <w:tcW w:w="1620" w:type="dxa"/>
            <w:vAlign w:val="bottom"/>
            <w:shd w:val="clear" w:color="auto" w:fill="DDDDDD"/>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June 22, 2021</w:t>
            </w:r>
          </w:p>
        </w:tc>
      </w:tr>
      <w:tr>
        <w:trPr>
          <w:trHeight w:val="177"/>
        </w:trPr>
        <w:tc>
          <w:tcPr>
            <w:tcW w:w="960" w:type="dxa"/>
            <w:vAlign w:val="bottom"/>
            <w:shd w:val="clear" w:color="auto" w:fill="DDDDDD"/>
          </w:tcPr>
          <w:p>
            <w:pPr>
              <w:spacing w:after="0"/>
              <w:rPr>
                <w:sz w:val="15"/>
                <w:szCs w:val="15"/>
                <w:color w:val="auto"/>
              </w:rPr>
            </w:pPr>
          </w:p>
        </w:tc>
        <w:tc>
          <w:tcPr>
            <w:tcW w:w="5420" w:type="dxa"/>
            <w:vAlign w:val="bottom"/>
            <w:shd w:val="clear" w:color="auto" w:fill="DDDDDD"/>
          </w:tcPr>
          <w:p>
            <w:pPr>
              <w:ind w:left="220"/>
              <w:spacing w:after="0" w:line="177" w:lineRule="exact"/>
              <w:rPr>
                <w:sz w:val="20"/>
                <w:szCs w:val="20"/>
                <w:color w:val="auto"/>
              </w:rPr>
            </w:pPr>
            <w:r>
              <w:rPr>
                <w:rFonts w:ascii="Times New Roman" w:cs="Times New Roman" w:eastAsia="Times New Roman" w:hAnsi="Times New Roman"/>
                <w:sz w:val="17"/>
                <w:szCs w:val="17"/>
                <w:color w:val="auto"/>
              </w:rPr>
              <w:t>January 27, 2016, by and between Discovery Business Center LLC, as</w:t>
            </w:r>
          </w:p>
        </w:tc>
        <w:tc>
          <w:tcPr>
            <w:tcW w:w="92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1620" w:type="dxa"/>
            <w:vAlign w:val="bottom"/>
            <w:shd w:val="clear" w:color="auto" w:fill="DDDDDD"/>
          </w:tcPr>
          <w:p>
            <w:pPr>
              <w:spacing w:after="0"/>
              <w:rPr>
                <w:sz w:val="15"/>
                <w:szCs w:val="15"/>
                <w:color w:val="auto"/>
              </w:rPr>
            </w:pPr>
          </w:p>
        </w:tc>
      </w:tr>
      <w:tr>
        <w:trPr>
          <w:trHeight w:val="171"/>
        </w:trPr>
        <w:tc>
          <w:tcPr>
            <w:tcW w:w="960" w:type="dxa"/>
            <w:vAlign w:val="bottom"/>
            <w:shd w:val="clear" w:color="auto" w:fill="DDDDDD"/>
          </w:tcPr>
          <w:p>
            <w:pPr>
              <w:spacing w:after="0"/>
              <w:rPr>
                <w:sz w:val="14"/>
                <w:szCs w:val="14"/>
                <w:color w:val="auto"/>
              </w:rPr>
            </w:pPr>
          </w:p>
        </w:tc>
        <w:tc>
          <w:tcPr>
            <w:tcW w:w="5420" w:type="dxa"/>
            <w:vAlign w:val="bottom"/>
            <w:shd w:val="clear" w:color="auto" w:fill="DDDDDD"/>
          </w:tcPr>
          <w:p>
            <w:pPr>
              <w:ind w:left="220"/>
              <w:spacing w:after="0" w:line="172" w:lineRule="exact"/>
              <w:rPr>
                <w:sz w:val="20"/>
                <w:szCs w:val="20"/>
                <w:color w:val="auto"/>
              </w:rPr>
            </w:pPr>
            <w:r>
              <w:rPr>
                <w:rFonts w:ascii="Times New Roman" w:cs="Times New Roman" w:eastAsia="Times New Roman" w:hAnsi="Times New Roman"/>
                <w:sz w:val="17"/>
                <w:szCs w:val="17"/>
                <w:color w:val="auto"/>
              </w:rPr>
              <w:t>successor-in-interest to the Irvine Company LLC, and Ghost</w:t>
            </w:r>
          </w:p>
        </w:tc>
        <w:tc>
          <w:tcPr>
            <w:tcW w:w="920" w:type="dxa"/>
            <w:vAlign w:val="bottom"/>
            <w:shd w:val="clear" w:color="auto" w:fill="DDDDDD"/>
          </w:tcPr>
          <w:p>
            <w:pPr>
              <w:spacing w:after="0"/>
              <w:rPr>
                <w:sz w:val="14"/>
                <w:szCs w:val="14"/>
                <w:color w:val="auto"/>
              </w:rPr>
            </w:pPr>
          </w:p>
        </w:tc>
        <w:tc>
          <w:tcPr>
            <w:tcW w:w="134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620" w:type="dxa"/>
            <w:vAlign w:val="bottom"/>
            <w:shd w:val="clear" w:color="auto" w:fill="DDDDDD"/>
          </w:tcPr>
          <w:p>
            <w:pPr>
              <w:spacing w:after="0"/>
              <w:rPr>
                <w:sz w:val="14"/>
                <w:szCs w:val="14"/>
                <w:color w:val="auto"/>
              </w:rPr>
            </w:pPr>
          </w:p>
        </w:tc>
      </w:tr>
      <w:tr>
        <w:trPr>
          <w:trHeight w:val="168"/>
        </w:trPr>
        <w:tc>
          <w:tcPr>
            <w:tcW w:w="960" w:type="dxa"/>
            <w:vAlign w:val="bottom"/>
            <w:shd w:val="clear" w:color="auto" w:fill="DDDDDD"/>
          </w:tcPr>
          <w:p>
            <w:pPr>
              <w:spacing w:after="0"/>
              <w:rPr>
                <w:sz w:val="14"/>
                <w:szCs w:val="14"/>
                <w:color w:val="auto"/>
              </w:rPr>
            </w:pPr>
          </w:p>
        </w:tc>
        <w:tc>
          <w:tcPr>
            <w:tcW w:w="5420" w:type="dxa"/>
            <w:vAlign w:val="bottom"/>
            <w:shd w:val="clear" w:color="auto" w:fill="DDDDDD"/>
          </w:tcPr>
          <w:p>
            <w:pPr>
              <w:ind w:left="220"/>
              <w:spacing w:after="0" w:line="167" w:lineRule="exact"/>
              <w:rPr>
                <w:sz w:val="20"/>
                <w:szCs w:val="20"/>
                <w:color w:val="auto"/>
              </w:rPr>
            </w:pPr>
            <w:r>
              <w:rPr>
                <w:rFonts w:ascii="Times New Roman" w:cs="Times New Roman" w:eastAsia="Times New Roman" w:hAnsi="Times New Roman"/>
                <w:sz w:val="17"/>
                <w:szCs w:val="17"/>
                <w:color w:val="auto"/>
              </w:rPr>
              <w:t>Management Group, LLC, as successor-in-interest to Ghost Media</w:t>
            </w:r>
          </w:p>
        </w:tc>
        <w:tc>
          <w:tcPr>
            <w:tcW w:w="920" w:type="dxa"/>
            <w:vAlign w:val="bottom"/>
            <w:shd w:val="clear" w:color="auto" w:fill="DDDDDD"/>
          </w:tcPr>
          <w:p>
            <w:pPr>
              <w:spacing w:after="0"/>
              <w:rPr>
                <w:sz w:val="14"/>
                <w:szCs w:val="14"/>
                <w:color w:val="auto"/>
              </w:rPr>
            </w:pPr>
          </w:p>
        </w:tc>
        <w:tc>
          <w:tcPr>
            <w:tcW w:w="134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620" w:type="dxa"/>
            <w:vAlign w:val="bottom"/>
            <w:shd w:val="clear" w:color="auto" w:fill="DDDDDD"/>
          </w:tcPr>
          <w:p>
            <w:pPr>
              <w:spacing w:after="0"/>
              <w:rPr>
                <w:sz w:val="14"/>
                <w:szCs w:val="14"/>
                <w:color w:val="auto"/>
              </w:rPr>
            </w:pPr>
          </w:p>
        </w:tc>
      </w:tr>
      <w:tr>
        <w:trPr>
          <w:trHeight w:val="224"/>
        </w:trPr>
        <w:tc>
          <w:tcPr>
            <w:tcW w:w="960" w:type="dxa"/>
            <w:vAlign w:val="bottom"/>
            <w:tcBorders>
              <w:bottom w:val="single" w:sz="8" w:color="DDDDDD"/>
            </w:tcBorders>
            <w:shd w:val="clear" w:color="auto" w:fill="DDDDDD"/>
          </w:tcPr>
          <w:p>
            <w:pPr>
              <w:spacing w:after="0"/>
              <w:rPr>
                <w:sz w:val="19"/>
                <w:szCs w:val="19"/>
                <w:color w:val="auto"/>
              </w:rPr>
            </w:pPr>
          </w:p>
        </w:tc>
        <w:tc>
          <w:tcPr>
            <w:tcW w:w="54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Group, LLC</w:t>
            </w:r>
          </w:p>
        </w:tc>
        <w:tc>
          <w:tcPr>
            <w:tcW w:w="920" w:type="dxa"/>
            <w:vAlign w:val="bottom"/>
            <w:tcBorders>
              <w:bottom w:val="single" w:sz="8" w:color="DDDDDD"/>
            </w:tcBorders>
            <w:shd w:val="clear" w:color="auto" w:fill="DDDDDD"/>
          </w:tcPr>
          <w:p>
            <w:pPr>
              <w:spacing w:after="0"/>
              <w:rPr>
                <w:sz w:val="19"/>
                <w:szCs w:val="19"/>
                <w:color w:val="auto"/>
              </w:rPr>
            </w:pPr>
          </w:p>
        </w:tc>
        <w:tc>
          <w:tcPr>
            <w:tcW w:w="134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DDDDDD"/>
            </w:tcBorders>
            <w:shd w:val="clear" w:color="auto" w:fill="DDDDDD"/>
          </w:tcPr>
          <w:p>
            <w:pPr>
              <w:spacing w:after="0"/>
              <w:rPr>
                <w:sz w:val="19"/>
                <w:szCs w:val="19"/>
                <w:color w:val="auto"/>
              </w:rPr>
            </w:pPr>
          </w:p>
        </w:tc>
        <w:tc>
          <w:tcPr>
            <w:tcW w:w="1620" w:type="dxa"/>
            <w:vAlign w:val="bottom"/>
            <w:tcBorders>
              <w:bottom w:val="single" w:sz="8" w:color="DDDDDD"/>
            </w:tcBorders>
            <w:shd w:val="clear" w:color="auto" w:fill="DDDDDD"/>
          </w:tcPr>
          <w:p>
            <w:pPr>
              <w:spacing w:after="0"/>
              <w:rPr>
                <w:sz w:val="19"/>
                <w:szCs w:val="19"/>
                <w:color w:val="auto"/>
              </w:rPr>
            </w:pPr>
          </w:p>
        </w:tc>
      </w:tr>
      <w:tr>
        <w:trPr>
          <w:trHeight w:val="156"/>
        </w:trPr>
        <w:tc>
          <w:tcPr>
            <w:tcW w:w="960" w:type="dxa"/>
            <w:vAlign w:val="bottom"/>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9"/>
              </w:rPr>
              <w:t>10.11</w:t>
            </w:r>
          </w:p>
        </w:tc>
        <w:tc>
          <w:tcPr>
            <w:tcW w:w="54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Second Amendment to Lease, dated as of April 7, 2017, by and between</w:t>
            </w: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w w:val="99"/>
              </w:rPr>
              <w:t>10.14</w:t>
            </w:r>
          </w:p>
        </w:tc>
        <w:tc>
          <w:tcPr>
            <w:tcW w:w="1620" w:type="dxa"/>
            <w:vAlign w:val="bottom"/>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June 22, 2021</w:t>
            </w:r>
          </w:p>
        </w:tc>
      </w:tr>
      <w:tr>
        <w:trPr>
          <w:trHeight w:val="223"/>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Discovery Business Center LLC and Ghost Management Group, LLC</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
        </w:trPr>
        <w:tc>
          <w:tcPr>
            <w:tcW w:w="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6"/>
        </w:trPr>
        <w:tc>
          <w:tcPr>
            <w:tcW w:w="960" w:type="dxa"/>
            <w:vAlign w:val="bottom"/>
            <w:shd w:val="clear" w:color="auto" w:fill="DDDDDD"/>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9"/>
              </w:rPr>
              <w:t>10.12</w:t>
            </w:r>
          </w:p>
        </w:tc>
        <w:tc>
          <w:tcPr>
            <w:tcW w:w="5420" w:type="dxa"/>
            <w:vAlign w:val="bottom"/>
            <w:shd w:val="clear" w:color="auto" w:fill="DDDDDD"/>
          </w:tcPr>
          <w:p>
            <w:pPr>
              <w:ind w:left="220"/>
              <w:spacing w:after="0" w:line="156" w:lineRule="exact"/>
              <w:rPr>
                <w:sz w:val="20"/>
                <w:szCs w:val="20"/>
                <w:color w:val="auto"/>
              </w:rPr>
            </w:pPr>
            <w:r>
              <w:rPr>
                <w:rFonts w:ascii="Times New Roman" w:cs="Times New Roman" w:eastAsia="Times New Roman" w:hAnsi="Times New Roman"/>
                <w:sz w:val="17"/>
                <w:szCs w:val="17"/>
                <w:color w:val="auto"/>
              </w:rPr>
              <w:t>Third Amendment to Lease, dated as of December 29, 2017, by and</w:t>
            </w:r>
          </w:p>
        </w:tc>
        <w:tc>
          <w:tcPr>
            <w:tcW w:w="92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8-K</w:t>
            </w:r>
          </w:p>
        </w:tc>
        <w:tc>
          <w:tcPr>
            <w:tcW w:w="1340" w:type="dxa"/>
            <w:vAlign w:val="bottom"/>
            <w:shd w:val="clear" w:color="auto" w:fill="DDDDDD"/>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w w:val="99"/>
              </w:rPr>
              <w:t>10.15</w:t>
            </w:r>
          </w:p>
        </w:tc>
        <w:tc>
          <w:tcPr>
            <w:tcW w:w="1620" w:type="dxa"/>
            <w:vAlign w:val="bottom"/>
            <w:shd w:val="clear" w:color="auto" w:fill="DDDDDD"/>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June 22, 2021</w:t>
            </w:r>
          </w:p>
        </w:tc>
      </w:tr>
      <w:tr>
        <w:trPr>
          <w:trHeight w:val="177"/>
        </w:trPr>
        <w:tc>
          <w:tcPr>
            <w:tcW w:w="960" w:type="dxa"/>
            <w:vAlign w:val="bottom"/>
            <w:shd w:val="clear" w:color="auto" w:fill="DDDDDD"/>
          </w:tcPr>
          <w:p>
            <w:pPr>
              <w:spacing w:after="0"/>
              <w:rPr>
                <w:sz w:val="15"/>
                <w:szCs w:val="15"/>
                <w:color w:val="auto"/>
              </w:rPr>
            </w:pPr>
          </w:p>
        </w:tc>
        <w:tc>
          <w:tcPr>
            <w:tcW w:w="5420" w:type="dxa"/>
            <w:vAlign w:val="bottom"/>
            <w:shd w:val="clear" w:color="auto" w:fill="DDDDDD"/>
          </w:tcPr>
          <w:p>
            <w:pPr>
              <w:ind w:left="220"/>
              <w:spacing w:after="0" w:line="177" w:lineRule="exact"/>
              <w:rPr>
                <w:sz w:val="20"/>
                <w:szCs w:val="20"/>
                <w:color w:val="auto"/>
              </w:rPr>
            </w:pPr>
            <w:r>
              <w:rPr>
                <w:rFonts w:ascii="Times New Roman" w:cs="Times New Roman" w:eastAsia="Times New Roman" w:hAnsi="Times New Roman"/>
                <w:sz w:val="17"/>
                <w:szCs w:val="17"/>
                <w:color w:val="auto"/>
              </w:rPr>
              <w:t>between Discovery Business Center LLC and Ghost Management</w:t>
            </w:r>
          </w:p>
        </w:tc>
        <w:tc>
          <w:tcPr>
            <w:tcW w:w="92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1620" w:type="dxa"/>
            <w:vAlign w:val="bottom"/>
            <w:shd w:val="clear" w:color="auto" w:fill="DDDDDD"/>
          </w:tcPr>
          <w:p>
            <w:pPr>
              <w:spacing w:after="0"/>
              <w:rPr>
                <w:sz w:val="15"/>
                <w:szCs w:val="15"/>
                <w:color w:val="auto"/>
              </w:rPr>
            </w:pPr>
          </w:p>
        </w:tc>
      </w:tr>
      <w:tr>
        <w:trPr>
          <w:trHeight w:val="235"/>
        </w:trPr>
        <w:tc>
          <w:tcPr>
            <w:tcW w:w="960" w:type="dxa"/>
            <w:vAlign w:val="bottom"/>
            <w:shd w:val="clear" w:color="auto" w:fill="DDDDDD"/>
          </w:tcPr>
          <w:p>
            <w:pPr>
              <w:spacing w:after="0"/>
              <w:rPr>
                <w:sz w:val="20"/>
                <w:szCs w:val="20"/>
                <w:color w:val="auto"/>
              </w:rPr>
            </w:pPr>
          </w:p>
        </w:tc>
        <w:tc>
          <w:tcPr>
            <w:tcW w:w="54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Group, LLC</w:t>
            </w:r>
          </w:p>
        </w:tc>
        <w:tc>
          <w:tcPr>
            <w:tcW w:w="92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1620" w:type="dxa"/>
            <w:vAlign w:val="bottom"/>
            <w:shd w:val="clear" w:color="auto" w:fill="DDDDDD"/>
          </w:tcPr>
          <w:p>
            <w:pPr>
              <w:spacing w:after="0"/>
              <w:rPr>
                <w:sz w:val="20"/>
                <w:szCs w:val="20"/>
                <w:color w:val="auto"/>
              </w:rPr>
            </w:pPr>
          </w:p>
        </w:tc>
      </w:tr>
      <w:tr>
        <w:trPr>
          <w:trHeight w:val="156"/>
        </w:trPr>
        <w:tc>
          <w:tcPr>
            <w:tcW w:w="960" w:type="dxa"/>
            <w:vAlign w:val="bottom"/>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9"/>
              </w:rPr>
              <w:t>10.13</w:t>
            </w:r>
          </w:p>
        </w:tc>
        <w:tc>
          <w:tcPr>
            <w:tcW w:w="54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Fourth Amendment to Lease, dated May 3, 2018, by and between</w:t>
            </w: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w w:val="99"/>
              </w:rPr>
              <w:t>10.16</w:t>
            </w:r>
          </w:p>
        </w:tc>
        <w:tc>
          <w:tcPr>
            <w:tcW w:w="1620" w:type="dxa"/>
            <w:vAlign w:val="bottom"/>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June 22, 2021</w:t>
            </w:r>
          </w:p>
        </w:tc>
      </w:tr>
      <w:tr>
        <w:trPr>
          <w:trHeight w:val="223"/>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Discovery Business Center LLC and Ghost Management Group, LLC</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
        </w:trPr>
        <w:tc>
          <w:tcPr>
            <w:tcW w:w="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6"/>
        </w:trPr>
        <w:tc>
          <w:tcPr>
            <w:tcW w:w="960" w:type="dxa"/>
            <w:vAlign w:val="bottom"/>
            <w:shd w:val="clear" w:color="auto" w:fill="DDDDDD"/>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9"/>
              </w:rPr>
              <w:t>10.14</w:t>
            </w:r>
          </w:p>
        </w:tc>
        <w:tc>
          <w:tcPr>
            <w:tcW w:w="5420" w:type="dxa"/>
            <w:vAlign w:val="bottom"/>
            <w:shd w:val="clear" w:color="auto" w:fill="DDDDDD"/>
          </w:tcPr>
          <w:p>
            <w:pPr>
              <w:ind w:left="220"/>
              <w:spacing w:after="0" w:line="156" w:lineRule="exact"/>
              <w:rPr>
                <w:sz w:val="20"/>
                <w:szCs w:val="20"/>
                <w:color w:val="auto"/>
              </w:rPr>
            </w:pPr>
            <w:r>
              <w:rPr>
                <w:rFonts w:ascii="Times New Roman" w:cs="Times New Roman" w:eastAsia="Times New Roman" w:hAnsi="Times New Roman"/>
                <w:sz w:val="17"/>
                <w:szCs w:val="17"/>
                <w:color w:val="auto"/>
              </w:rPr>
              <w:t>Fifth Amendment to Lease, dated as of September 30, 2024, by and</w:t>
            </w:r>
          </w:p>
        </w:tc>
        <w:tc>
          <w:tcPr>
            <w:tcW w:w="92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10-Q</w:t>
            </w:r>
          </w:p>
        </w:tc>
        <w:tc>
          <w:tcPr>
            <w:tcW w:w="1340" w:type="dxa"/>
            <w:vAlign w:val="bottom"/>
            <w:shd w:val="clear" w:color="auto" w:fill="DDDDDD"/>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10.2</w:t>
            </w:r>
          </w:p>
        </w:tc>
        <w:tc>
          <w:tcPr>
            <w:tcW w:w="1620" w:type="dxa"/>
            <w:vAlign w:val="bottom"/>
            <w:shd w:val="clear" w:color="auto" w:fill="DDDDDD"/>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November 12, 2024</w:t>
            </w:r>
          </w:p>
        </w:tc>
      </w:tr>
      <w:tr>
        <w:trPr>
          <w:trHeight w:val="177"/>
        </w:trPr>
        <w:tc>
          <w:tcPr>
            <w:tcW w:w="960" w:type="dxa"/>
            <w:vAlign w:val="bottom"/>
            <w:shd w:val="clear" w:color="auto" w:fill="DDDDDD"/>
          </w:tcPr>
          <w:p>
            <w:pPr>
              <w:spacing w:after="0"/>
              <w:rPr>
                <w:sz w:val="15"/>
                <w:szCs w:val="15"/>
                <w:color w:val="auto"/>
              </w:rPr>
            </w:pPr>
          </w:p>
        </w:tc>
        <w:tc>
          <w:tcPr>
            <w:tcW w:w="5420" w:type="dxa"/>
            <w:vAlign w:val="bottom"/>
            <w:shd w:val="clear" w:color="auto" w:fill="DDDDDD"/>
          </w:tcPr>
          <w:p>
            <w:pPr>
              <w:ind w:left="220"/>
              <w:spacing w:after="0" w:line="177" w:lineRule="exact"/>
              <w:rPr>
                <w:sz w:val="20"/>
                <w:szCs w:val="20"/>
                <w:color w:val="auto"/>
              </w:rPr>
            </w:pPr>
            <w:r>
              <w:rPr>
                <w:rFonts w:ascii="Times New Roman" w:cs="Times New Roman" w:eastAsia="Times New Roman" w:hAnsi="Times New Roman"/>
                <w:sz w:val="17"/>
                <w:szCs w:val="17"/>
                <w:color w:val="auto"/>
              </w:rPr>
              <w:t>between Discovery Business Center LLC and Ghost Management</w:t>
            </w:r>
          </w:p>
        </w:tc>
        <w:tc>
          <w:tcPr>
            <w:tcW w:w="92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1620" w:type="dxa"/>
            <w:vAlign w:val="bottom"/>
            <w:shd w:val="clear" w:color="auto" w:fill="DDDDDD"/>
          </w:tcPr>
          <w:p>
            <w:pPr>
              <w:spacing w:after="0"/>
              <w:rPr>
                <w:sz w:val="15"/>
                <w:szCs w:val="15"/>
                <w:color w:val="auto"/>
              </w:rPr>
            </w:pPr>
          </w:p>
        </w:tc>
      </w:tr>
      <w:tr>
        <w:trPr>
          <w:trHeight w:val="235"/>
        </w:trPr>
        <w:tc>
          <w:tcPr>
            <w:tcW w:w="960" w:type="dxa"/>
            <w:vAlign w:val="bottom"/>
            <w:shd w:val="clear" w:color="auto" w:fill="DDDDDD"/>
          </w:tcPr>
          <w:p>
            <w:pPr>
              <w:spacing w:after="0"/>
              <w:rPr>
                <w:sz w:val="20"/>
                <w:szCs w:val="20"/>
                <w:color w:val="auto"/>
              </w:rPr>
            </w:pPr>
          </w:p>
        </w:tc>
        <w:tc>
          <w:tcPr>
            <w:tcW w:w="54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Group, LLC</w:t>
            </w:r>
          </w:p>
        </w:tc>
        <w:tc>
          <w:tcPr>
            <w:tcW w:w="92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1620" w:type="dxa"/>
            <w:vAlign w:val="bottom"/>
            <w:shd w:val="clear" w:color="auto" w:fill="DDDDDD"/>
          </w:tcPr>
          <w:p>
            <w:pPr>
              <w:spacing w:after="0"/>
              <w:rPr>
                <w:sz w:val="20"/>
                <w:szCs w:val="20"/>
                <w:color w:val="auto"/>
              </w:rPr>
            </w:pPr>
          </w:p>
        </w:tc>
      </w:tr>
      <w:tr>
        <w:trPr>
          <w:trHeight w:val="156"/>
        </w:trPr>
        <w:tc>
          <w:tcPr>
            <w:tcW w:w="960" w:type="dxa"/>
            <w:vAlign w:val="bottom"/>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8"/>
              </w:rPr>
              <w:t>10.15#</w:t>
            </w:r>
          </w:p>
        </w:tc>
        <w:tc>
          <w:tcPr>
            <w:tcW w:w="54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Amended and Restated WM Technology, Inc. Non-Employee Director</w:t>
            </w: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10.3</w:t>
            </w:r>
          </w:p>
        </w:tc>
        <w:tc>
          <w:tcPr>
            <w:tcW w:w="1620" w:type="dxa"/>
            <w:vAlign w:val="bottom"/>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February 03, 2026</w:t>
            </w:r>
          </w:p>
        </w:tc>
      </w:tr>
      <w:tr>
        <w:trPr>
          <w:trHeight w:val="223"/>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Compensation Policy</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
        </w:trPr>
        <w:tc>
          <w:tcPr>
            <w:tcW w:w="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6"/>
        </w:trPr>
        <w:tc>
          <w:tcPr>
            <w:tcW w:w="960" w:type="dxa"/>
            <w:vAlign w:val="bottom"/>
            <w:shd w:val="clear" w:color="auto" w:fill="DDDDDD"/>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8"/>
              </w:rPr>
              <w:t>10.16#</w:t>
            </w:r>
          </w:p>
        </w:tc>
        <w:tc>
          <w:tcPr>
            <w:tcW w:w="5420" w:type="dxa"/>
            <w:vAlign w:val="bottom"/>
            <w:shd w:val="clear" w:color="auto" w:fill="DDDDDD"/>
          </w:tcPr>
          <w:p>
            <w:pPr>
              <w:ind w:left="220"/>
              <w:spacing w:after="0" w:line="156" w:lineRule="exact"/>
              <w:rPr>
                <w:sz w:val="20"/>
                <w:szCs w:val="20"/>
                <w:color w:val="auto"/>
              </w:rPr>
            </w:pPr>
            <w:r>
              <w:rPr>
                <w:rFonts w:ascii="Times New Roman" w:cs="Times New Roman" w:eastAsia="Times New Roman" w:hAnsi="Times New Roman"/>
                <w:sz w:val="17"/>
                <w:szCs w:val="17"/>
                <w:color w:val="auto"/>
              </w:rPr>
              <w:t>Employment Agreement, dated November 7, 2024, by and between</w:t>
            </w:r>
          </w:p>
        </w:tc>
        <w:tc>
          <w:tcPr>
            <w:tcW w:w="92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10-Q</w:t>
            </w:r>
          </w:p>
        </w:tc>
        <w:tc>
          <w:tcPr>
            <w:tcW w:w="1340" w:type="dxa"/>
            <w:vAlign w:val="bottom"/>
            <w:shd w:val="clear" w:color="auto" w:fill="DDDDDD"/>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10.3</w:t>
            </w:r>
          </w:p>
        </w:tc>
        <w:tc>
          <w:tcPr>
            <w:tcW w:w="1620" w:type="dxa"/>
            <w:vAlign w:val="bottom"/>
            <w:shd w:val="clear" w:color="auto" w:fill="DDDDDD"/>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November 12, 2024</w:t>
            </w:r>
          </w:p>
        </w:tc>
      </w:tr>
      <w:tr>
        <w:trPr>
          <w:trHeight w:val="177"/>
        </w:trPr>
        <w:tc>
          <w:tcPr>
            <w:tcW w:w="960" w:type="dxa"/>
            <w:vAlign w:val="bottom"/>
            <w:shd w:val="clear" w:color="auto" w:fill="DDDDDD"/>
          </w:tcPr>
          <w:p>
            <w:pPr>
              <w:spacing w:after="0"/>
              <w:rPr>
                <w:sz w:val="15"/>
                <w:szCs w:val="15"/>
                <w:color w:val="auto"/>
              </w:rPr>
            </w:pPr>
          </w:p>
        </w:tc>
        <w:tc>
          <w:tcPr>
            <w:tcW w:w="5420" w:type="dxa"/>
            <w:vAlign w:val="bottom"/>
            <w:shd w:val="clear" w:color="auto" w:fill="DDDDDD"/>
          </w:tcPr>
          <w:p>
            <w:pPr>
              <w:ind w:left="220"/>
              <w:spacing w:after="0" w:line="177" w:lineRule="exact"/>
              <w:rPr>
                <w:sz w:val="20"/>
                <w:szCs w:val="20"/>
                <w:color w:val="auto"/>
              </w:rPr>
            </w:pPr>
            <w:r>
              <w:rPr>
                <w:rFonts w:ascii="Times New Roman" w:cs="Times New Roman" w:eastAsia="Times New Roman" w:hAnsi="Times New Roman"/>
                <w:sz w:val="17"/>
                <w:szCs w:val="17"/>
                <w:color w:val="auto"/>
              </w:rPr>
              <w:t>Ghost Management Group, LLC, a subsidiary of WM Technology, Inc.</w:t>
            </w:r>
          </w:p>
        </w:tc>
        <w:tc>
          <w:tcPr>
            <w:tcW w:w="92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1620" w:type="dxa"/>
            <w:vAlign w:val="bottom"/>
            <w:shd w:val="clear" w:color="auto" w:fill="DDDDDD"/>
          </w:tcPr>
          <w:p>
            <w:pPr>
              <w:spacing w:after="0"/>
              <w:rPr>
                <w:sz w:val="15"/>
                <w:szCs w:val="15"/>
                <w:color w:val="auto"/>
              </w:rPr>
            </w:pPr>
          </w:p>
        </w:tc>
      </w:tr>
      <w:tr>
        <w:trPr>
          <w:trHeight w:val="235"/>
        </w:trPr>
        <w:tc>
          <w:tcPr>
            <w:tcW w:w="960" w:type="dxa"/>
            <w:vAlign w:val="bottom"/>
            <w:shd w:val="clear" w:color="auto" w:fill="DDDDDD"/>
          </w:tcPr>
          <w:p>
            <w:pPr>
              <w:spacing w:after="0"/>
              <w:rPr>
                <w:sz w:val="20"/>
                <w:szCs w:val="20"/>
                <w:color w:val="auto"/>
              </w:rPr>
            </w:pPr>
          </w:p>
        </w:tc>
        <w:tc>
          <w:tcPr>
            <w:tcW w:w="54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and Douglas Francis</w:t>
            </w:r>
          </w:p>
        </w:tc>
        <w:tc>
          <w:tcPr>
            <w:tcW w:w="92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1620" w:type="dxa"/>
            <w:vAlign w:val="bottom"/>
            <w:shd w:val="clear" w:color="auto" w:fill="DDDDDD"/>
          </w:tcPr>
          <w:p>
            <w:pPr>
              <w:spacing w:after="0"/>
              <w:rPr>
                <w:sz w:val="20"/>
                <w:szCs w:val="20"/>
                <w:color w:val="auto"/>
              </w:rPr>
            </w:pPr>
          </w:p>
        </w:tc>
      </w:tr>
      <w:tr>
        <w:trPr>
          <w:trHeight w:val="156"/>
        </w:trPr>
        <w:tc>
          <w:tcPr>
            <w:tcW w:w="960" w:type="dxa"/>
            <w:vAlign w:val="bottom"/>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8"/>
              </w:rPr>
              <w:t>10.17#</w:t>
            </w:r>
          </w:p>
        </w:tc>
        <w:tc>
          <w:tcPr>
            <w:tcW w:w="54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Employment Agreement, dated December 2, 2024, by and between</w:t>
            </w: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10-K</w:t>
            </w:r>
          </w:p>
        </w:tc>
        <w:tc>
          <w:tcPr>
            <w:tcW w:w="1340" w:type="dxa"/>
            <w:vAlign w:val="bottom"/>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10.19#</w:t>
            </w:r>
          </w:p>
        </w:tc>
        <w:tc>
          <w:tcPr>
            <w:tcW w:w="1620" w:type="dxa"/>
            <w:vAlign w:val="bottom"/>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w w:val="99"/>
              </w:rPr>
              <w:t>March 13, 2025</w:t>
            </w:r>
          </w:p>
        </w:tc>
      </w:tr>
      <w:tr>
        <w:trPr>
          <w:trHeight w:val="177"/>
        </w:trPr>
        <w:tc>
          <w:tcPr>
            <w:tcW w:w="960" w:type="dxa"/>
            <w:vAlign w:val="bottom"/>
          </w:tcPr>
          <w:p>
            <w:pPr>
              <w:spacing w:after="0"/>
              <w:rPr>
                <w:sz w:val="15"/>
                <w:szCs w:val="15"/>
                <w:color w:val="auto"/>
              </w:rPr>
            </w:pPr>
          </w:p>
        </w:tc>
        <w:tc>
          <w:tcPr>
            <w:tcW w:w="5420" w:type="dxa"/>
            <w:vAlign w:val="bottom"/>
          </w:tcPr>
          <w:p>
            <w:pPr>
              <w:ind w:left="220"/>
              <w:spacing w:after="0" w:line="177" w:lineRule="exact"/>
              <w:rPr>
                <w:sz w:val="20"/>
                <w:szCs w:val="20"/>
                <w:color w:val="auto"/>
              </w:rPr>
            </w:pPr>
            <w:r>
              <w:rPr>
                <w:rFonts w:ascii="Times New Roman" w:cs="Times New Roman" w:eastAsia="Times New Roman" w:hAnsi="Times New Roman"/>
                <w:sz w:val="17"/>
                <w:szCs w:val="17"/>
                <w:color w:val="auto"/>
              </w:rPr>
              <w:t>Ghost Management Group, LLC, a subsidiary of WM Technology, Inc.</w:t>
            </w: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Sarah Griffis</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61"/>
        </w:trPr>
        <w:tc>
          <w:tcPr>
            <w:tcW w:w="960" w:type="dxa"/>
            <w:vAlign w:val="bottom"/>
            <w:shd w:val="clear" w:color="auto" w:fill="DDDDDD"/>
          </w:tcPr>
          <w:p>
            <w:pPr>
              <w:jc w:val="center"/>
              <w:ind w:left="14"/>
              <w:spacing w:after="0" w:line="162" w:lineRule="exact"/>
              <w:rPr>
                <w:sz w:val="20"/>
                <w:szCs w:val="20"/>
                <w:color w:val="auto"/>
              </w:rPr>
            </w:pPr>
            <w:r>
              <w:rPr>
                <w:rFonts w:ascii="Times New Roman" w:cs="Times New Roman" w:eastAsia="Times New Roman" w:hAnsi="Times New Roman"/>
                <w:sz w:val="17"/>
                <w:szCs w:val="17"/>
                <w:color w:val="auto"/>
                <w:w w:val="98"/>
              </w:rPr>
              <w:t>10.18#</w:t>
            </w:r>
          </w:p>
        </w:tc>
        <w:tc>
          <w:tcPr>
            <w:tcW w:w="5420" w:type="dxa"/>
            <w:vAlign w:val="bottom"/>
            <w:shd w:val="clear" w:color="auto" w:fill="DDDDDD"/>
          </w:tcPr>
          <w:p>
            <w:pPr>
              <w:ind w:left="220"/>
              <w:spacing w:after="0" w:line="162" w:lineRule="exact"/>
              <w:rPr>
                <w:sz w:val="20"/>
                <w:szCs w:val="20"/>
                <w:color w:val="auto"/>
              </w:rPr>
            </w:pPr>
            <w:r>
              <w:rPr>
                <w:rFonts w:ascii="Times New Roman" w:cs="Times New Roman" w:eastAsia="Times New Roman" w:hAnsi="Times New Roman"/>
                <w:sz w:val="17"/>
                <w:szCs w:val="17"/>
                <w:color w:val="auto"/>
              </w:rPr>
              <w:t>Employment Agreement, dated April 4, 2019, by and between the</w:t>
            </w:r>
          </w:p>
        </w:tc>
        <w:tc>
          <w:tcPr>
            <w:tcW w:w="920" w:type="dxa"/>
            <w:vAlign w:val="bottom"/>
            <w:shd w:val="clear" w:color="auto" w:fill="DDDDDD"/>
          </w:tcPr>
          <w:p>
            <w:pPr>
              <w:jc w:val="center"/>
              <w:spacing w:after="0" w:line="162" w:lineRule="exact"/>
              <w:rPr>
                <w:sz w:val="20"/>
                <w:szCs w:val="20"/>
                <w:color w:val="auto"/>
              </w:rPr>
            </w:pPr>
            <w:r>
              <w:rPr>
                <w:rFonts w:ascii="Times New Roman" w:cs="Times New Roman" w:eastAsia="Times New Roman" w:hAnsi="Times New Roman"/>
                <w:sz w:val="17"/>
                <w:szCs w:val="17"/>
                <w:color w:val="auto"/>
              </w:rPr>
              <w:t>10-K</w:t>
            </w:r>
          </w:p>
        </w:tc>
        <w:tc>
          <w:tcPr>
            <w:tcW w:w="1340" w:type="dxa"/>
            <w:vAlign w:val="bottom"/>
            <w:shd w:val="clear" w:color="auto" w:fill="DDDDDD"/>
          </w:tcPr>
          <w:p>
            <w:pPr>
              <w:jc w:val="right"/>
              <w:ind w:right="194"/>
              <w:spacing w:after="0" w:line="162"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shd w:val="clear" w:color="auto" w:fill="DDDDDD"/>
          </w:tcPr>
          <w:p>
            <w:pPr>
              <w:jc w:val="center"/>
              <w:spacing w:after="0" w:line="162" w:lineRule="exact"/>
              <w:rPr>
                <w:sz w:val="20"/>
                <w:szCs w:val="20"/>
                <w:color w:val="auto"/>
              </w:rPr>
            </w:pPr>
            <w:r>
              <w:rPr>
                <w:rFonts w:ascii="Times New Roman" w:cs="Times New Roman" w:eastAsia="Times New Roman" w:hAnsi="Times New Roman"/>
                <w:sz w:val="17"/>
                <w:szCs w:val="17"/>
                <w:color w:val="auto"/>
              </w:rPr>
              <w:t>10.2</w:t>
            </w:r>
          </w:p>
        </w:tc>
        <w:tc>
          <w:tcPr>
            <w:tcW w:w="1620" w:type="dxa"/>
            <w:vAlign w:val="bottom"/>
            <w:shd w:val="clear" w:color="auto" w:fill="DDDDDD"/>
          </w:tcPr>
          <w:p>
            <w:pPr>
              <w:jc w:val="center"/>
              <w:ind w:left="94"/>
              <w:spacing w:after="0" w:line="162" w:lineRule="exact"/>
              <w:rPr>
                <w:sz w:val="20"/>
                <w:szCs w:val="20"/>
                <w:color w:val="auto"/>
              </w:rPr>
            </w:pPr>
            <w:r>
              <w:rPr>
                <w:rFonts w:ascii="Times New Roman" w:cs="Times New Roman" w:eastAsia="Times New Roman" w:hAnsi="Times New Roman"/>
                <w:sz w:val="17"/>
                <w:szCs w:val="17"/>
                <w:color w:val="auto"/>
              </w:rPr>
              <w:t>May 24, 2024</w:t>
            </w:r>
          </w:p>
        </w:tc>
      </w:tr>
      <w:tr>
        <w:trPr>
          <w:trHeight w:val="224"/>
        </w:trPr>
        <w:tc>
          <w:tcPr>
            <w:tcW w:w="960" w:type="dxa"/>
            <w:vAlign w:val="bottom"/>
            <w:tcBorders>
              <w:bottom w:val="single" w:sz="8" w:color="DDDDDD"/>
            </w:tcBorders>
            <w:shd w:val="clear" w:color="auto" w:fill="DDDDDD"/>
          </w:tcPr>
          <w:p>
            <w:pPr>
              <w:spacing w:after="0"/>
              <w:rPr>
                <w:sz w:val="19"/>
                <w:szCs w:val="19"/>
                <w:color w:val="auto"/>
              </w:rPr>
            </w:pPr>
          </w:p>
        </w:tc>
        <w:tc>
          <w:tcPr>
            <w:tcW w:w="54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Company and Brian Camire</w:t>
            </w:r>
          </w:p>
        </w:tc>
        <w:tc>
          <w:tcPr>
            <w:tcW w:w="920" w:type="dxa"/>
            <w:vAlign w:val="bottom"/>
            <w:tcBorders>
              <w:bottom w:val="single" w:sz="8" w:color="DDDDDD"/>
            </w:tcBorders>
            <w:shd w:val="clear" w:color="auto" w:fill="DDDDDD"/>
          </w:tcPr>
          <w:p>
            <w:pPr>
              <w:spacing w:after="0"/>
              <w:rPr>
                <w:sz w:val="19"/>
                <w:szCs w:val="19"/>
                <w:color w:val="auto"/>
              </w:rPr>
            </w:pPr>
          </w:p>
        </w:tc>
        <w:tc>
          <w:tcPr>
            <w:tcW w:w="134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DDDDDD"/>
            </w:tcBorders>
            <w:shd w:val="clear" w:color="auto" w:fill="DDDDDD"/>
          </w:tcPr>
          <w:p>
            <w:pPr>
              <w:spacing w:after="0"/>
              <w:rPr>
                <w:sz w:val="19"/>
                <w:szCs w:val="19"/>
                <w:color w:val="auto"/>
              </w:rPr>
            </w:pPr>
          </w:p>
        </w:tc>
        <w:tc>
          <w:tcPr>
            <w:tcW w:w="1620" w:type="dxa"/>
            <w:vAlign w:val="bottom"/>
            <w:tcBorders>
              <w:bottom w:val="single" w:sz="8" w:color="DDDDDD"/>
            </w:tcBorders>
            <w:shd w:val="clear" w:color="auto" w:fill="DDDDDD"/>
          </w:tcPr>
          <w:p>
            <w:pPr>
              <w:spacing w:after="0"/>
              <w:rPr>
                <w:sz w:val="19"/>
                <w:szCs w:val="19"/>
                <w:color w:val="auto"/>
              </w:rPr>
            </w:pPr>
          </w:p>
        </w:tc>
      </w:tr>
      <w:tr>
        <w:trPr>
          <w:trHeight w:val="156"/>
        </w:trPr>
        <w:tc>
          <w:tcPr>
            <w:tcW w:w="960" w:type="dxa"/>
            <w:vAlign w:val="bottom"/>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8"/>
              </w:rPr>
              <w:t>10.19#</w:t>
            </w:r>
          </w:p>
        </w:tc>
        <w:tc>
          <w:tcPr>
            <w:tcW w:w="54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Employment Agreement, dated January 30, 2026, by and between the</w:t>
            </w: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10.1</w:t>
            </w:r>
          </w:p>
        </w:tc>
        <w:tc>
          <w:tcPr>
            <w:tcW w:w="1620" w:type="dxa"/>
            <w:vAlign w:val="bottom"/>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February 03, 2026</w:t>
            </w:r>
          </w:p>
        </w:tc>
      </w:tr>
      <w:tr>
        <w:trPr>
          <w:trHeight w:val="223"/>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Company and Susan Echard</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
        </w:trPr>
        <w:tc>
          <w:tcPr>
            <w:tcW w:w="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6"/>
        </w:trPr>
        <w:tc>
          <w:tcPr>
            <w:tcW w:w="960" w:type="dxa"/>
            <w:vAlign w:val="bottom"/>
            <w:shd w:val="clear" w:color="auto" w:fill="DDDDDD"/>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8"/>
              </w:rPr>
              <w:t>10.20#</w:t>
            </w:r>
          </w:p>
        </w:tc>
        <w:tc>
          <w:tcPr>
            <w:tcW w:w="5420" w:type="dxa"/>
            <w:vAlign w:val="bottom"/>
            <w:shd w:val="clear" w:color="auto" w:fill="DDDDDD"/>
          </w:tcPr>
          <w:p>
            <w:pPr>
              <w:ind w:left="220"/>
              <w:spacing w:after="0" w:line="156" w:lineRule="exact"/>
              <w:rPr>
                <w:sz w:val="20"/>
                <w:szCs w:val="20"/>
                <w:color w:val="auto"/>
              </w:rPr>
            </w:pPr>
            <w:r>
              <w:rPr>
                <w:rFonts w:ascii="Times New Roman" w:cs="Times New Roman" w:eastAsia="Times New Roman" w:hAnsi="Times New Roman"/>
                <w:sz w:val="17"/>
                <w:szCs w:val="17"/>
                <w:color w:val="auto"/>
              </w:rPr>
              <w:t>Executive Services Agreement, dated July 16, 2023, by and between</w:t>
            </w:r>
          </w:p>
        </w:tc>
        <w:tc>
          <w:tcPr>
            <w:tcW w:w="92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10-Q</w:t>
            </w:r>
          </w:p>
        </w:tc>
        <w:tc>
          <w:tcPr>
            <w:tcW w:w="1340" w:type="dxa"/>
            <w:vAlign w:val="bottom"/>
            <w:shd w:val="clear" w:color="auto" w:fill="DDDDDD"/>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shd w:val="clear" w:color="auto" w:fill="DDDDDD"/>
          </w:tcPr>
          <w:p>
            <w:pPr>
              <w:jc w:val="center"/>
              <w:spacing w:after="0" w:line="156" w:lineRule="exact"/>
              <w:rPr>
                <w:sz w:val="20"/>
                <w:szCs w:val="20"/>
                <w:color w:val="auto"/>
              </w:rPr>
            </w:pPr>
            <w:r>
              <w:rPr>
                <w:rFonts w:ascii="Times New Roman" w:cs="Times New Roman" w:eastAsia="Times New Roman" w:hAnsi="Times New Roman"/>
                <w:sz w:val="17"/>
                <w:szCs w:val="17"/>
                <w:color w:val="auto"/>
              </w:rPr>
              <w:t>10.1</w:t>
            </w:r>
          </w:p>
        </w:tc>
        <w:tc>
          <w:tcPr>
            <w:tcW w:w="1620" w:type="dxa"/>
            <w:vAlign w:val="bottom"/>
            <w:shd w:val="clear" w:color="auto" w:fill="DDDDDD"/>
          </w:tcPr>
          <w:p>
            <w:pPr>
              <w:jc w:val="center"/>
              <w:ind w:left="74"/>
              <w:spacing w:after="0" w:line="156" w:lineRule="exact"/>
              <w:rPr>
                <w:sz w:val="20"/>
                <w:szCs w:val="20"/>
                <w:color w:val="auto"/>
              </w:rPr>
            </w:pPr>
            <w:r>
              <w:rPr>
                <w:rFonts w:ascii="Times New Roman" w:cs="Times New Roman" w:eastAsia="Times New Roman" w:hAnsi="Times New Roman"/>
                <w:sz w:val="17"/>
                <w:szCs w:val="17"/>
                <w:color w:val="auto"/>
              </w:rPr>
              <w:t>August 09, 2023</w:t>
            </w:r>
          </w:p>
        </w:tc>
      </w:tr>
      <w:tr>
        <w:trPr>
          <w:trHeight w:val="224"/>
        </w:trPr>
        <w:tc>
          <w:tcPr>
            <w:tcW w:w="960" w:type="dxa"/>
            <w:vAlign w:val="bottom"/>
            <w:tcBorders>
              <w:bottom w:val="single" w:sz="8" w:color="DDDDDD"/>
            </w:tcBorders>
            <w:shd w:val="clear" w:color="auto" w:fill="DDDDDD"/>
          </w:tcPr>
          <w:p>
            <w:pPr>
              <w:spacing w:after="0"/>
              <w:rPr>
                <w:sz w:val="19"/>
                <w:szCs w:val="19"/>
                <w:color w:val="auto"/>
              </w:rPr>
            </w:pPr>
          </w:p>
        </w:tc>
        <w:tc>
          <w:tcPr>
            <w:tcW w:w="54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SeatonHillPartners, L.P. and WM Technology Inc.</w:t>
            </w:r>
          </w:p>
        </w:tc>
        <w:tc>
          <w:tcPr>
            <w:tcW w:w="920" w:type="dxa"/>
            <w:vAlign w:val="bottom"/>
            <w:tcBorders>
              <w:bottom w:val="single" w:sz="8" w:color="DDDDDD"/>
            </w:tcBorders>
            <w:shd w:val="clear" w:color="auto" w:fill="DDDDDD"/>
          </w:tcPr>
          <w:p>
            <w:pPr>
              <w:spacing w:after="0"/>
              <w:rPr>
                <w:sz w:val="19"/>
                <w:szCs w:val="19"/>
                <w:color w:val="auto"/>
              </w:rPr>
            </w:pPr>
          </w:p>
        </w:tc>
        <w:tc>
          <w:tcPr>
            <w:tcW w:w="134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DDDDDD"/>
            </w:tcBorders>
            <w:shd w:val="clear" w:color="auto" w:fill="DDDDDD"/>
          </w:tcPr>
          <w:p>
            <w:pPr>
              <w:spacing w:after="0"/>
              <w:rPr>
                <w:sz w:val="19"/>
                <w:szCs w:val="19"/>
                <w:color w:val="auto"/>
              </w:rPr>
            </w:pPr>
          </w:p>
        </w:tc>
        <w:tc>
          <w:tcPr>
            <w:tcW w:w="1620" w:type="dxa"/>
            <w:vAlign w:val="bottom"/>
            <w:tcBorders>
              <w:bottom w:val="single" w:sz="8" w:color="DDDDDD"/>
            </w:tcBorders>
            <w:shd w:val="clear" w:color="auto" w:fill="DDDDDD"/>
          </w:tcPr>
          <w:p>
            <w:pPr>
              <w:spacing w:after="0"/>
              <w:rPr>
                <w:sz w:val="19"/>
                <w:szCs w:val="19"/>
                <w:color w:val="auto"/>
              </w:rPr>
            </w:pPr>
          </w:p>
        </w:tc>
      </w:tr>
      <w:tr>
        <w:trPr>
          <w:trHeight w:val="156"/>
        </w:trPr>
        <w:tc>
          <w:tcPr>
            <w:tcW w:w="960" w:type="dxa"/>
            <w:vAlign w:val="bottom"/>
          </w:tcPr>
          <w:p>
            <w:pPr>
              <w:jc w:val="center"/>
              <w:ind w:left="14"/>
              <w:spacing w:after="0" w:line="156" w:lineRule="exact"/>
              <w:rPr>
                <w:sz w:val="20"/>
                <w:szCs w:val="20"/>
                <w:color w:val="auto"/>
              </w:rPr>
            </w:pPr>
            <w:r>
              <w:rPr>
                <w:rFonts w:ascii="Times New Roman" w:cs="Times New Roman" w:eastAsia="Times New Roman" w:hAnsi="Times New Roman"/>
                <w:sz w:val="17"/>
                <w:szCs w:val="17"/>
                <w:color w:val="auto"/>
                <w:w w:val="98"/>
              </w:rPr>
              <w:t>10.21#</w:t>
            </w:r>
          </w:p>
        </w:tc>
        <w:tc>
          <w:tcPr>
            <w:tcW w:w="54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Amendment to Executive Services Agreement, by and between</w:t>
            </w: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rPr>
              <w:t>10-K</w:t>
            </w:r>
          </w:p>
        </w:tc>
        <w:tc>
          <w:tcPr>
            <w:tcW w:w="1340" w:type="dxa"/>
            <w:vAlign w:val="bottom"/>
          </w:tcPr>
          <w:p>
            <w:pPr>
              <w:jc w:val="right"/>
              <w:ind w:right="194"/>
              <w:spacing w:after="0" w:line="156" w:lineRule="exact"/>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7"/>
                <w:szCs w:val="17"/>
                <w:color w:val="auto"/>
                <w:w w:val="99"/>
              </w:rPr>
              <w:t>10.23</w:t>
            </w:r>
          </w:p>
        </w:tc>
        <w:tc>
          <w:tcPr>
            <w:tcW w:w="1620" w:type="dxa"/>
            <w:vAlign w:val="bottom"/>
          </w:tcPr>
          <w:p>
            <w:pPr>
              <w:jc w:val="center"/>
              <w:ind w:left="94"/>
              <w:spacing w:after="0" w:line="156" w:lineRule="exact"/>
              <w:rPr>
                <w:sz w:val="20"/>
                <w:szCs w:val="20"/>
                <w:color w:val="auto"/>
              </w:rPr>
            </w:pPr>
            <w:r>
              <w:rPr>
                <w:rFonts w:ascii="Times New Roman" w:cs="Times New Roman" w:eastAsia="Times New Roman" w:hAnsi="Times New Roman"/>
                <w:sz w:val="17"/>
                <w:szCs w:val="17"/>
                <w:color w:val="auto"/>
              </w:rPr>
              <w:t>May 24, 2024</w:t>
            </w:r>
          </w:p>
        </w:tc>
      </w:tr>
      <w:tr>
        <w:trPr>
          <w:trHeight w:val="177"/>
        </w:trPr>
        <w:tc>
          <w:tcPr>
            <w:tcW w:w="960" w:type="dxa"/>
            <w:vAlign w:val="bottom"/>
          </w:tcPr>
          <w:p>
            <w:pPr>
              <w:spacing w:after="0"/>
              <w:rPr>
                <w:sz w:val="15"/>
                <w:szCs w:val="15"/>
                <w:color w:val="auto"/>
              </w:rPr>
            </w:pPr>
          </w:p>
        </w:tc>
        <w:tc>
          <w:tcPr>
            <w:tcW w:w="5420" w:type="dxa"/>
            <w:vAlign w:val="bottom"/>
          </w:tcPr>
          <w:p>
            <w:pPr>
              <w:ind w:left="220"/>
              <w:spacing w:after="0" w:line="177" w:lineRule="exact"/>
              <w:rPr>
                <w:sz w:val="20"/>
                <w:szCs w:val="20"/>
                <w:color w:val="auto"/>
              </w:rPr>
            </w:pPr>
            <w:r>
              <w:rPr>
                <w:rFonts w:ascii="Times New Roman" w:cs="Times New Roman" w:eastAsia="Times New Roman" w:hAnsi="Times New Roman"/>
                <w:sz w:val="17"/>
                <w:szCs w:val="17"/>
                <w:color w:val="auto"/>
              </w:rPr>
              <w:t>SeatonHillPartners, L.P. and WM Technology Inc., dated February 26,</w:t>
            </w: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61"/>
        </w:trPr>
        <w:tc>
          <w:tcPr>
            <w:tcW w:w="960" w:type="dxa"/>
            <w:vAlign w:val="bottom"/>
            <w:shd w:val="clear" w:color="auto" w:fill="DDDDDD"/>
          </w:tcPr>
          <w:p>
            <w:pPr>
              <w:jc w:val="center"/>
              <w:ind w:left="14"/>
              <w:spacing w:after="0" w:line="162" w:lineRule="exact"/>
              <w:rPr>
                <w:sz w:val="20"/>
                <w:szCs w:val="20"/>
                <w:color w:val="auto"/>
              </w:rPr>
            </w:pPr>
            <w:r>
              <w:rPr>
                <w:rFonts w:ascii="Times New Roman" w:cs="Times New Roman" w:eastAsia="Times New Roman" w:hAnsi="Times New Roman"/>
                <w:sz w:val="17"/>
                <w:szCs w:val="17"/>
                <w:color w:val="auto"/>
                <w:w w:val="98"/>
              </w:rPr>
              <w:t>10.22#</w:t>
            </w:r>
          </w:p>
        </w:tc>
        <w:tc>
          <w:tcPr>
            <w:tcW w:w="5420" w:type="dxa"/>
            <w:vAlign w:val="bottom"/>
            <w:shd w:val="clear" w:color="auto" w:fill="DDDDDD"/>
          </w:tcPr>
          <w:p>
            <w:pPr>
              <w:ind w:left="220"/>
              <w:spacing w:after="0" w:line="162" w:lineRule="exact"/>
              <w:rPr>
                <w:sz w:val="20"/>
                <w:szCs w:val="20"/>
                <w:color w:val="auto"/>
              </w:rPr>
            </w:pPr>
            <w:r>
              <w:rPr>
                <w:rFonts w:ascii="Times New Roman" w:cs="Times New Roman" w:eastAsia="Times New Roman" w:hAnsi="Times New Roman"/>
                <w:sz w:val="17"/>
                <w:szCs w:val="17"/>
                <w:color w:val="auto"/>
              </w:rPr>
              <w:t>Conversion Agreement, by and among SeatonHillPartners, L.P., Susan</w:t>
            </w:r>
          </w:p>
        </w:tc>
        <w:tc>
          <w:tcPr>
            <w:tcW w:w="920" w:type="dxa"/>
            <w:vAlign w:val="bottom"/>
            <w:shd w:val="clear" w:color="auto" w:fill="DDDDDD"/>
          </w:tcPr>
          <w:p>
            <w:pPr>
              <w:spacing w:after="0"/>
              <w:rPr>
                <w:sz w:val="14"/>
                <w:szCs w:val="14"/>
                <w:color w:val="auto"/>
              </w:rPr>
            </w:pPr>
          </w:p>
        </w:tc>
        <w:tc>
          <w:tcPr>
            <w:tcW w:w="134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620" w:type="dxa"/>
            <w:vAlign w:val="bottom"/>
            <w:shd w:val="clear" w:color="auto" w:fill="DDDDDD"/>
          </w:tcPr>
          <w:p>
            <w:pPr>
              <w:spacing w:after="0"/>
              <w:rPr>
                <w:sz w:val="14"/>
                <w:szCs w:val="14"/>
                <w:color w:val="auto"/>
              </w:rPr>
            </w:pPr>
          </w:p>
        </w:tc>
      </w:tr>
      <w:tr>
        <w:trPr>
          <w:trHeight w:val="224"/>
        </w:trPr>
        <w:tc>
          <w:tcPr>
            <w:tcW w:w="960" w:type="dxa"/>
            <w:vAlign w:val="bottom"/>
            <w:tcBorders>
              <w:bottom w:val="single" w:sz="8" w:color="DDDDDD"/>
            </w:tcBorders>
            <w:shd w:val="clear" w:color="auto" w:fill="DDDDDD"/>
          </w:tcPr>
          <w:p>
            <w:pPr>
              <w:spacing w:after="0"/>
              <w:rPr>
                <w:sz w:val="19"/>
                <w:szCs w:val="19"/>
                <w:color w:val="auto"/>
              </w:rPr>
            </w:pPr>
          </w:p>
        </w:tc>
        <w:tc>
          <w:tcPr>
            <w:tcW w:w="54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Echard and WM Technology Inc., dated January 29, 2026</w:t>
            </w:r>
          </w:p>
        </w:tc>
        <w:tc>
          <w:tcPr>
            <w:tcW w:w="920" w:type="dxa"/>
            <w:vAlign w:val="bottom"/>
            <w:tcBorders>
              <w:bottom w:val="single" w:sz="8" w:color="DDDDDD"/>
            </w:tcBorders>
            <w:shd w:val="clear" w:color="auto" w:fill="DDDDDD"/>
          </w:tcPr>
          <w:p>
            <w:pPr>
              <w:spacing w:after="0"/>
              <w:rPr>
                <w:sz w:val="19"/>
                <w:szCs w:val="19"/>
                <w:color w:val="auto"/>
              </w:rPr>
            </w:pPr>
          </w:p>
        </w:tc>
        <w:tc>
          <w:tcPr>
            <w:tcW w:w="134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DDDDDD"/>
            </w:tcBorders>
            <w:shd w:val="clear" w:color="auto" w:fill="DDDDDD"/>
          </w:tcPr>
          <w:p>
            <w:pPr>
              <w:spacing w:after="0"/>
              <w:rPr>
                <w:sz w:val="19"/>
                <w:szCs w:val="19"/>
                <w:color w:val="auto"/>
              </w:rPr>
            </w:pPr>
          </w:p>
        </w:tc>
        <w:tc>
          <w:tcPr>
            <w:tcW w:w="1620" w:type="dxa"/>
            <w:vAlign w:val="bottom"/>
            <w:tcBorders>
              <w:bottom w:val="single" w:sz="8" w:color="DDDDDD"/>
            </w:tcBorders>
            <w:shd w:val="clear" w:color="auto" w:fill="DDDDDD"/>
          </w:tcPr>
          <w:p>
            <w:pPr>
              <w:spacing w:after="0"/>
              <w:rPr>
                <w:sz w:val="19"/>
                <w:szCs w:val="19"/>
                <w:color w:val="auto"/>
              </w:rPr>
            </w:pPr>
          </w:p>
        </w:tc>
      </w:tr>
      <w:tr>
        <w:trPr>
          <w:trHeight w:val="223"/>
        </w:trPr>
        <w:tc>
          <w:tcPr>
            <w:tcW w:w="9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8"/>
              </w:rPr>
              <w:t>10.23#</w:t>
            </w: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Amended and Restated Severance and Change in Control Plan</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6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February 03, 2026</w:t>
            </w:r>
          </w:p>
        </w:tc>
      </w:tr>
      <w:tr>
        <w:trPr>
          <w:trHeight w:val="22"/>
        </w:trPr>
        <w:tc>
          <w:tcPr>
            <w:tcW w:w="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5"/>
        </w:trPr>
        <w:tc>
          <w:tcPr>
            <w:tcW w:w="960" w:type="dxa"/>
            <w:vAlign w:val="bottom"/>
            <w:tcBorders>
              <w:bottom w:val="single" w:sz="8" w:color="DDDDDD"/>
            </w:tcBorders>
            <w:shd w:val="clear" w:color="auto" w:fill="DDDDDD"/>
          </w:tcPr>
          <w:p>
            <w:pPr>
              <w:jc w:val="center"/>
              <w:ind w:left="14"/>
              <w:spacing w:after="0"/>
              <w:rPr>
                <w:sz w:val="20"/>
                <w:szCs w:val="20"/>
                <w:color w:val="auto"/>
              </w:rPr>
            </w:pPr>
            <w:r>
              <w:rPr>
                <w:rFonts w:ascii="Times New Roman" w:cs="Times New Roman" w:eastAsia="Times New Roman" w:hAnsi="Times New Roman"/>
                <w:sz w:val="17"/>
                <w:szCs w:val="17"/>
                <w:color w:val="auto"/>
              </w:rPr>
              <w:t>19.1</w:t>
            </w:r>
          </w:p>
        </w:tc>
        <w:tc>
          <w:tcPr>
            <w:tcW w:w="54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Insider Trading Policy</w:t>
            </w:r>
          </w:p>
        </w:tc>
        <w:tc>
          <w:tcPr>
            <w:tcW w:w="92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10-K</w:t>
            </w:r>
          </w:p>
        </w:tc>
        <w:tc>
          <w:tcPr>
            <w:tcW w:w="1340" w:type="dxa"/>
            <w:vAlign w:val="bottom"/>
            <w:tcBorders>
              <w:bottom w:val="single" w:sz="8" w:color="DDDDDD"/>
            </w:tcBorders>
            <w:shd w:val="clear" w:color="auto" w:fill="DDDDDD"/>
          </w:tcPr>
          <w:p>
            <w:pPr>
              <w:jc w:val="right"/>
              <w:ind w:right="194"/>
              <w:spacing w:after="0"/>
              <w:rPr>
                <w:sz w:val="20"/>
                <w:szCs w:val="20"/>
                <w:color w:val="auto"/>
              </w:rPr>
            </w:pPr>
            <w:r>
              <w:rPr>
                <w:rFonts w:ascii="Times New Roman" w:cs="Times New Roman" w:eastAsia="Times New Roman" w:hAnsi="Times New Roman"/>
                <w:sz w:val="17"/>
                <w:szCs w:val="17"/>
                <w:color w:val="auto"/>
              </w:rPr>
              <w:t>001-39021</w:t>
            </w:r>
          </w:p>
        </w:tc>
        <w:tc>
          <w:tcPr>
            <w:tcW w:w="98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19.1</w:t>
            </w:r>
          </w:p>
        </w:tc>
        <w:tc>
          <w:tcPr>
            <w:tcW w:w="1620" w:type="dxa"/>
            <w:vAlign w:val="bottom"/>
            <w:tcBorders>
              <w:bottom w:val="single" w:sz="8" w:color="DDDDDD"/>
            </w:tcBorders>
            <w:shd w:val="clear" w:color="auto" w:fill="DDDDDD"/>
          </w:tcPr>
          <w:p>
            <w:pPr>
              <w:jc w:val="center"/>
              <w:ind w:left="94"/>
              <w:spacing w:after="0"/>
              <w:rPr>
                <w:sz w:val="20"/>
                <w:szCs w:val="20"/>
                <w:color w:val="auto"/>
              </w:rPr>
            </w:pPr>
            <w:r>
              <w:rPr>
                <w:rFonts w:ascii="Times New Roman" w:cs="Times New Roman" w:eastAsia="Times New Roman" w:hAnsi="Times New Roman"/>
                <w:sz w:val="17"/>
                <w:szCs w:val="17"/>
                <w:color w:val="auto"/>
                <w:w w:val="99"/>
              </w:rPr>
              <w:t>March 13, 2025</w:t>
            </w:r>
          </w:p>
        </w:tc>
      </w:tr>
      <w:tr>
        <w:trPr>
          <w:trHeight w:val="219"/>
        </w:trPr>
        <w:tc>
          <w:tcPr>
            <w:tcW w:w="9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21.1</w:t>
            </w: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List of Subsidiaries of the Registrant</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9"/>
        </w:trPr>
        <w:tc>
          <w:tcPr>
            <w:tcW w:w="960" w:type="dxa"/>
            <w:vAlign w:val="bottom"/>
            <w:shd w:val="clear" w:color="auto" w:fill="DDDDDD"/>
          </w:tcPr>
          <w:p>
            <w:pPr>
              <w:jc w:val="center"/>
              <w:ind w:left="14"/>
              <w:spacing w:after="0"/>
              <w:rPr>
                <w:sz w:val="20"/>
                <w:szCs w:val="20"/>
                <w:color w:val="auto"/>
              </w:rPr>
            </w:pPr>
            <w:r>
              <w:rPr>
                <w:rFonts w:ascii="Times New Roman" w:cs="Times New Roman" w:eastAsia="Times New Roman" w:hAnsi="Times New Roman"/>
                <w:sz w:val="17"/>
                <w:szCs w:val="17"/>
                <w:color w:val="auto"/>
              </w:rPr>
              <w:t>23.1</w:t>
            </w:r>
          </w:p>
        </w:tc>
        <w:tc>
          <w:tcPr>
            <w:tcW w:w="54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Consent of Baker Tilly US, LLP</w:t>
            </w:r>
          </w:p>
        </w:tc>
        <w:tc>
          <w:tcPr>
            <w:tcW w:w="92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1620" w:type="dxa"/>
            <w:vAlign w:val="bottom"/>
            <w:shd w:val="clear" w:color="auto" w:fill="DDDDDD"/>
          </w:tcPr>
          <w:p>
            <w:pPr>
              <w:spacing w:after="0"/>
              <w:rPr>
                <w:sz w:val="19"/>
                <w:szCs w:val="19"/>
                <w:color w:val="auto"/>
              </w:rPr>
            </w:pPr>
          </w:p>
        </w:tc>
      </w:tr>
      <w:tr>
        <w:trPr>
          <w:trHeight w:val="219"/>
        </w:trPr>
        <w:tc>
          <w:tcPr>
            <w:tcW w:w="9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24.1</w:t>
            </w: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Power of Attorney (included on signature page)</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78"/>
        </w:trPr>
        <w:tc>
          <w:tcPr>
            <w:tcW w:w="960" w:type="dxa"/>
            <w:vAlign w:val="bottom"/>
            <w:shd w:val="clear" w:color="auto" w:fill="DDDDDD"/>
          </w:tcPr>
          <w:p>
            <w:pPr>
              <w:jc w:val="center"/>
              <w:ind w:left="14"/>
              <w:spacing w:after="0" w:line="178" w:lineRule="exact"/>
              <w:rPr>
                <w:sz w:val="20"/>
                <w:szCs w:val="20"/>
                <w:color w:val="auto"/>
              </w:rPr>
            </w:pPr>
            <w:r>
              <w:rPr>
                <w:rFonts w:ascii="Times New Roman" w:cs="Times New Roman" w:eastAsia="Times New Roman" w:hAnsi="Times New Roman"/>
                <w:sz w:val="17"/>
                <w:szCs w:val="17"/>
                <w:color w:val="auto"/>
              </w:rPr>
              <w:t>31.1</w:t>
            </w:r>
          </w:p>
        </w:tc>
        <w:tc>
          <w:tcPr>
            <w:tcW w:w="5420" w:type="dxa"/>
            <w:vAlign w:val="bottom"/>
            <w:shd w:val="clear" w:color="auto" w:fill="DDDDDD"/>
          </w:tcPr>
          <w:p>
            <w:pPr>
              <w:ind w:left="220"/>
              <w:spacing w:after="0" w:line="178" w:lineRule="exact"/>
              <w:rPr>
                <w:sz w:val="20"/>
                <w:szCs w:val="20"/>
                <w:color w:val="auto"/>
              </w:rPr>
            </w:pPr>
            <w:r>
              <w:rPr>
                <w:rFonts w:ascii="Times New Roman" w:cs="Times New Roman" w:eastAsia="Times New Roman" w:hAnsi="Times New Roman"/>
                <w:sz w:val="17"/>
                <w:szCs w:val="17"/>
                <w:color w:val="auto"/>
              </w:rPr>
              <w:t>Certification of the Principal Executive Officer pursuant to Rules 13a-</w:t>
            </w:r>
          </w:p>
        </w:tc>
        <w:tc>
          <w:tcPr>
            <w:tcW w:w="92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1620" w:type="dxa"/>
            <w:vAlign w:val="bottom"/>
            <w:shd w:val="clear" w:color="auto" w:fill="DDDDDD"/>
          </w:tcPr>
          <w:p>
            <w:pPr>
              <w:spacing w:after="0"/>
              <w:rPr>
                <w:sz w:val="15"/>
                <w:szCs w:val="15"/>
                <w:color w:val="auto"/>
              </w:rPr>
            </w:pPr>
          </w:p>
        </w:tc>
      </w:tr>
      <w:tr>
        <w:trPr>
          <w:trHeight w:val="193"/>
        </w:trPr>
        <w:tc>
          <w:tcPr>
            <w:tcW w:w="960" w:type="dxa"/>
            <w:vAlign w:val="bottom"/>
            <w:shd w:val="clear" w:color="auto" w:fill="DDDDDD"/>
          </w:tcPr>
          <w:p>
            <w:pPr>
              <w:spacing w:after="0"/>
              <w:rPr>
                <w:sz w:val="16"/>
                <w:szCs w:val="16"/>
                <w:color w:val="auto"/>
              </w:rPr>
            </w:pPr>
          </w:p>
        </w:tc>
        <w:tc>
          <w:tcPr>
            <w:tcW w:w="5420" w:type="dxa"/>
            <w:vAlign w:val="bottom"/>
            <w:shd w:val="clear" w:color="auto" w:fill="DDDDDD"/>
          </w:tcPr>
          <w:p>
            <w:pPr>
              <w:ind w:left="220"/>
              <w:spacing w:after="0" w:line="194" w:lineRule="exact"/>
              <w:rPr>
                <w:sz w:val="20"/>
                <w:szCs w:val="20"/>
                <w:color w:val="auto"/>
              </w:rPr>
            </w:pPr>
            <w:r>
              <w:rPr>
                <w:rFonts w:ascii="Times New Roman" w:cs="Times New Roman" w:eastAsia="Times New Roman" w:hAnsi="Times New Roman"/>
                <w:sz w:val="17"/>
                <w:szCs w:val="17"/>
                <w:color w:val="auto"/>
              </w:rPr>
              <w:t>14(a) and 15d-14(a) under the Securities Exchange Act of 1934, as</w:t>
            </w:r>
          </w:p>
        </w:tc>
        <w:tc>
          <w:tcPr>
            <w:tcW w:w="920" w:type="dxa"/>
            <w:vAlign w:val="bottom"/>
            <w:shd w:val="clear" w:color="auto" w:fill="DDDDDD"/>
          </w:tcPr>
          <w:p>
            <w:pPr>
              <w:spacing w:after="0"/>
              <w:rPr>
                <w:sz w:val="16"/>
                <w:szCs w:val="16"/>
                <w:color w:val="auto"/>
              </w:rPr>
            </w:pPr>
          </w:p>
        </w:tc>
        <w:tc>
          <w:tcPr>
            <w:tcW w:w="134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1620" w:type="dxa"/>
            <w:vAlign w:val="bottom"/>
            <w:shd w:val="clear" w:color="auto" w:fill="DDDDDD"/>
          </w:tcPr>
          <w:p>
            <w:pPr>
              <w:spacing w:after="0"/>
              <w:rPr>
                <w:sz w:val="16"/>
                <w:szCs w:val="16"/>
                <w:color w:val="auto"/>
              </w:rPr>
            </w:pPr>
          </w:p>
        </w:tc>
      </w:tr>
      <w:tr>
        <w:trPr>
          <w:trHeight w:val="240"/>
        </w:trPr>
        <w:tc>
          <w:tcPr>
            <w:tcW w:w="960" w:type="dxa"/>
            <w:vAlign w:val="bottom"/>
            <w:tcBorders>
              <w:bottom w:val="single" w:sz="8" w:color="DDDDDD"/>
            </w:tcBorders>
            <w:shd w:val="clear" w:color="auto" w:fill="DDDDDD"/>
          </w:tcPr>
          <w:p>
            <w:pPr>
              <w:spacing w:after="0"/>
              <w:rPr>
                <w:sz w:val="20"/>
                <w:szCs w:val="20"/>
                <w:color w:val="auto"/>
              </w:rPr>
            </w:pPr>
          </w:p>
        </w:tc>
        <w:tc>
          <w:tcPr>
            <w:tcW w:w="54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adopted pursuant to Section 302 of the Sarbanes-Oxley Act of 2002</w:t>
            </w:r>
          </w:p>
        </w:tc>
        <w:tc>
          <w:tcPr>
            <w:tcW w:w="920" w:type="dxa"/>
            <w:vAlign w:val="bottom"/>
            <w:tcBorders>
              <w:bottom w:val="single" w:sz="8" w:color="DDDDDD"/>
            </w:tcBorders>
            <w:shd w:val="clear" w:color="auto" w:fill="DDDDDD"/>
          </w:tcPr>
          <w:p>
            <w:pPr>
              <w:spacing w:after="0"/>
              <w:rPr>
                <w:sz w:val="20"/>
                <w:szCs w:val="20"/>
                <w:color w:val="auto"/>
              </w:rPr>
            </w:pPr>
          </w:p>
        </w:tc>
        <w:tc>
          <w:tcPr>
            <w:tcW w:w="1340" w:type="dxa"/>
            <w:vAlign w:val="bottom"/>
            <w:tcBorders>
              <w:bottom w:val="single" w:sz="8" w:color="DDDDDD"/>
            </w:tcBorders>
            <w:shd w:val="clear" w:color="auto" w:fill="DDDDDD"/>
          </w:tcPr>
          <w:p>
            <w:pPr>
              <w:spacing w:after="0"/>
              <w:rPr>
                <w:sz w:val="20"/>
                <w:szCs w:val="20"/>
                <w:color w:val="auto"/>
              </w:rPr>
            </w:pPr>
          </w:p>
        </w:tc>
        <w:tc>
          <w:tcPr>
            <w:tcW w:w="980" w:type="dxa"/>
            <w:vAlign w:val="bottom"/>
            <w:tcBorders>
              <w:bottom w:val="single" w:sz="8" w:color="DDDDDD"/>
            </w:tcBorders>
            <w:shd w:val="clear" w:color="auto" w:fill="DDDDDD"/>
          </w:tcPr>
          <w:p>
            <w:pPr>
              <w:spacing w:after="0"/>
              <w:rPr>
                <w:sz w:val="20"/>
                <w:szCs w:val="20"/>
                <w:color w:val="auto"/>
              </w:rPr>
            </w:pPr>
          </w:p>
        </w:tc>
        <w:tc>
          <w:tcPr>
            <w:tcW w:w="1620" w:type="dxa"/>
            <w:vAlign w:val="bottom"/>
            <w:tcBorders>
              <w:bottom w:val="single" w:sz="8" w:color="DDDDDD"/>
            </w:tcBorders>
            <w:shd w:val="clear" w:color="auto" w:fill="DDDDDD"/>
          </w:tcPr>
          <w:p>
            <w:pPr>
              <w:spacing w:after="0"/>
              <w:rPr>
                <w:sz w:val="20"/>
                <w:szCs w:val="20"/>
                <w:color w:val="auto"/>
              </w:rPr>
            </w:pPr>
          </w:p>
        </w:tc>
      </w:tr>
      <w:tr>
        <w:trPr>
          <w:trHeight w:val="178"/>
        </w:trPr>
        <w:tc>
          <w:tcPr>
            <w:tcW w:w="960" w:type="dxa"/>
            <w:vAlign w:val="bottom"/>
          </w:tcPr>
          <w:p>
            <w:pPr>
              <w:jc w:val="center"/>
              <w:ind w:left="14"/>
              <w:spacing w:after="0" w:line="178" w:lineRule="exact"/>
              <w:rPr>
                <w:sz w:val="20"/>
                <w:szCs w:val="20"/>
                <w:color w:val="auto"/>
              </w:rPr>
            </w:pPr>
            <w:r>
              <w:rPr>
                <w:rFonts w:ascii="Times New Roman" w:cs="Times New Roman" w:eastAsia="Times New Roman" w:hAnsi="Times New Roman"/>
                <w:sz w:val="17"/>
                <w:szCs w:val="17"/>
                <w:color w:val="auto"/>
              </w:rPr>
              <w:t>31.2</w:t>
            </w:r>
          </w:p>
        </w:tc>
        <w:tc>
          <w:tcPr>
            <w:tcW w:w="5420" w:type="dxa"/>
            <w:vAlign w:val="bottom"/>
          </w:tcPr>
          <w:p>
            <w:pPr>
              <w:ind w:left="220"/>
              <w:spacing w:after="0" w:line="178" w:lineRule="exact"/>
              <w:rPr>
                <w:sz w:val="20"/>
                <w:szCs w:val="20"/>
                <w:color w:val="auto"/>
              </w:rPr>
            </w:pPr>
            <w:r>
              <w:rPr>
                <w:rFonts w:ascii="Times New Roman" w:cs="Times New Roman" w:eastAsia="Times New Roman" w:hAnsi="Times New Roman"/>
                <w:sz w:val="17"/>
                <w:szCs w:val="17"/>
                <w:color w:val="auto"/>
              </w:rPr>
              <w:t>Certification of the Principal Financial Officer pursuant to Rules 13a-</w:t>
            </w: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3"/>
        </w:trPr>
        <w:tc>
          <w:tcPr>
            <w:tcW w:w="960" w:type="dxa"/>
            <w:vAlign w:val="bottom"/>
          </w:tcPr>
          <w:p>
            <w:pPr>
              <w:spacing w:after="0"/>
              <w:rPr>
                <w:sz w:val="16"/>
                <w:szCs w:val="16"/>
                <w:color w:val="auto"/>
              </w:rPr>
            </w:pPr>
          </w:p>
        </w:tc>
        <w:tc>
          <w:tcPr>
            <w:tcW w:w="5420" w:type="dxa"/>
            <w:vAlign w:val="bottom"/>
          </w:tcPr>
          <w:p>
            <w:pPr>
              <w:ind w:left="220"/>
              <w:spacing w:after="0" w:line="194" w:lineRule="exact"/>
              <w:rPr>
                <w:sz w:val="20"/>
                <w:szCs w:val="20"/>
                <w:color w:val="auto"/>
              </w:rPr>
            </w:pPr>
            <w:r>
              <w:rPr>
                <w:rFonts w:ascii="Times New Roman" w:cs="Times New Roman" w:eastAsia="Times New Roman" w:hAnsi="Times New Roman"/>
                <w:sz w:val="17"/>
                <w:szCs w:val="17"/>
                <w:color w:val="auto"/>
              </w:rPr>
              <w:t>14(a) and 15d-14(a) under the Securities Exchange Act of 1934, as</w:t>
            </w: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3"/>
        </w:trPr>
        <w:tc>
          <w:tcPr>
            <w:tcW w:w="9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adopted pursuant to Section 302 of the Sarbanes-Oxley Act of 2002</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617220</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617220</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57"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1240"/>
          </w:cols>
          <w:pgMar w:left="500" w:top="657" w:right="500" w:bottom="135"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1020" w:type="dxa"/>
            <w:vAlign w:val="bottom"/>
            <w:shd w:val="clear" w:color="auto" w:fill="DDDDDD"/>
          </w:tcPr>
          <w:p>
            <w:pPr>
              <w:jc w:val="right"/>
              <w:ind w:right="214"/>
              <w:spacing w:after="0"/>
              <w:rPr>
                <w:sz w:val="20"/>
                <w:szCs w:val="20"/>
                <w:color w:val="auto"/>
              </w:rPr>
            </w:pPr>
            <w:r>
              <w:rPr>
                <w:rFonts w:ascii="Times New Roman" w:cs="Times New Roman" w:eastAsia="Times New Roman" w:hAnsi="Times New Roman"/>
                <w:sz w:val="17"/>
                <w:szCs w:val="17"/>
                <w:color w:val="auto"/>
              </w:rPr>
              <w:t>32.1*</w:t>
            </w:r>
          </w:p>
        </w:tc>
        <w:tc>
          <w:tcPr>
            <w:tcW w:w="5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rPr>
              <w:t>Certifications of the Principal Executive Officer and Principal Financial</w:t>
            </w:r>
          </w:p>
        </w:tc>
        <w:tc>
          <w:tcPr>
            <w:tcW w:w="920" w:type="dxa"/>
            <w:vAlign w:val="bottom"/>
            <w:shd w:val="clear" w:color="auto" w:fill="DDDDDD"/>
          </w:tcPr>
          <w:p>
            <w:pPr>
              <w:spacing w:after="0"/>
              <w:rPr>
                <w:sz w:val="17"/>
                <w:szCs w:val="17"/>
                <w:color w:val="auto"/>
              </w:rPr>
            </w:pPr>
          </w:p>
        </w:tc>
        <w:tc>
          <w:tcPr>
            <w:tcW w:w="142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r>
      <w:tr>
        <w:trPr>
          <w:trHeight w:val="193"/>
        </w:trPr>
        <w:tc>
          <w:tcPr>
            <w:tcW w:w="1020" w:type="dxa"/>
            <w:vAlign w:val="bottom"/>
            <w:shd w:val="clear" w:color="auto" w:fill="DDDDDD"/>
          </w:tcPr>
          <w:p>
            <w:pPr>
              <w:spacing w:after="0"/>
              <w:rPr>
                <w:sz w:val="16"/>
                <w:szCs w:val="16"/>
                <w:color w:val="auto"/>
              </w:rPr>
            </w:pPr>
          </w:p>
        </w:tc>
        <w:tc>
          <w:tcPr>
            <w:tcW w:w="5360" w:type="dxa"/>
            <w:vAlign w:val="bottom"/>
            <w:shd w:val="clear" w:color="auto" w:fill="DDDDDD"/>
          </w:tcPr>
          <w:p>
            <w:pPr>
              <w:ind w:left="160"/>
              <w:spacing w:after="0" w:line="194" w:lineRule="exact"/>
              <w:rPr>
                <w:sz w:val="20"/>
                <w:szCs w:val="20"/>
                <w:color w:val="auto"/>
              </w:rPr>
            </w:pPr>
            <w:r>
              <w:rPr>
                <w:rFonts w:ascii="Times New Roman" w:cs="Times New Roman" w:eastAsia="Times New Roman" w:hAnsi="Times New Roman"/>
                <w:sz w:val="17"/>
                <w:szCs w:val="17"/>
                <w:color w:val="auto"/>
              </w:rPr>
              <w:t>Officer pursuant to 18 U.S.C. Section 1350, as adopted pursuant to</w:t>
            </w:r>
          </w:p>
        </w:tc>
        <w:tc>
          <w:tcPr>
            <w:tcW w:w="92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600" w:type="dxa"/>
            <w:vAlign w:val="bottom"/>
            <w:shd w:val="clear" w:color="auto" w:fill="DDDDDD"/>
          </w:tcPr>
          <w:p>
            <w:pPr>
              <w:spacing w:after="0"/>
              <w:rPr>
                <w:sz w:val="16"/>
                <w:szCs w:val="16"/>
                <w:color w:val="auto"/>
              </w:rPr>
            </w:pPr>
          </w:p>
        </w:tc>
      </w:tr>
      <w:tr>
        <w:trPr>
          <w:trHeight w:val="236"/>
        </w:trPr>
        <w:tc>
          <w:tcPr>
            <w:tcW w:w="1020" w:type="dxa"/>
            <w:vAlign w:val="bottom"/>
            <w:tcBorders>
              <w:bottom w:val="single" w:sz="8" w:color="DDDDDD"/>
            </w:tcBorders>
            <w:shd w:val="clear" w:color="auto" w:fill="DDDDDD"/>
          </w:tcPr>
          <w:p>
            <w:pPr>
              <w:spacing w:after="0"/>
              <w:rPr>
                <w:sz w:val="20"/>
                <w:szCs w:val="20"/>
                <w:color w:val="auto"/>
              </w:rPr>
            </w:pPr>
          </w:p>
        </w:tc>
        <w:tc>
          <w:tcPr>
            <w:tcW w:w="5360" w:type="dxa"/>
            <w:vAlign w:val="bottom"/>
            <w:tcBorders>
              <w:bottom w:val="single" w:sz="8" w:color="DDDDDD"/>
            </w:tcBorders>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rPr>
              <w:t>Section 906 of the Sarbanes-Oxley Act of 2002</w:t>
            </w:r>
          </w:p>
        </w:tc>
        <w:tc>
          <w:tcPr>
            <w:tcW w:w="920" w:type="dxa"/>
            <w:vAlign w:val="bottom"/>
            <w:tcBorders>
              <w:bottom w:val="single" w:sz="8" w:color="DDDDDD"/>
            </w:tcBorders>
            <w:shd w:val="clear" w:color="auto" w:fill="DDDDDD"/>
          </w:tcPr>
          <w:p>
            <w:pPr>
              <w:spacing w:after="0"/>
              <w:rPr>
                <w:sz w:val="20"/>
                <w:szCs w:val="20"/>
                <w:color w:val="auto"/>
              </w:rPr>
            </w:pPr>
          </w:p>
        </w:tc>
        <w:tc>
          <w:tcPr>
            <w:tcW w:w="1420" w:type="dxa"/>
            <w:vAlign w:val="bottom"/>
            <w:tcBorders>
              <w:bottom w:val="single" w:sz="8" w:color="DDDDDD"/>
            </w:tcBorders>
            <w:shd w:val="clear" w:color="auto" w:fill="DDDDDD"/>
          </w:tcPr>
          <w:p>
            <w:pPr>
              <w:spacing w:after="0"/>
              <w:rPr>
                <w:sz w:val="20"/>
                <w:szCs w:val="20"/>
                <w:color w:val="auto"/>
              </w:rPr>
            </w:pPr>
          </w:p>
        </w:tc>
        <w:tc>
          <w:tcPr>
            <w:tcW w:w="920" w:type="dxa"/>
            <w:vAlign w:val="bottom"/>
            <w:tcBorders>
              <w:bottom w:val="single" w:sz="8" w:color="DDDDDD"/>
            </w:tcBorders>
            <w:shd w:val="clear" w:color="auto" w:fill="DDDDDD"/>
          </w:tcPr>
          <w:p>
            <w:pPr>
              <w:spacing w:after="0"/>
              <w:rPr>
                <w:sz w:val="20"/>
                <w:szCs w:val="20"/>
                <w:color w:val="auto"/>
              </w:rPr>
            </w:pPr>
          </w:p>
        </w:tc>
        <w:tc>
          <w:tcPr>
            <w:tcW w:w="1600" w:type="dxa"/>
            <w:vAlign w:val="bottom"/>
            <w:tcBorders>
              <w:bottom w:val="single" w:sz="8" w:color="DDDDDD"/>
            </w:tcBorders>
            <w:shd w:val="clear" w:color="auto" w:fill="DDDDDD"/>
          </w:tcPr>
          <w:p>
            <w:pPr>
              <w:spacing w:after="0"/>
              <w:rPr>
                <w:sz w:val="20"/>
                <w:szCs w:val="20"/>
                <w:color w:val="auto"/>
              </w:rPr>
            </w:pPr>
          </w:p>
        </w:tc>
      </w:tr>
      <w:tr>
        <w:trPr>
          <w:trHeight w:val="223"/>
        </w:trPr>
        <w:tc>
          <w:tcPr>
            <w:tcW w:w="10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97.1</w:t>
            </w:r>
          </w:p>
        </w:tc>
        <w:tc>
          <w:tcPr>
            <w:tcW w:w="5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Incentive Compensation Recoupment (Clawback) Policy</w:t>
            </w:r>
          </w:p>
        </w:tc>
        <w:tc>
          <w:tcPr>
            <w:tcW w:w="9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10-K</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97</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May 24, 2024</w:t>
            </w:r>
          </w:p>
        </w:tc>
      </w:tr>
      <w:tr>
        <w:trPr>
          <w:trHeight w:val="22"/>
        </w:trPr>
        <w:tc>
          <w:tcPr>
            <w:tcW w:w="10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1020" w:type="dxa"/>
            <w:vAlign w:val="bottom"/>
            <w:shd w:val="clear" w:color="auto" w:fill="DDDDDD"/>
          </w:tcPr>
          <w:p>
            <w:pPr>
              <w:jc w:val="center"/>
              <w:spacing w:after="0" w:line="160" w:lineRule="exact"/>
              <w:rPr>
                <w:sz w:val="20"/>
                <w:szCs w:val="20"/>
                <w:color w:val="auto"/>
              </w:rPr>
            </w:pPr>
            <w:r>
              <w:rPr>
                <w:rFonts w:ascii="Times New Roman" w:cs="Times New Roman" w:eastAsia="Times New Roman" w:hAnsi="Times New Roman"/>
                <w:sz w:val="17"/>
                <w:szCs w:val="17"/>
                <w:color w:val="auto"/>
              </w:rPr>
              <w:t>101.INS</w:t>
            </w:r>
          </w:p>
        </w:tc>
        <w:tc>
          <w:tcPr>
            <w:tcW w:w="5360" w:type="dxa"/>
            <w:vAlign w:val="bottom"/>
            <w:shd w:val="clear" w:color="auto" w:fill="DDDDDD"/>
          </w:tcPr>
          <w:p>
            <w:pPr>
              <w:ind w:left="160"/>
              <w:spacing w:after="0" w:line="160" w:lineRule="exact"/>
              <w:rPr>
                <w:sz w:val="20"/>
                <w:szCs w:val="20"/>
                <w:color w:val="auto"/>
              </w:rPr>
            </w:pPr>
            <w:r>
              <w:rPr>
                <w:rFonts w:ascii="Times New Roman" w:cs="Times New Roman" w:eastAsia="Times New Roman" w:hAnsi="Times New Roman"/>
                <w:sz w:val="17"/>
                <w:szCs w:val="17"/>
                <w:color w:val="auto"/>
              </w:rPr>
              <w:t>Inline XBRL Instance Document (the instance document does not</w:t>
            </w:r>
          </w:p>
        </w:tc>
        <w:tc>
          <w:tcPr>
            <w:tcW w:w="920" w:type="dxa"/>
            <w:vAlign w:val="bottom"/>
            <w:shd w:val="clear" w:color="auto" w:fill="DDDDDD"/>
          </w:tcPr>
          <w:p>
            <w:pPr>
              <w:spacing w:after="0"/>
              <w:rPr>
                <w:sz w:val="13"/>
                <w:szCs w:val="13"/>
                <w:color w:val="auto"/>
              </w:rPr>
            </w:pPr>
          </w:p>
        </w:tc>
        <w:tc>
          <w:tcPr>
            <w:tcW w:w="1420" w:type="dxa"/>
            <w:vAlign w:val="bottom"/>
            <w:shd w:val="clear" w:color="auto" w:fill="DDDDDD"/>
          </w:tcPr>
          <w:p>
            <w:pPr>
              <w:spacing w:after="0"/>
              <w:rPr>
                <w:sz w:val="13"/>
                <w:szCs w:val="13"/>
                <w:color w:val="auto"/>
              </w:rPr>
            </w:pPr>
          </w:p>
        </w:tc>
        <w:tc>
          <w:tcPr>
            <w:tcW w:w="920" w:type="dxa"/>
            <w:vAlign w:val="bottom"/>
            <w:shd w:val="clear" w:color="auto" w:fill="DDDDDD"/>
          </w:tcPr>
          <w:p>
            <w:pPr>
              <w:spacing w:after="0"/>
              <w:rPr>
                <w:sz w:val="13"/>
                <w:szCs w:val="13"/>
                <w:color w:val="auto"/>
              </w:rPr>
            </w:pPr>
          </w:p>
        </w:tc>
        <w:tc>
          <w:tcPr>
            <w:tcW w:w="1600" w:type="dxa"/>
            <w:vAlign w:val="bottom"/>
            <w:shd w:val="clear" w:color="auto" w:fill="DDDDDD"/>
          </w:tcPr>
          <w:p>
            <w:pPr>
              <w:spacing w:after="0"/>
              <w:rPr>
                <w:sz w:val="13"/>
                <w:szCs w:val="13"/>
                <w:color w:val="auto"/>
              </w:rPr>
            </w:pPr>
          </w:p>
        </w:tc>
      </w:tr>
      <w:tr>
        <w:trPr>
          <w:trHeight w:val="177"/>
        </w:trPr>
        <w:tc>
          <w:tcPr>
            <w:tcW w:w="1020" w:type="dxa"/>
            <w:vAlign w:val="bottom"/>
            <w:shd w:val="clear" w:color="auto" w:fill="DDDDDD"/>
          </w:tcPr>
          <w:p>
            <w:pPr>
              <w:spacing w:after="0"/>
              <w:rPr>
                <w:sz w:val="15"/>
                <w:szCs w:val="15"/>
                <w:color w:val="auto"/>
              </w:rPr>
            </w:pPr>
          </w:p>
        </w:tc>
        <w:tc>
          <w:tcPr>
            <w:tcW w:w="5360" w:type="dxa"/>
            <w:vAlign w:val="bottom"/>
            <w:shd w:val="clear" w:color="auto" w:fill="DDDDDD"/>
          </w:tcPr>
          <w:p>
            <w:pPr>
              <w:ind w:left="160"/>
              <w:spacing w:after="0" w:line="177" w:lineRule="exact"/>
              <w:rPr>
                <w:sz w:val="20"/>
                <w:szCs w:val="20"/>
                <w:color w:val="auto"/>
              </w:rPr>
            </w:pPr>
            <w:r>
              <w:rPr>
                <w:rFonts w:ascii="Times New Roman" w:cs="Times New Roman" w:eastAsia="Times New Roman" w:hAnsi="Times New Roman"/>
                <w:sz w:val="17"/>
                <w:szCs w:val="17"/>
                <w:color w:val="auto"/>
              </w:rPr>
              <w:t>appear in the Interactive Data File because its XBRL tags are embedded</w:t>
            </w:r>
          </w:p>
        </w:tc>
        <w:tc>
          <w:tcPr>
            <w:tcW w:w="920" w:type="dxa"/>
            <w:vAlign w:val="bottom"/>
            <w:shd w:val="clear" w:color="auto" w:fill="DDDDDD"/>
          </w:tcPr>
          <w:p>
            <w:pPr>
              <w:spacing w:after="0"/>
              <w:rPr>
                <w:sz w:val="15"/>
                <w:szCs w:val="15"/>
                <w:color w:val="auto"/>
              </w:rPr>
            </w:pPr>
          </w:p>
        </w:tc>
        <w:tc>
          <w:tcPr>
            <w:tcW w:w="1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600" w:type="dxa"/>
            <w:vAlign w:val="bottom"/>
            <w:shd w:val="clear" w:color="auto" w:fill="DDDDDD"/>
          </w:tcPr>
          <w:p>
            <w:pPr>
              <w:spacing w:after="0"/>
              <w:rPr>
                <w:sz w:val="15"/>
                <w:szCs w:val="15"/>
                <w:color w:val="auto"/>
              </w:rPr>
            </w:pPr>
          </w:p>
        </w:tc>
      </w:tr>
      <w:tr>
        <w:trPr>
          <w:trHeight w:val="231"/>
        </w:trPr>
        <w:tc>
          <w:tcPr>
            <w:tcW w:w="1020" w:type="dxa"/>
            <w:vAlign w:val="bottom"/>
            <w:shd w:val="clear" w:color="auto" w:fill="DDDDDD"/>
          </w:tcPr>
          <w:p>
            <w:pPr>
              <w:spacing w:after="0"/>
              <w:rPr>
                <w:sz w:val="20"/>
                <w:szCs w:val="20"/>
                <w:color w:val="auto"/>
              </w:rPr>
            </w:pPr>
          </w:p>
        </w:tc>
        <w:tc>
          <w:tcPr>
            <w:tcW w:w="5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920" w:type="dxa"/>
            <w:vAlign w:val="bottom"/>
            <w:shd w:val="clear" w:color="auto" w:fill="DDDDDD"/>
          </w:tcPr>
          <w:p>
            <w:pPr>
              <w:spacing w:after="0"/>
              <w:rPr>
                <w:sz w:val="20"/>
                <w:szCs w:val="20"/>
                <w:color w:val="auto"/>
              </w:rPr>
            </w:pPr>
          </w:p>
        </w:tc>
        <w:tc>
          <w:tcPr>
            <w:tcW w:w="142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1600" w:type="dxa"/>
            <w:vAlign w:val="bottom"/>
            <w:shd w:val="clear" w:color="auto" w:fill="DDDDDD"/>
          </w:tcPr>
          <w:p>
            <w:pPr>
              <w:spacing w:after="0"/>
              <w:rPr>
                <w:sz w:val="20"/>
                <w:szCs w:val="20"/>
                <w:color w:val="auto"/>
              </w:rPr>
            </w:pPr>
          </w:p>
        </w:tc>
      </w:tr>
      <w:tr>
        <w:trPr>
          <w:trHeight w:val="219"/>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5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9"/>
        </w:trPr>
        <w:tc>
          <w:tcPr>
            <w:tcW w:w="10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101.CAL</w:t>
            </w:r>
          </w:p>
        </w:tc>
        <w:tc>
          <w:tcPr>
            <w:tcW w:w="5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92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1600" w:type="dxa"/>
            <w:vAlign w:val="bottom"/>
            <w:shd w:val="clear" w:color="auto" w:fill="DDDDDD"/>
          </w:tcPr>
          <w:p>
            <w:pPr>
              <w:spacing w:after="0"/>
              <w:rPr>
                <w:sz w:val="19"/>
                <w:szCs w:val="19"/>
                <w:color w:val="auto"/>
              </w:rPr>
            </w:pPr>
          </w:p>
        </w:tc>
      </w:tr>
      <w:tr>
        <w:trPr>
          <w:trHeight w:val="219"/>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5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9"/>
        </w:trPr>
        <w:tc>
          <w:tcPr>
            <w:tcW w:w="10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5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2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1600" w:type="dxa"/>
            <w:vAlign w:val="bottom"/>
            <w:shd w:val="clear" w:color="auto" w:fill="DDDDDD"/>
          </w:tcPr>
          <w:p>
            <w:pPr>
              <w:spacing w:after="0"/>
              <w:rPr>
                <w:sz w:val="19"/>
                <w:szCs w:val="19"/>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101.PRE</w:t>
            </w:r>
          </w:p>
        </w:tc>
        <w:tc>
          <w:tcPr>
            <w:tcW w:w="5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8670" cy="2540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180" w:right="5620" w:hanging="775"/>
        <w:spacing w:after="0" w:line="230" w:lineRule="auto"/>
        <w:tabs>
          <w:tab w:leader="none" w:pos="11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36" w:lineRule="exact"/>
        <w:rPr>
          <w:sz w:val="20"/>
          <w:szCs w:val="20"/>
          <w:color w:val="auto"/>
        </w:rPr>
      </w:pPr>
    </w:p>
    <w:p>
      <w:pPr>
        <w:ind w:left="460" w:right="40" w:hanging="335"/>
        <w:spacing w:after="0" w:line="269"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schedules and exhibits to this agreement have been omitted pursuant to Item 601(a)(5) of Regulation S-K. A copy of any omitted schedule and/or exhibit will be furnished to the SEC upon request.</w:t>
      </w:r>
    </w:p>
    <w:p>
      <w:pPr>
        <w:ind w:left="460" w:hanging="330"/>
        <w:spacing w:after="0"/>
        <w:tabs>
          <w:tab w:leader="none" w:pos="4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contract or agreement.</w:t>
      </w:r>
    </w:p>
    <w:p>
      <w:pPr>
        <w:spacing w:after="0" w:line="49" w:lineRule="exact"/>
        <w:rPr>
          <w:sz w:val="20"/>
          <w:szCs w:val="20"/>
          <w:color w:val="auto"/>
        </w:rPr>
      </w:pPr>
    </w:p>
    <w:p>
      <w:pPr>
        <w:jc w:val="both"/>
        <w:ind w:left="460" w:right="20" w:hanging="330"/>
        <w:spacing w:after="0" w:line="254" w:lineRule="auto"/>
        <w:tabs>
          <w:tab w:leader="none" w:pos="4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1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561340</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561340</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40"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1240"/>
          </w:cols>
          <w:pgMar w:left="500" w:top="640" w:right="500" w:bottom="135"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duly caused this report to be signed on its behalf by the undersigned, thereunto duly authorized.</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7400" w:type="dxa"/>
            <w:vAlign w:val="bottom"/>
            <w:gridSpan w:val="3"/>
          </w:tcPr>
          <w:p>
            <w:pPr>
              <w:ind w:left="2140"/>
              <w:spacing w:after="0"/>
              <w:rPr>
                <w:sz w:val="20"/>
                <w:szCs w:val="20"/>
                <w:color w:val="auto"/>
              </w:rPr>
            </w:pPr>
            <w:r>
              <w:rPr>
                <w:rFonts w:ascii="Times New Roman" w:cs="Times New Roman" w:eastAsia="Times New Roman" w:hAnsi="Times New Roman"/>
                <w:sz w:val="17"/>
                <w:szCs w:val="17"/>
                <w:b w:val="1"/>
                <w:bCs w:val="1"/>
                <w:color w:val="auto"/>
              </w:rPr>
              <w:t>WM TECHNOLOGY, INC.</w:t>
            </w:r>
          </w:p>
        </w:tc>
      </w:tr>
      <w:tr>
        <w:trPr>
          <w:trHeight w:val="713"/>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Date:   March 12, 2026</w:t>
            </w:r>
          </w:p>
        </w:tc>
        <w:tc>
          <w:tcPr>
            <w:tcW w:w="7400" w:type="dxa"/>
            <w:vAlign w:val="bottom"/>
            <w:gridSpan w:val="3"/>
          </w:tcPr>
          <w:p>
            <w:pPr>
              <w:ind w:left="2140"/>
              <w:spacing w:after="0"/>
              <w:rPr>
                <w:sz w:val="20"/>
                <w:szCs w:val="20"/>
                <w:color w:val="auto"/>
              </w:rPr>
            </w:pPr>
            <w:r>
              <w:rPr>
                <w:rFonts w:ascii="Times New Roman" w:cs="Times New Roman" w:eastAsia="Times New Roman" w:hAnsi="Times New Roman"/>
                <w:sz w:val="17"/>
                <w:szCs w:val="17"/>
                <w:color w:val="auto"/>
              </w:rPr>
              <w:t>By:  /s/ Douglas Francis</w:t>
            </w:r>
          </w:p>
        </w:tc>
      </w:tr>
      <w:tr>
        <w:trPr>
          <w:trHeight w:val="204"/>
        </w:trPr>
        <w:tc>
          <w:tcPr>
            <w:tcW w:w="38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Douglas Francis</w:t>
            </w:r>
          </w:p>
        </w:tc>
      </w:tr>
      <w:tr>
        <w:trPr>
          <w:trHeight w:val="215"/>
        </w:trPr>
        <w:tc>
          <w:tcPr>
            <w:tcW w:w="38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38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32"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Douglas Francis and Susan Echard, and each of them, his or her true and lawful attorneys-in-fact and agents, each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76"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60" w:type="dxa"/>
            <w:vAlign w:val="bottom"/>
          </w:tcPr>
          <w:p>
            <w:pPr>
              <w:ind w:left="12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140" w:type="dxa"/>
            <w:vAlign w:val="bottom"/>
          </w:tcPr>
          <w:p>
            <w:pPr>
              <w:ind w:left="276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0" w:type="dxa"/>
            <w:vAlign w:val="bottom"/>
          </w:tcPr>
          <w:p>
            <w:pPr>
              <w:ind w:left="1640"/>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39"/>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Francis</w:t>
            </w:r>
          </w:p>
        </w:tc>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Executive Officer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Douglas Francis</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0" w:type="dxa"/>
            <w:vAlign w:val="bottom"/>
          </w:tcPr>
          <w:p>
            <w:pPr>
              <w:spacing w:after="0"/>
              <w:rPr>
                <w:sz w:val="19"/>
                <w:szCs w:val="19"/>
                <w:color w:val="auto"/>
              </w:rPr>
            </w:pPr>
          </w:p>
        </w:tc>
      </w:tr>
      <w:tr>
        <w:trPr>
          <w:trHeight w:val="427"/>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Susan Echard</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Susan Echard</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00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Anthony Bay</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Anthony Bay</w:t>
            </w:r>
          </w:p>
        </w:tc>
        <w:tc>
          <w:tcPr>
            <w:tcW w:w="5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Brenda Freeman</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Brenda Freeman</w:t>
            </w:r>
          </w:p>
        </w:tc>
        <w:tc>
          <w:tcPr>
            <w:tcW w:w="5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Scott Gordon</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Scott Gordon</w:t>
            </w:r>
          </w:p>
        </w:tc>
        <w:tc>
          <w:tcPr>
            <w:tcW w:w="5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Ibbott</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Glen Ibbott</w:t>
            </w:r>
          </w:p>
        </w:tc>
        <w:tc>
          <w:tcPr>
            <w:tcW w:w="5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Harry DeMott</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Harry DeMott</w:t>
            </w:r>
          </w:p>
        </w:tc>
        <w:tc>
          <w:tcPr>
            <w:tcW w:w="5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Brent Cox</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Brent Cox</w:t>
            </w:r>
          </w:p>
        </w:tc>
        <w:tc>
          <w:tcPr>
            <w:tcW w:w="5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Nicholas Rellas</w:t>
            </w:r>
          </w:p>
        </w:tc>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March 12, 2026</w:t>
            </w: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Nicholas Rellas</w:t>
            </w:r>
          </w:p>
        </w:tc>
        <w:tc>
          <w:tcPr>
            <w:tcW w:w="514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732790</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732790</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702"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1240"/>
          </w:cols>
          <w:pgMar w:left="500" w:top="702" w:right="500" w:bottom="135"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27"/>
        </w:trPr>
        <w:tc>
          <w:tcPr>
            <w:tcW w:w="8680" w:type="dxa"/>
            <w:vAlign w:val="bottom"/>
          </w:tcPr>
          <w:p>
            <w:pPr>
              <w:ind w:left="338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868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5"/>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(Baker Tilly US, LLP, Irvine, California, Auditor ID: (PCAOB ID</w:t>
            </w: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1"/>
        </w:trPr>
        <w:tc>
          <w:tcPr>
            <w:tcW w:w="868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Operations</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45"/>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Equity</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45"/>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45"/>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829945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829945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1140" w:right="500" w:bottom="1440" w:gutter="0" w:footer="0" w:header="0"/>
        </w:sectPr>
      </w:pPr>
    </w:p>
    <w:bookmarkStart w:id="79" w:name="page80"/>
    <w:bookmarkEnd w:id="79"/>
    <w:p>
      <w:pPr>
        <w:ind w:left="2600"/>
        <w:spacing w:after="0"/>
        <w:rPr>
          <w:sz w:val="20"/>
          <w:szCs w:val="20"/>
          <w:color w:val="auto"/>
        </w:rPr>
      </w:pPr>
      <w:r>
        <w:rPr>
          <w:rFonts w:ascii="Times New Roman" w:cs="Times New Roman" w:eastAsia="Times New Roman" w:hAnsi="Times New Roman"/>
          <w:sz w:val="24"/>
          <w:szCs w:val="24"/>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WM Technology, Inc. (the “Company”) as of December 31, 2025 and 2024, the related consolidated statements of operations, equity, and cash flows for the years then ended, and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consolidated financial position of the Company as of December 31, 2025 and 2024, and the consolidated results of its operations and its cash flows for the years then ended, in conformity with accounting principles generally accepted in the United States of America. Also in our opinion, because of the effect of the material weaknesses identified below on the achievement of the objectives of the control criteria, the Company has not maintained effective internal control over financial reporting as of December 31, 2025, based on criteria established in Internal Control - Integrated Framework (2013) issued by COSO.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62" w:lineRule="exact"/>
        <w:rPr>
          <w:sz w:val="20"/>
          <w:szCs w:val="20"/>
          <w:color w:val="auto"/>
        </w:rPr>
      </w:pPr>
    </w:p>
    <w:p>
      <w:pPr>
        <w:jc w:val="both"/>
        <w:ind w:left="620" w:hanging="318"/>
        <w:spacing w:after="0" w:line="261"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534670</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534670</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1082" w:right="500" w:bottom="1440" w:gutter="0" w:footer="0" w:header="0"/>
        </w:sectPr>
      </w:pPr>
    </w:p>
    <w:bookmarkStart w:id="80" w:name="page81"/>
    <w:bookmarkEnd w:id="80"/>
    <w:p>
      <w:pPr>
        <w:ind w:left="7"/>
        <w:spacing w:after="0"/>
        <w:rPr>
          <w:sz w:val="20"/>
          <w:szCs w:val="20"/>
          <w:color w:val="auto"/>
        </w:rPr>
      </w:pPr>
      <w:r>
        <w:rPr>
          <w:rFonts w:ascii="Times New Roman" w:cs="Times New Roman" w:eastAsia="Times New Roman" w:hAnsi="Times New Roman"/>
          <w:sz w:val="17"/>
          <w:szCs w:val="17"/>
          <w:color w:val="auto"/>
        </w:rPr>
        <w:t>The entity level material weaknesses contributed to other material weaknesses within the Company’s system of internal control over financial reporting:</w:t>
      </w:r>
    </w:p>
    <w:p>
      <w:pPr>
        <w:spacing w:after="0" w:line="114" w:lineRule="exact"/>
        <w:rPr>
          <w:sz w:val="20"/>
          <w:szCs w:val="20"/>
          <w:color w:val="auto"/>
        </w:rPr>
      </w:pPr>
    </w:p>
    <w:p>
      <w:pPr>
        <w:jc w:val="both"/>
        <w:ind w:left="627" w:hanging="318"/>
        <w:spacing w:after="0" w:line="257" w:lineRule="auto"/>
        <w:tabs>
          <w:tab w:leader="none" w:pos="62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information technology (IT) general controls for certain information systems supporting its key financial reporting processes, including for its enterprise resource planning (ERP) system and certain in-scope on-premise and vendor-supported applications. Specifically, the Company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the Company’s financial statement account balances and disclosures.</w:t>
      </w:r>
    </w:p>
    <w:p>
      <w:pPr>
        <w:spacing w:after="0" w:line="75" w:lineRule="exact"/>
        <w:rPr>
          <w:rFonts w:ascii="Times New Roman" w:cs="Times New Roman" w:eastAsia="Times New Roman" w:hAnsi="Times New Roman"/>
          <w:sz w:val="17"/>
          <w:szCs w:val="17"/>
          <w:color w:val="auto"/>
        </w:rPr>
      </w:pPr>
    </w:p>
    <w:p>
      <w:pPr>
        <w:jc w:val="both"/>
        <w:ind w:left="627" w:hanging="318"/>
        <w:spacing w:after="0" w:line="270" w:lineRule="auto"/>
        <w:tabs>
          <w:tab w:leader="none" w:pos="62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payroll cycle, income taxes, capitalized software, and long-term assets.</w:t>
      </w:r>
    </w:p>
    <w:p>
      <w:pPr>
        <w:spacing w:after="0" w:line="62" w:lineRule="exact"/>
        <w:rPr>
          <w:sz w:val="20"/>
          <w:szCs w:val="20"/>
          <w:color w:val="auto"/>
        </w:rPr>
      </w:pPr>
    </w:p>
    <w:p>
      <w:pPr>
        <w:jc w:val="both"/>
        <w:ind w:left="7" w:right="20"/>
        <w:spacing w:after="0" w:line="287" w:lineRule="auto"/>
        <w:rPr>
          <w:sz w:val="20"/>
          <w:szCs w:val="20"/>
          <w:color w:val="auto"/>
        </w:rPr>
      </w:pPr>
      <w:r>
        <w:rPr>
          <w:rFonts w:ascii="Times New Roman" w:cs="Times New Roman" w:eastAsia="Times New Roman" w:hAnsi="Times New Roman"/>
          <w:sz w:val="17"/>
          <w:szCs w:val="17"/>
          <w:color w:val="auto"/>
        </w:rPr>
        <w:t>We considered the material weaknesses in determining the nature, timing, and extent of audit tests applied in our audit of the Company’s consolidated financial statements as of and for the year ended December 31, 2025, and our opinion on such consolidated financial statements was not affected.</w:t>
      </w:r>
    </w:p>
    <w:p>
      <w:pPr>
        <w:spacing w:after="0" w:line="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8"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76"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8"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left="7" w:hanging="7"/>
        <w:spacing w:after="0" w:line="259" w:lineRule="auto"/>
        <w:tabs>
          <w:tab w:leader="none" w:pos="2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8"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7"/>
          <w:szCs w:val="17"/>
          <w:color w:val="auto"/>
        </w:rPr>
        <w:t>As described in Notes 2 and 3 to the consolidated financial statements, the Company’s revenues are derived primarily from monthly subscriptions to Weedmaps for Business, Featured Listing and WM Deal products, and other WM Ad solutions. Featured Listing and WM Deal products and other WM Ad solutions are offered as add-on products to the Weedmaps for Business subscriptions. Featured Listing and WM Deal products provide customers with premium placement ad solutions and discount and promotion pricing tools. Other WM Ad solutions include banner ads and promotion tiles on the Company’s marketplace as well as other advertising products on and off the Weedmaps marketplace. The price is generally determined through a competitive auction process that reflects local market demand. Revenues for these arrangements are recognized over time, generally during a month-to-month subscription period as the services are provided. The Company’s total revenues were $174.7 million for the year ended December 31, 2025.</w:t>
      </w:r>
    </w:p>
    <w:p>
      <w:pPr>
        <w:spacing w:after="0" w:line="76" w:lineRule="exact"/>
        <w:rPr>
          <w:sz w:val="20"/>
          <w:szCs w:val="20"/>
          <w:color w:val="auto"/>
        </w:rPr>
      </w:pPr>
    </w:p>
    <w:p>
      <w:pPr>
        <w:jc w:val="both"/>
        <w:ind w:left="7"/>
        <w:spacing w:after="0" w:line="287" w:lineRule="auto"/>
        <w:rPr>
          <w:sz w:val="20"/>
          <w:szCs w:val="20"/>
          <w:color w:val="auto"/>
        </w:rPr>
      </w:pPr>
      <w:r>
        <w:rPr>
          <w:rFonts w:ascii="Times New Roman" w:cs="Times New Roman" w:eastAsia="Times New Roman" w:hAnsi="Times New Roman"/>
          <w:sz w:val="17"/>
          <w:szCs w:val="17"/>
          <w:color w:val="auto"/>
        </w:rPr>
        <w:t>The principal consideration for our determination that performing procedures related to revenue recognition is a critical audit matter was the significant auditor judgment required to evaluate the accuracy and occurrence of revenue transactions due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519430</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519430</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7"/>
          </w:cols>
          <w:pgMar w:left="493" w:top="603" w:right="50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degree of subjectivity in applying audit procedures, the nature and extent of audit effort, and the nature of the audit evidence obtained.</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evaluating the design of internal controls related to the Company’s process-level controls relating to the recognition of revenue. As described in the “Basis for Opinions” section, a material weakness was identified related to this matter. Our audit procedures related to the accuracy and occurrence of revenue transactions included the following, among others:</w:t>
      </w:r>
    </w:p>
    <w:p>
      <w:pPr>
        <w:spacing w:after="0" w:line="68" w:lineRule="exact"/>
        <w:rPr>
          <w:sz w:val="20"/>
          <w:szCs w:val="20"/>
          <w:color w:val="auto"/>
        </w:rPr>
      </w:pPr>
    </w:p>
    <w:p>
      <w:pPr>
        <w:ind w:left="620" w:hanging="318"/>
        <w:spacing w:after="0" w:line="287"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 understanding and evaluating the Company’s revenue recognition policy to recognize revenue in accordance with ASC Topic 606, Revenue from Contracts with Customers.</w:t>
      </w:r>
    </w:p>
    <w:p>
      <w:pPr>
        <w:spacing w:after="0" w:line="48"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a selection of subscription fee and SaaS solution offering transactions by -</w:t>
      </w:r>
    </w:p>
    <w:p>
      <w:pPr>
        <w:spacing w:after="0" w:line="113" w:lineRule="exact"/>
        <w:rPr>
          <w:rFonts w:ascii="Times New Roman" w:cs="Times New Roman" w:eastAsia="Times New Roman" w:hAnsi="Times New Roman"/>
          <w:sz w:val="17"/>
          <w:szCs w:val="17"/>
          <w:color w:val="auto"/>
        </w:rPr>
      </w:pPr>
    </w:p>
    <w:p>
      <w:pPr>
        <w:ind w:left="1240" w:right="20" w:hanging="319"/>
        <w:spacing w:after="0" w:line="287" w:lineRule="auto"/>
        <w:tabs>
          <w:tab w:leader="none" w:pos="124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inspecting source documents, such as contracts, terms of conditions, and payment receipts in order to evaluate the criteria to recognize revenue were met.</w:t>
      </w:r>
    </w:p>
    <w:p>
      <w:pPr>
        <w:spacing w:after="0" w:line="48" w:lineRule="exact"/>
        <w:rPr>
          <w:rFonts w:ascii="Times New Roman" w:cs="Times New Roman" w:eastAsia="Times New Roman" w:hAnsi="Times New Roman"/>
          <w:sz w:val="17"/>
          <w:szCs w:val="17"/>
          <w:color w:val="auto"/>
        </w:rPr>
      </w:pPr>
    </w:p>
    <w:p>
      <w:pPr>
        <w:ind w:left="1240" w:right="20" w:hanging="319"/>
        <w:spacing w:after="0" w:line="287" w:lineRule="auto"/>
        <w:tabs>
          <w:tab w:leader="none" w:pos="124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observing the delivery of these services on the marketplace during the year and tracing the transactions to the information obtained using source documents.</w:t>
      </w:r>
    </w:p>
    <w:p>
      <w:pPr>
        <w:spacing w:after="0" w:line="48"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sufficiency of audit evidence obtained and testing the completeness and accuracy of the reports used as part of our testing.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Impairment</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goodwill balance was $61.3 million as of December 31, 2025. As described in Notes 2 and 8 to the consolidated financial statements, the Company evaluates goodwill for impairment on an annual basis as of December 31, or more frequently if facts and circumstances indicate that the carrying amount may not be recoverable. As of December 31, 2025, the Company opted to bypass the qualitative assessment and performed a quantitative assessment to test goodwill for impairment. The fair value of the Company’s reporting unit was estimated using an income approach, which uses projected discounted cash flows that incorporates assumptions regarding long-term growth rates, revenue and earnings projections, estimation of cash flows and discount rates. The impairment assessment resulted in the recognition of $7.1 million impairment expense during the year ended December 31, 2025.</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related to goodwill impairment is a critical audit matter was (i) the significant judgment required by management to develop the forecasts of discounted cash flows used in the fair value estimate, (ii) the high degree of auditor judgment, subjectivity, and effort in performing procedures and evaluating management’s significant assumptions that support revenue and earnings projections, projected cash flows, and discount rate, and (iii) the audit effort involved in the use of professionals with specialized skill and knowledge.</w:t>
      </w:r>
    </w:p>
    <w:p>
      <w:pPr>
        <w:spacing w:after="0" w:line="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Our audit procedures relating to the determination of the fair value of the Company’s reporting unit included the following, among others:</w:t>
      </w:r>
    </w:p>
    <w:p>
      <w:pPr>
        <w:spacing w:after="0" w:line="48" w:lineRule="exact"/>
        <w:rPr>
          <w:sz w:val="20"/>
          <w:szCs w:val="20"/>
          <w:color w:val="auto"/>
        </w:rPr>
      </w:pPr>
    </w:p>
    <w:p>
      <w:pPr>
        <w:ind w:left="600" w:hanging="298"/>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management’s process for determining the fair value of the reporting unit. These tests included:</w:t>
      </w:r>
    </w:p>
    <w:p>
      <w:pPr>
        <w:spacing w:after="0" w:line="113" w:lineRule="exact"/>
        <w:rPr>
          <w:rFonts w:ascii="Times New Roman" w:cs="Times New Roman" w:eastAsia="Times New Roman" w:hAnsi="Times New Roman"/>
          <w:sz w:val="17"/>
          <w:szCs w:val="17"/>
          <w:color w:val="auto"/>
        </w:rPr>
      </w:pPr>
    </w:p>
    <w:p>
      <w:pPr>
        <w:ind w:left="1220" w:hanging="299"/>
        <w:spacing w:after="0"/>
        <w:tabs>
          <w:tab w:leader="none" w:pos="12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appropriateness of the valuation methods used.</w:t>
      </w:r>
    </w:p>
    <w:p>
      <w:pPr>
        <w:spacing w:after="0" w:line="113" w:lineRule="exact"/>
        <w:rPr>
          <w:rFonts w:ascii="Times New Roman" w:cs="Times New Roman" w:eastAsia="Times New Roman" w:hAnsi="Times New Roman"/>
          <w:sz w:val="17"/>
          <w:szCs w:val="17"/>
          <w:color w:val="auto"/>
        </w:rPr>
      </w:pPr>
    </w:p>
    <w:p>
      <w:pPr>
        <w:ind w:left="1220" w:hanging="299"/>
        <w:spacing w:after="0"/>
        <w:tabs>
          <w:tab w:leader="none" w:pos="12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completeness, accuracy and relevance of data used by management.</w:t>
      </w:r>
    </w:p>
    <w:p>
      <w:pPr>
        <w:spacing w:after="0" w:line="113" w:lineRule="exact"/>
        <w:rPr>
          <w:rFonts w:ascii="Times New Roman" w:cs="Times New Roman" w:eastAsia="Times New Roman" w:hAnsi="Times New Roman"/>
          <w:sz w:val="17"/>
          <w:szCs w:val="17"/>
          <w:color w:val="auto"/>
        </w:rPr>
      </w:pPr>
    </w:p>
    <w:p>
      <w:pPr>
        <w:ind w:left="1240" w:hanging="319"/>
        <w:spacing w:after="0" w:line="287" w:lineRule="auto"/>
        <w:tabs>
          <w:tab w:leader="none" w:pos="123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reasonableness of significant assumptions, including forecasted revenue, forecasted cash flows, and the discount rate, and testing whether these forecasts were reasonable and consistent with historical performance and market data.</w:t>
      </w:r>
    </w:p>
    <w:p>
      <w:pPr>
        <w:spacing w:after="0" w:line="48" w:lineRule="exact"/>
        <w:rPr>
          <w:rFonts w:ascii="Times New Roman" w:cs="Times New Roman" w:eastAsia="Times New Roman" w:hAnsi="Times New Roman"/>
          <w:sz w:val="17"/>
          <w:szCs w:val="17"/>
          <w:color w:val="auto"/>
        </w:rPr>
      </w:pPr>
    </w:p>
    <w:p>
      <w:pPr>
        <w:ind w:left="600" w:hanging="298"/>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internal valuation specialists, evaluating the reasonableness of the valuation methods and assumptions used in the estimate.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Irvine, California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708660</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708660</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3" w:right="500"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60" w:type="dxa"/>
            <w:vAlign w:val="bottom"/>
            <w:tcBorders>
              <w:bottom w:val="single" w:sz="8" w:color="auto"/>
            </w:tcBorders>
          </w:tcPr>
          <w:p>
            <w:pPr>
              <w:spacing w:after="0"/>
              <w:rPr>
                <w:sz w:val="20"/>
                <w:szCs w:val="20"/>
                <w:color w:val="auto"/>
              </w:rPr>
            </w:pPr>
          </w:p>
        </w:tc>
      </w:tr>
      <w:tr>
        <w:trPr>
          <w:trHeight w:val="216"/>
        </w:trPr>
        <w:tc>
          <w:tcPr>
            <w:tcW w:w="7440" w:type="dxa"/>
            <w:vAlign w:val="bottom"/>
            <w:tcBorders>
              <w:bottom w:val="single" w:sz="8" w:color="DDDDDD"/>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4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6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260" w:type="dxa"/>
            <w:vAlign w:val="bottom"/>
            <w:shd w:val="clear" w:color="auto" w:fill="DDDDDD"/>
          </w:tcPr>
          <w:p>
            <w:pPr>
              <w:spacing w:after="0"/>
              <w:rPr>
                <w:sz w:val="17"/>
                <w:szCs w:val="17"/>
                <w:color w:val="auto"/>
              </w:rPr>
            </w:pPr>
          </w:p>
        </w:tc>
      </w:tr>
      <w:tr>
        <w:trPr>
          <w:trHeight w:val="21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60" w:type="dxa"/>
            <w:vAlign w:val="bottom"/>
            <w:shd w:val="clear" w:color="auto" w:fill="DDDDDD"/>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62,401</w:t>
            </w: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51,966</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10,060</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7,900</w:t>
            </w:r>
          </w:p>
        </w:tc>
        <w:tc>
          <w:tcPr>
            <w:tcW w:w="100" w:type="dxa"/>
            <w:vAlign w:val="bottom"/>
            <w:shd w:val="clear" w:color="auto" w:fill="DDDDDD"/>
          </w:tcPr>
          <w:p>
            <w:pPr>
              <w:spacing w:after="0"/>
              <w:rPr>
                <w:sz w:val="19"/>
                <w:szCs w:val="19"/>
                <w:color w:val="auto"/>
              </w:rPr>
            </w:pPr>
          </w:p>
        </w:tc>
        <w:tc>
          <w:tcPr>
            <w:tcW w:w="60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7,486</w:t>
            </w:r>
          </w:p>
        </w:tc>
      </w:tr>
      <w:tr>
        <w:trPr>
          <w:trHeight w:val="212"/>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69,512</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24,986</w:t>
            </w: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24,075</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68,368</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1,952</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14,695</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1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5,758</w:t>
            </w:r>
          </w:p>
        </w:tc>
        <w:tc>
          <w:tcPr>
            <w:tcW w:w="100" w:type="dxa"/>
            <w:vAlign w:val="bottom"/>
            <w:shd w:val="clear" w:color="auto" w:fill="DDDDDD"/>
          </w:tcPr>
          <w:p>
            <w:pPr>
              <w:spacing w:after="0"/>
              <w:rPr>
                <w:sz w:val="19"/>
                <w:szCs w:val="19"/>
                <w:color w:val="auto"/>
              </w:rPr>
            </w:pPr>
          </w:p>
        </w:tc>
        <w:tc>
          <w:tcPr>
            <w:tcW w:w="60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3,264</w:t>
            </w:r>
          </w:p>
        </w:tc>
      </w:tr>
      <w:tr>
        <w:trPr>
          <w:trHeight w:val="212"/>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190,667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181,866</w:t>
            </w:r>
          </w:p>
        </w:tc>
      </w:tr>
      <w:tr>
        <w:trPr>
          <w:trHeight w:val="20"/>
        </w:trPr>
        <w:tc>
          <w:tcPr>
            <w:tcW w:w="7440" w:type="dxa"/>
            <w:vAlign w:val="bottom"/>
            <w:tcBorders>
              <w:bottom w:val="single" w:sz="8" w:color="DDDDDD"/>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5"/>
        </w:trPr>
        <w:tc>
          <w:tcPr>
            <w:tcW w:w="7440" w:type="dxa"/>
            <w:vAlign w:val="bottom"/>
            <w:shd w:val="clear" w:color="auto" w:fill="DDDDDD"/>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16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160" w:type="dxa"/>
            <w:vAlign w:val="bottom"/>
            <w:shd w:val="clear" w:color="auto" w:fill="DDDDDD"/>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23,962</w:t>
            </w: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20,102</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5,433</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3,922</w:t>
            </w: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3,492</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receivable agreement liability, current</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Warrant liability, current</w:t>
            </w:r>
          </w:p>
        </w:tc>
        <w:tc>
          <w:tcPr>
            <w:tcW w:w="11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DDDDDD"/>
          </w:tcPr>
          <w:p>
            <w:pPr>
              <w:spacing w:after="0"/>
              <w:rPr>
                <w:sz w:val="19"/>
                <w:szCs w:val="19"/>
                <w:color w:val="auto"/>
              </w:rPr>
            </w:pPr>
          </w:p>
        </w:tc>
        <w:tc>
          <w:tcPr>
            <w:tcW w:w="60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36,236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30,433</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22,631</w:t>
            </w: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26,601</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non-current</w:t>
            </w:r>
          </w:p>
        </w:tc>
        <w:tc>
          <w:tcPr>
            <w:tcW w:w="1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Warrant liability, non-current</w:t>
            </w:r>
          </w:p>
        </w:tc>
        <w:tc>
          <w:tcPr>
            <w:tcW w:w="1160" w:type="dxa"/>
            <w:vAlign w:val="bottom"/>
            <w:shd w:val="clear" w:color="auto" w:fill="DDDDDD"/>
          </w:tcPr>
          <w:p>
            <w:pPr>
              <w:spacing w:after="0"/>
              <w:rPr>
                <w:sz w:val="19"/>
                <w:szCs w:val="19"/>
                <w:color w:val="auto"/>
              </w:rPr>
            </w:pPr>
          </w:p>
        </w:tc>
        <w:tc>
          <w:tcPr>
            <w:tcW w:w="78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585</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r>
      <w:tr>
        <w:trPr>
          <w:trHeight w:val="212"/>
        </w:trPr>
        <w:tc>
          <w:tcPr>
            <w:tcW w:w="7440" w:type="dxa"/>
            <w:vAlign w:val="bottom"/>
            <w:tcBorders>
              <w:top w:val="single" w:sz="8" w:color="DDDDDD"/>
            </w:tcBorders>
            <w:shd w:val="clear" w:color="auto" w:fill="DDDDDD"/>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160" w:type="dxa"/>
            <w:vAlign w:val="bottom"/>
            <w:tcBorders>
              <w:top w:val="single" w:sz="8" w:color="auto"/>
            </w:tcBorders>
            <w:shd w:val="clear" w:color="auto" w:fill="DDDDDD"/>
          </w:tcPr>
          <w:p>
            <w:pPr>
              <w:spacing w:after="0"/>
              <w:rPr>
                <w:sz w:val="18"/>
                <w:szCs w:val="18"/>
                <w:color w:val="auto"/>
              </w:rPr>
            </w:pPr>
          </w:p>
        </w:tc>
        <w:tc>
          <w:tcPr>
            <w:tcW w:w="6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58,867</w:t>
            </w:r>
          </w:p>
        </w:tc>
        <w:tc>
          <w:tcPr>
            <w:tcW w:w="100" w:type="dxa"/>
            <w:vAlign w:val="bottom"/>
            <w:tcBorders>
              <w:top w:val="single" w:sz="8" w:color="DDDDDD"/>
            </w:tcBorders>
            <w:shd w:val="clear" w:color="auto" w:fill="DDDDDD"/>
          </w:tcPr>
          <w:p>
            <w:pPr>
              <w:spacing w:after="0"/>
              <w:rPr>
                <w:sz w:val="18"/>
                <w:szCs w:val="18"/>
                <w:color w:val="auto"/>
              </w:rPr>
            </w:pPr>
          </w:p>
        </w:tc>
        <w:tc>
          <w:tcPr>
            <w:tcW w:w="600" w:type="dxa"/>
            <w:vAlign w:val="bottom"/>
            <w:tcBorders>
              <w:top w:val="single" w:sz="8" w:color="auto"/>
            </w:tcBorders>
            <w:shd w:val="clear" w:color="auto" w:fill="DDDDDD"/>
          </w:tcPr>
          <w:p>
            <w:pPr>
              <w:spacing w:after="0"/>
              <w:rPr>
                <w:sz w:val="18"/>
                <w:szCs w:val="18"/>
                <w:color w:val="auto"/>
              </w:rPr>
            </w:pPr>
          </w:p>
        </w:tc>
        <w:tc>
          <w:tcPr>
            <w:tcW w:w="12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61,799</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r>
      <w:tr>
        <w:trPr>
          <w:trHeight w:val="159"/>
        </w:trPr>
        <w:tc>
          <w:tcPr>
            <w:tcW w:w="7440" w:type="dxa"/>
            <w:vAlign w:val="bottom"/>
          </w:tcPr>
          <w:p>
            <w:pPr>
              <w:ind w:left="160"/>
              <w:spacing w:after="0" w:line="159" w:lineRule="exact"/>
              <w:rPr>
                <w:sz w:val="20"/>
                <w:szCs w:val="20"/>
                <w:color w:val="auto"/>
              </w:rPr>
            </w:pPr>
            <w:r>
              <w:rPr>
                <w:rFonts w:ascii="Times New Roman" w:cs="Times New Roman" w:eastAsia="Times New Roman" w:hAnsi="Times New Roman"/>
                <w:sz w:val="17"/>
                <w:szCs w:val="17"/>
                <w:color w:val="auto"/>
              </w:rPr>
              <w:t>Preferred Stock - $0.0001 par value; 75,000,000 shares authorized; no shares issued and outstanding at</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7"/>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December 31, 2025 and December 31, 2024</w:t>
            </w:r>
          </w:p>
        </w:tc>
        <w:tc>
          <w:tcPr>
            <w:tcW w:w="1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3"/>
        </w:trPr>
        <w:tc>
          <w:tcPr>
            <w:tcW w:w="7440" w:type="dxa"/>
            <w:vAlign w:val="bottom"/>
            <w:shd w:val="clear" w:color="auto" w:fill="DDDDDD"/>
          </w:tcPr>
          <w:p>
            <w:pPr>
              <w:ind w:left="160"/>
              <w:spacing w:after="0" w:line="163" w:lineRule="exact"/>
              <w:rPr>
                <w:sz w:val="20"/>
                <w:szCs w:val="20"/>
                <w:color w:val="auto"/>
              </w:rPr>
            </w:pPr>
            <w:r>
              <w:rPr>
                <w:rFonts w:ascii="Times New Roman" w:cs="Times New Roman" w:eastAsia="Times New Roman" w:hAnsi="Times New Roman"/>
                <w:sz w:val="17"/>
                <w:szCs w:val="17"/>
                <w:color w:val="auto"/>
              </w:rPr>
              <w:t>Class A Common Stock - $0.0001 par value; 1,500,000,000 shares authorized; 109,990,343 shares</w:t>
            </w:r>
          </w:p>
        </w:tc>
        <w:tc>
          <w:tcPr>
            <w:tcW w:w="11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1260" w:type="dxa"/>
            <w:vAlign w:val="bottom"/>
            <w:shd w:val="clear" w:color="auto" w:fill="DDDDDD"/>
          </w:tcPr>
          <w:p>
            <w:pPr>
              <w:spacing w:after="0"/>
              <w:rPr>
                <w:sz w:val="14"/>
                <w:szCs w:val="14"/>
                <w:color w:val="auto"/>
              </w:rPr>
            </w:pPr>
          </w:p>
        </w:tc>
      </w:tr>
      <w:tr>
        <w:trPr>
          <w:trHeight w:val="177"/>
        </w:trPr>
        <w:tc>
          <w:tcPr>
            <w:tcW w:w="7440" w:type="dxa"/>
            <w:vAlign w:val="bottom"/>
            <w:shd w:val="clear" w:color="auto" w:fill="DDDDDD"/>
          </w:tcPr>
          <w:p>
            <w:pPr>
              <w:ind w:left="320"/>
              <w:spacing w:after="0" w:line="177" w:lineRule="exact"/>
              <w:rPr>
                <w:sz w:val="20"/>
                <w:szCs w:val="20"/>
                <w:color w:val="auto"/>
              </w:rPr>
            </w:pPr>
            <w:r>
              <w:rPr>
                <w:rFonts w:ascii="Times New Roman" w:cs="Times New Roman" w:eastAsia="Times New Roman" w:hAnsi="Times New Roman"/>
                <w:sz w:val="17"/>
                <w:szCs w:val="17"/>
                <w:color w:val="auto"/>
              </w:rPr>
              <w:t>issued and outstanding at December 31, 2025 and 99,033,110 shares issued and outstanding at</w:t>
            </w:r>
          </w:p>
        </w:tc>
        <w:tc>
          <w:tcPr>
            <w:tcW w:w="116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60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r>
      <w:tr>
        <w:trPr>
          <w:trHeight w:val="231"/>
        </w:trPr>
        <w:tc>
          <w:tcPr>
            <w:tcW w:w="7440" w:type="dxa"/>
            <w:vAlign w:val="bottom"/>
            <w:shd w:val="clear" w:color="auto" w:fill="DDDDDD"/>
          </w:tcPr>
          <w:p>
            <w:pPr>
              <w:ind w:left="320"/>
              <w:spacing w:after="0"/>
              <w:rPr>
                <w:sz w:val="20"/>
                <w:szCs w:val="20"/>
                <w:color w:val="auto"/>
              </w:rPr>
            </w:pPr>
            <w:r>
              <w:rPr>
                <w:rFonts w:ascii="Times New Roman" w:cs="Times New Roman" w:eastAsia="Times New Roman" w:hAnsi="Times New Roman"/>
                <w:sz w:val="17"/>
                <w:szCs w:val="17"/>
                <w:color w:val="auto"/>
              </w:rPr>
              <w:t>December 31, 2024</w:t>
            </w:r>
          </w:p>
        </w:tc>
        <w:tc>
          <w:tcPr>
            <w:tcW w:w="1160" w:type="dxa"/>
            <w:vAlign w:val="bottom"/>
            <w:shd w:val="clear" w:color="auto" w:fill="DDDDDD"/>
          </w:tcPr>
          <w:p>
            <w:pPr>
              <w:spacing w:after="0"/>
              <w:rPr>
                <w:sz w:val="20"/>
                <w:szCs w:val="20"/>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59"/>
        </w:trPr>
        <w:tc>
          <w:tcPr>
            <w:tcW w:w="7440" w:type="dxa"/>
            <w:vAlign w:val="bottom"/>
          </w:tcPr>
          <w:p>
            <w:pPr>
              <w:ind w:left="160"/>
              <w:spacing w:after="0" w:line="159" w:lineRule="exact"/>
              <w:rPr>
                <w:sz w:val="20"/>
                <w:szCs w:val="20"/>
                <w:color w:val="auto"/>
              </w:rPr>
            </w:pPr>
            <w:r>
              <w:rPr>
                <w:rFonts w:ascii="Times New Roman" w:cs="Times New Roman" w:eastAsia="Times New Roman" w:hAnsi="Times New Roman"/>
                <w:sz w:val="17"/>
                <w:szCs w:val="17"/>
                <w:color w:val="auto"/>
              </w:rPr>
              <w:t>Class V Common Stock - $0.0001 par value; 500,000,000 shares authorized, 47,852,652 shares issued</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7"/>
        </w:trPr>
        <w:tc>
          <w:tcPr>
            <w:tcW w:w="7440" w:type="dxa"/>
            <w:vAlign w:val="bottom"/>
          </w:tcPr>
          <w:p>
            <w:pPr>
              <w:ind w:left="320"/>
              <w:spacing w:after="0" w:line="177" w:lineRule="exact"/>
              <w:rPr>
                <w:sz w:val="20"/>
                <w:szCs w:val="20"/>
                <w:color w:val="auto"/>
              </w:rPr>
            </w:pPr>
            <w:r>
              <w:rPr>
                <w:rFonts w:ascii="Times New Roman" w:cs="Times New Roman" w:eastAsia="Times New Roman" w:hAnsi="Times New Roman"/>
                <w:sz w:val="17"/>
                <w:szCs w:val="17"/>
                <w:color w:val="auto"/>
              </w:rPr>
              <w:t>and outstanding at December 31, 2025 and 54,319,542 shares issued and outstanding at</w:t>
            </w: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7"/>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December 31, 2024</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112,076</w:t>
            </w:r>
          </w:p>
        </w:tc>
        <w:tc>
          <w:tcPr>
            <w:tcW w:w="10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92,941</w:t>
            </w:r>
          </w:p>
        </w:tc>
      </w:tr>
      <w:tr>
        <w:trPr>
          <w:trHeight w:val="219"/>
        </w:trPr>
        <w:tc>
          <w:tcPr>
            <w:tcW w:w="7440" w:type="dxa"/>
            <w:vAlign w:val="bottom"/>
            <w:tcBorders>
              <w:bottom w:val="single" w:sz="8" w:color="DDDDDD"/>
            </w:tcBorders>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(54,917)</w:t>
            </w:r>
          </w:p>
        </w:tc>
        <w:tc>
          <w:tcPr>
            <w:tcW w:w="100" w:type="dxa"/>
            <w:vAlign w:val="bottom"/>
            <w:tcBorders>
              <w:bottom w:val="single" w:sz="8" w:color="DDDDDD"/>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(56,879)</w:t>
            </w:r>
          </w:p>
        </w:tc>
      </w:tr>
      <w:tr>
        <w:trPr>
          <w:trHeight w:val="212"/>
        </w:trPr>
        <w:tc>
          <w:tcPr>
            <w:tcW w:w="7440" w:type="dxa"/>
            <w:vAlign w:val="bottom"/>
            <w:shd w:val="clear" w:color="auto" w:fill="DDDDDD"/>
          </w:tcPr>
          <w:p>
            <w:pPr>
              <w:ind w:left="320"/>
              <w:spacing w:after="0"/>
              <w:rPr>
                <w:sz w:val="20"/>
                <w:szCs w:val="20"/>
                <w:color w:val="auto"/>
              </w:rPr>
            </w:pPr>
            <w:r>
              <w:rPr>
                <w:rFonts w:ascii="Times New Roman" w:cs="Times New Roman" w:eastAsia="Times New Roman" w:hAnsi="Times New Roman"/>
                <w:sz w:val="17"/>
                <w:szCs w:val="17"/>
                <w:color w:val="auto"/>
              </w:rPr>
              <w:t>Total WM Technology, Inc. stockholders’ equity</w:t>
            </w:r>
          </w:p>
        </w:tc>
        <w:tc>
          <w:tcPr>
            <w:tcW w:w="116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57,175</w:t>
            </w:r>
          </w:p>
        </w:tc>
        <w:tc>
          <w:tcPr>
            <w:tcW w:w="100" w:type="dxa"/>
            <w:vAlign w:val="bottom"/>
            <w:shd w:val="clear" w:color="auto" w:fill="DDDDDD"/>
          </w:tcPr>
          <w:p>
            <w:pPr>
              <w:spacing w:after="0"/>
              <w:rPr>
                <w:sz w:val="18"/>
                <w:szCs w:val="18"/>
                <w:color w:val="auto"/>
              </w:rPr>
            </w:pPr>
          </w:p>
        </w:tc>
        <w:tc>
          <w:tcPr>
            <w:tcW w:w="600" w:type="dxa"/>
            <w:vAlign w:val="bottom"/>
            <w:shd w:val="clear" w:color="auto" w:fill="DDDDDD"/>
          </w:tcPr>
          <w:p>
            <w:pPr>
              <w:spacing w:after="0"/>
              <w:rPr>
                <w:sz w:val="18"/>
                <w:szCs w:val="18"/>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36,077</w:t>
            </w:r>
          </w:p>
        </w:tc>
      </w:tr>
      <w:tr>
        <w:trPr>
          <w:trHeight w:val="219"/>
        </w:trPr>
        <w:tc>
          <w:tcPr>
            <w:tcW w:w="7440" w:type="dxa"/>
            <w:vAlign w:val="bottom"/>
            <w:tcBorders>
              <w:bottom w:val="single" w:sz="8" w:color="DDDDDD"/>
            </w:tcBorders>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74,625</w:t>
            </w:r>
          </w:p>
        </w:tc>
        <w:tc>
          <w:tcPr>
            <w:tcW w:w="100" w:type="dxa"/>
            <w:vAlign w:val="bottom"/>
            <w:tcBorders>
              <w:bottom w:val="single" w:sz="8" w:color="DDDDDD"/>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83,990</w:t>
            </w:r>
          </w:p>
        </w:tc>
      </w:tr>
      <w:tr>
        <w:trPr>
          <w:trHeight w:val="212"/>
        </w:trPr>
        <w:tc>
          <w:tcPr>
            <w:tcW w:w="7440" w:type="dxa"/>
            <w:vAlign w:val="bottom"/>
            <w:tcBorders>
              <w:bottom w:val="single" w:sz="8" w:color="DDDDDD"/>
            </w:tcBorders>
            <w:shd w:val="clear" w:color="auto" w:fill="DDDDDD"/>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16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131,800</w:t>
            </w:r>
          </w:p>
        </w:tc>
        <w:tc>
          <w:tcPr>
            <w:tcW w:w="100" w:type="dxa"/>
            <w:vAlign w:val="bottom"/>
            <w:tcBorders>
              <w:bottom w:val="single" w:sz="8" w:color="DDDDDD"/>
            </w:tcBorders>
            <w:shd w:val="clear" w:color="auto" w:fill="DDDDDD"/>
          </w:tcPr>
          <w:p>
            <w:pPr>
              <w:spacing w:after="0"/>
              <w:rPr>
                <w:sz w:val="18"/>
                <w:szCs w:val="18"/>
                <w:color w:val="auto"/>
              </w:rPr>
            </w:pPr>
          </w:p>
        </w:tc>
        <w:tc>
          <w:tcPr>
            <w:tcW w:w="600" w:type="dxa"/>
            <w:vAlign w:val="bottom"/>
            <w:tcBorders>
              <w:bottom w:val="single" w:sz="8" w:color="auto"/>
            </w:tcBorders>
            <w:shd w:val="clear" w:color="auto" w:fill="DDDDDD"/>
          </w:tcPr>
          <w:p>
            <w:pPr>
              <w:spacing w:after="0"/>
              <w:rPr>
                <w:sz w:val="18"/>
                <w:szCs w:val="18"/>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120,067</w:t>
            </w:r>
          </w:p>
        </w:tc>
      </w:tr>
      <w:tr>
        <w:trPr>
          <w:trHeight w:val="212"/>
        </w:trPr>
        <w:tc>
          <w:tcPr>
            <w:tcW w:w="7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190,667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181,866</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626745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626745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1240"/>
          </w:cols>
          <w:pgMar w:left="500" w:top="599" w:right="500" w:bottom="135" w:gutter="0" w:footer="0" w:header="0"/>
          <w:type w:val="continuous"/>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6"/>
        </w:trPr>
        <w:tc>
          <w:tcPr>
            <w:tcW w:w="7440" w:type="dxa"/>
            <w:vAlign w:val="bottom"/>
            <w:tcBorders>
              <w:bottom w:val="single" w:sz="8" w:color="DDDDDD"/>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DDDDDD"/>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4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Revenues</w:t>
            </w: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174,704</w:t>
            </w:r>
          </w:p>
        </w:tc>
        <w:tc>
          <w:tcPr>
            <w:tcW w:w="100" w:type="dxa"/>
            <w:vAlign w:val="bottom"/>
            <w:shd w:val="clear" w:color="auto" w:fill="DDDDDD"/>
          </w:tcPr>
          <w:p>
            <w:pPr>
              <w:spacing w:after="0"/>
              <w:rPr>
                <w:sz w:val="18"/>
                <w:szCs w:val="18"/>
                <w:color w:val="auto"/>
              </w:rPr>
            </w:pP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184,514</w:t>
            </w:r>
          </w:p>
        </w:tc>
      </w:tr>
      <w:tr>
        <w:trPr>
          <w:trHeight w:val="245"/>
        </w:trPr>
        <w:tc>
          <w:tcPr>
            <w:tcW w:w="7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42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440" w:type="dxa"/>
            <w:vAlign w:val="bottom"/>
            <w:shd w:val="clear" w:color="auto" w:fill="DDDDDD"/>
          </w:tcPr>
          <w:p>
            <w:pPr>
              <w:spacing w:after="0"/>
              <w:rPr>
                <w:sz w:val="19"/>
                <w:szCs w:val="19"/>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Cost of revenues (exclusive of depreciation and amortization shown separately below)</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9,019</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420" w:type="dxa"/>
            <w:vAlign w:val="bottom"/>
            <w:shd w:val="clear" w:color="auto" w:fill="DDDDDD"/>
          </w:tcPr>
          <w:p>
            <w:pPr>
              <w:spacing w:after="0"/>
              <w:rPr>
                <w:sz w:val="19"/>
                <w:szCs w:val="19"/>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38,869</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40,424</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36,426</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20" w:type="dxa"/>
            <w:vAlign w:val="bottom"/>
            <w:shd w:val="clear" w:color="auto" w:fill="DDDDDD"/>
          </w:tcPr>
          <w:p>
            <w:pPr>
              <w:spacing w:after="0"/>
              <w:rPr>
                <w:sz w:val="19"/>
                <w:szCs w:val="19"/>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76,929</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70,602</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420" w:type="dxa"/>
            <w:vAlign w:val="bottom"/>
            <w:tcBorders>
              <w:bottom w:val="single" w:sz="8" w:color="auto"/>
            </w:tcBorders>
            <w:shd w:val="clear" w:color="auto" w:fill="DDDDDD"/>
          </w:tcPr>
          <w:p>
            <w:pPr>
              <w:spacing w:after="0"/>
              <w:rPr>
                <w:sz w:val="19"/>
                <w:szCs w:val="19"/>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100" w:type="dxa"/>
            <w:vAlign w:val="bottom"/>
            <w:shd w:val="clear" w:color="auto" w:fill="DDDDDD"/>
          </w:tcPr>
          <w:p>
            <w:pPr>
              <w:spacing w:after="0"/>
              <w:rPr>
                <w:sz w:val="19"/>
                <w:szCs w:val="19"/>
                <w:color w:val="auto"/>
              </w:rPr>
            </w:pPr>
          </w:p>
        </w:tc>
        <w:tc>
          <w:tcPr>
            <w:tcW w:w="420" w:type="dxa"/>
            <w:vAlign w:val="bottom"/>
            <w:tcBorders>
              <w:bottom w:val="single" w:sz="8" w:color="auto"/>
            </w:tcBorders>
            <w:shd w:val="clear" w:color="auto" w:fill="DDDDDD"/>
          </w:tcPr>
          <w:p>
            <w:pPr>
              <w:spacing w:after="0"/>
              <w:rPr>
                <w:sz w:val="19"/>
                <w:szCs w:val="19"/>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440" w:type="dxa"/>
            <w:vAlign w:val="bottom"/>
            <w:tcBorders>
              <w:bottom w:val="single" w:sz="8" w:color="DDDDDD"/>
            </w:tcBorders>
          </w:tcPr>
          <w:p>
            <w:pPr>
              <w:ind w:left="3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173,938</w:t>
            </w:r>
          </w:p>
        </w:tc>
        <w:tc>
          <w:tcPr>
            <w:tcW w:w="100" w:type="dxa"/>
            <w:vAlign w:val="bottom"/>
            <w:tcBorders>
              <w:bottom w:val="single" w:sz="8" w:color="DDDDDD"/>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169,749</w:t>
            </w:r>
          </w:p>
        </w:tc>
      </w:tr>
      <w:tr>
        <w:trPr>
          <w:trHeight w:val="212"/>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42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14,765</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420" w:type="dxa"/>
            <w:vAlign w:val="bottom"/>
            <w:shd w:val="clear" w:color="auto" w:fill="DDDDDD"/>
          </w:tcPr>
          <w:p>
            <w:pPr>
              <w:spacing w:after="0"/>
              <w:rPr>
                <w:sz w:val="19"/>
                <w:szCs w:val="19"/>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420" w:type="dxa"/>
            <w:vAlign w:val="bottom"/>
            <w:tcBorders>
              <w:bottom w:val="single" w:sz="8" w:color="auto"/>
            </w:tcBorders>
            <w:shd w:val="clear" w:color="auto" w:fill="DDDDDD"/>
          </w:tcPr>
          <w:p>
            <w:pPr>
              <w:spacing w:after="0"/>
              <w:rPr>
                <w:sz w:val="19"/>
                <w:szCs w:val="19"/>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100" w:type="dxa"/>
            <w:vAlign w:val="bottom"/>
            <w:shd w:val="clear" w:color="auto" w:fill="DDDDDD"/>
          </w:tcPr>
          <w:p>
            <w:pPr>
              <w:spacing w:after="0"/>
              <w:rPr>
                <w:sz w:val="19"/>
                <w:szCs w:val="19"/>
                <w:color w:val="auto"/>
              </w:rPr>
            </w:pPr>
          </w:p>
        </w:tc>
        <w:tc>
          <w:tcPr>
            <w:tcW w:w="420" w:type="dxa"/>
            <w:vAlign w:val="bottom"/>
            <w:tcBorders>
              <w:bottom w:val="single" w:sz="8" w:color="auto"/>
            </w:tcBorders>
            <w:shd w:val="clear" w:color="auto" w:fill="DDDDDD"/>
          </w:tcPr>
          <w:p>
            <w:pPr>
              <w:spacing w:after="0"/>
              <w:rPr>
                <w:sz w:val="19"/>
                <w:szCs w:val="19"/>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2"/>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12,233</w:t>
            </w:r>
          </w:p>
        </w:tc>
      </w:tr>
      <w:tr>
        <w:trPr>
          <w:trHeight w:val="239"/>
        </w:trPr>
        <w:tc>
          <w:tcPr>
            <w:tcW w:w="7440" w:type="dxa"/>
            <w:vAlign w:val="bottom"/>
            <w:tcBorders>
              <w:bottom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20" w:type="dxa"/>
            <w:vAlign w:val="bottom"/>
            <w:tcBorders>
              <w:bottom w:val="single" w:sz="8" w:color="auto"/>
            </w:tcBorders>
            <w:shd w:val="clear" w:color="auto" w:fill="DDDDDD"/>
          </w:tcPr>
          <w:p>
            <w:pPr>
              <w:spacing w:after="0"/>
              <w:rPr>
                <w:sz w:val="20"/>
                <w:szCs w:val="20"/>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bottom w:val="single" w:sz="8" w:color="DDDDDD"/>
            </w:tcBorders>
            <w:shd w:val="clear" w:color="auto" w:fill="DDDDDD"/>
          </w:tcPr>
          <w:p>
            <w:pPr>
              <w:spacing w:after="0"/>
              <w:rPr>
                <w:sz w:val="20"/>
                <w:szCs w:val="20"/>
                <w:color w:val="auto"/>
              </w:rPr>
            </w:pPr>
          </w:p>
        </w:tc>
        <w:tc>
          <w:tcPr>
            <w:tcW w:w="420" w:type="dxa"/>
            <w:vAlign w:val="bottom"/>
            <w:tcBorders>
              <w:bottom w:val="single" w:sz="8" w:color="auto"/>
            </w:tcBorders>
            <w:shd w:val="clear" w:color="auto" w:fill="DDDDDD"/>
          </w:tcPr>
          <w:p>
            <w:pPr>
              <w:spacing w:after="0"/>
              <w:rPr>
                <w:sz w:val="20"/>
                <w:szCs w:val="20"/>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192"/>
        </w:trPr>
        <w:tc>
          <w:tcPr>
            <w:tcW w:w="7440" w:type="dxa"/>
            <w:vAlign w:val="bottom"/>
          </w:tcPr>
          <w:p>
            <w:pPr>
              <w:ind w:left="220"/>
              <w:spacing w:after="0" w:line="192" w:lineRule="exact"/>
              <w:rPr>
                <w:sz w:val="20"/>
                <w:szCs w:val="20"/>
                <w:color w:val="auto"/>
              </w:rPr>
            </w:pPr>
            <w:r>
              <w:rPr>
                <w:rFonts w:ascii="Times New Roman" w:cs="Times New Roman" w:eastAsia="Times New Roman" w:hAnsi="Times New Roman"/>
                <w:sz w:val="17"/>
                <w:szCs w:val="17"/>
                <w:color w:val="auto"/>
              </w:rPr>
              <w:t>Net income</w:t>
            </w:r>
          </w:p>
        </w:tc>
        <w:tc>
          <w:tcPr>
            <w:tcW w:w="420" w:type="dxa"/>
            <w:vAlign w:val="bottom"/>
          </w:tcPr>
          <w:p>
            <w:pPr>
              <w:spacing w:after="0"/>
              <w:rPr>
                <w:sz w:val="16"/>
                <w:szCs w:val="16"/>
                <w:color w:val="auto"/>
              </w:rPr>
            </w:pPr>
          </w:p>
        </w:tc>
        <w:tc>
          <w:tcPr>
            <w:tcW w:w="14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3,263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12,187</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420" w:type="dxa"/>
            <w:vAlign w:val="bottom"/>
            <w:tcBorders>
              <w:bottom w:val="single" w:sz="8" w:color="auto"/>
            </w:tcBorders>
            <w:shd w:val="clear" w:color="auto" w:fill="DDDDDD"/>
          </w:tcPr>
          <w:p>
            <w:pPr>
              <w:spacing w:after="0"/>
              <w:rPr>
                <w:sz w:val="19"/>
                <w:szCs w:val="19"/>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shd w:val="clear" w:color="auto" w:fill="DDDDDD"/>
          </w:tcPr>
          <w:p>
            <w:pPr>
              <w:spacing w:after="0"/>
              <w:rPr>
                <w:sz w:val="19"/>
                <w:szCs w:val="19"/>
                <w:color w:val="auto"/>
              </w:rPr>
            </w:pPr>
          </w:p>
        </w:tc>
        <w:tc>
          <w:tcPr>
            <w:tcW w:w="420" w:type="dxa"/>
            <w:vAlign w:val="bottom"/>
            <w:tcBorders>
              <w:bottom w:val="single" w:sz="8" w:color="auto"/>
            </w:tcBorders>
            <w:shd w:val="clear" w:color="auto" w:fill="DDDDDD"/>
          </w:tcPr>
          <w:p>
            <w:pPr>
              <w:spacing w:after="0"/>
              <w:rPr>
                <w:sz w:val="19"/>
                <w:szCs w:val="19"/>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4,548</w:t>
            </w:r>
          </w:p>
        </w:tc>
      </w:tr>
      <w:tr>
        <w:trPr>
          <w:trHeight w:val="212"/>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attributable to WM Technology, Inc.</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w:t>
            </w:r>
          </w:p>
        </w:tc>
      </w:tr>
      <w:tr>
        <w:trPr>
          <w:trHeight w:val="20"/>
        </w:trPr>
        <w:tc>
          <w:tcPr>
            <w:tcW w:w="7440" w:type="dxa"/>
            <w:vAlign w:val="bottom"/>
            <w:tcBorders>
              <w:bottom w:val="single" w:sz="8" w:color="DDDDD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1"/>
        </w:trPr>
        <w:tc>
          <w:tcPr>
            <w:tcW w:w="744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4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440" w:type="dxa"/>
            <w:vAlign w:val="bottom"/>
            <w:shd w:val="clear" w:color="auto" w:fill="DDDDDD"/>
          </w:tcPr>
          <w:p>
            <w:pPr>
              <w:spacing w:after="0"/>
              <w:rPr>
                <w:sz w:val="18"/>
                <w:szCs w:val="18"/>
                <w:color w:val="auto"/>
              </w:rPr>
            </w:pP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Basic income per share</w:t>
            </w: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0.08</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 income per share</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r>
      <w:tr>
        <w:trPr>
          <w:trHeight w:val="245"/>
        </w:trPr>
        <w:tc>
          <w:tcPr>
            <w:tcW w:w="744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4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440" w:type="dxa"/>
            <w:vAlign w:val="bottom"/>
            <w:shd w:val="clear" w:color="auto" w:fill="DDDDDD"/>
          </w:tcPr>
          <w:p>
            <w:pPr>
              <w:spacing w:after="0"/>
              <w:rPr>
                <w:sz w:val="21"/>
                <w:szCs w:val="21"/>
                <w:color w:val="auto"/>
              </w:rPr>
            </w:pP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420" w:type="dxa"/>
            <w:vAlign w:val="bottom"/>
            <w:shd w:val="clear" w:color="auto" w:fill="DDDDDD"/>
          </w:tcPr>
          <w:p>
            <w:pPr>
              <w:spacing w:after="0"/>
              <w:rPr>
                <w:sz w:val="19"/>
                <w:szCs w:val="19"/>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106,572,365</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96,254,679</w:t>
            </w:r>
          </w:p>
        </w:tc>
      </w:tr>
      <w:tr>
        <w:trPr>
          <w:trHeight w:val="223"/>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108,217,313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97,103,304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-4013200</wp:posOffset>
            </wp:positionV>
            <wp:extent cx="571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626745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626745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6"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1240"/>
          </w:cols>
          <w:pgMar w:left="500" w:top="496" w:right="500" w:bottom="135" w:gutter="0" w:footer="0" w:header="0"/>
          <w:type w:val="continuous"/>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00"/>
              <w:spacing w:after="0" w:line="159" w:lineRule="exact"/>
              <w:rPr>
                <w:sz w:val="20"/>
                <w:szCs w:val="20"/>
                <w:color w:val="auto"/>
              </w:rPr>
            </w:pPr>
            <w:r>
              <w:rPr>
                <w:rFonts w:ascii="Times New Roman" w:cs="Times New Roman" w:eastAsia="Times New Roman" w:hAnsi="Times New Roman"/>
                <w:sz w:val="15"/>
                <w:szCs w:val="15"/>
                <w:b w:val="1"/>
                <w:bCs w:val="1"/>
                <w:color w:val="auto"/>
              </w:rPr>
              <w:t>Total WM</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Technology,</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2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Inc.</w:t>
            </w:r>
          </w:p>
        </w:tc>
        <w:tc>
          <w:tcPr>
            <w:tcW w:w="80" w:type="dxa"/>
            <w:vAlign w:val="bottom"/>
          </w:tcPr>
          <w:p>
            <w:pPr>
              <w:spacing w:after="0"/>
              <w:rPr>
                <w:sz w:val="7"/>
                <w:szCs w:val="7"/>
                <w:color w:val="auto"/>
              </w:rPr>
            </w:pPr>
          </w:p>
        </w:tc>
        <w:tc>
          <w:tcPr>
            <w:tcW w:w="76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Non-</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280" w:type="dxa"/>
            <w:vAlign w:val="bottom"/>
          </w:tcPr>
          <w:p>
            <w:pPr>
              <w:spacing w:after="0"/>
              <w:rPr>
                <w:sz w:val="5"/>
                <w:szCs w:val="5"/>
                <w:color w:val="auto"/>
              </w:rPr>
            </w:pPr>
          </w:p>
        </w:tc>
        <w:tc>
          <w:tcPr>
            <w:tcW w:w="134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Class V</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134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4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6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84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140" w:type="dxa"/>
            <w:vAlign w:val="bottom"/>
          </w:tcPr>
          <w:p>
            <w:pPr>
              <w:spacing w:after="0"/>
              <w:rPr>
                <w:sz w:val="13"/>
                <w:szCs w:val="13"/>
                <w:color w:val="auto"/>
              </w:rPr>
            </w:pPr>
          </w:p>
        </w:tc>
        <w:tc>
          <w:tcPr>
            <w:tcW w:w="700" w:type="dxa"/>
            <w:vAlign w:val="bottom"/>
          </w:tcPr>
          <w:p>
            <w:pPr>
              <w:jc w:val="right"/>
              <w:ind w:right="183"/>
              <w:spacing w:after="0" w:line="151"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0" w:type="dxa"/>
            <w:vAlign w:val="bottom"/>
            <w:gridSpan w:val="2"/>
          </w:tcPr>
          <w:p>
            <w:pPr>
              <w:spacing w:after="0"/>
              <w:rPr>
                <w:sz w:val="17"/>
                <w:szCs w:val="17"/>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40" w:type="dxa"/>
            <w:vAlign w:val="bottom"/>
          </w:tcPr>
          <w:p>
            <w:pPr>
              <w:spacing w:after="0"/>
              <w:rPr>
                <w:sz w:val="17"/>
                <w:szCs w:val="17"/>
                <w:color w:val="auto"/>
              </w:rPr>
            </w:pPr>
          </w:p>
        </w:tc>
        <w:tc>
          <w:tcPr>
            <w:tcW w:w="7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0"/>
        </w:trPr>
        <w:tc>
          <w:tcPr>
            <w:tcW w:w="32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8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94,383,053</w:t>
            </w:r>
          </w:p>
        </w:tc>
        <w:tc>
          <w:tcPr>
            <w:tcW w:w="520" w:type="dxa"/>
            <w:vAlign w:val="bottom"/>
            <w:tcBorders>
              <w:top w:val="single" w:sz="8" w:color="auto"/>
            </w:tcBorders>
            <w:shd w:val="clear" w:color="auto" w:fill="DDDDDD"/>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20" w:type="dxa"/>
            <w:vAlign w:val="bottom"/>
            <w:tcBorders>
              <w:top w:val="single" w:sz="8" w:color="DDDDDD"/>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55,486,361</w:t>
            </w:r>
          </w:p>
        </w:tc>
        <w:tc>
          <w:tcPr>
            <w:tcW w:w="520" w:type="dxa"/>
            <w:vAlign w:val="bottom"/>
            <w:tcBorders>
              <w:top w:val="single" w:sz="8" w:color="auto"/>
            </w:tcBorders>
            <w:shd w:val="clear" w:color="auto" w:fill="DDDDDD"/>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Borders>
              <w:top w:val="single" w:sz="8" w:color="DDDDDD"/>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80,884</w:t>
            </w:r>
          </w:p>
        </w:tc>
        <w:tc>
          <w:tcPr>
            <w:tcW w:w="80" w:type="dxa"/>
            <w:vAlign w:val="bottom"/>
            <w:tcBorders>
              <w:top w:val="single" w:sz="8" w:color="DDDDDD"/>
            </w:tcBorders>
            <w:shd w:val="clear" w:color="auto" w:fill="DDDDDD"/>
          </w:tcPr>
          <w:p>
            <w:pPr>
              <w:spacing w:after="0"/>
              <w:rPr>
                <w:sz w:val="17"/>
                <w:szCs w:val="17"/>
                <w:color w:val="auto"/>
              </w:rPr>
            </w:pPr>
          </w:p>
        </w:tc>
        <w:tc>
          <w:tcPr>
            <w:tcW w:w="180" w:type="dxa"/>
            <w:vAlign w:val="bottom"/>
            <w:tcBorders>
              <w:top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(64,518)</w:t>
            </w:r>
          </w:p>
        </w:tc>
        <w:tc>
          <w:tcPr>
            <w:tcW w:w="60" w:type="dxa"/>
            <w:vAlign w:val="bottom"/>
            <w:tcBorders>
              <w:top w:val="single" w:sz="8" w:color="DDDDDD"/>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16,380</w:t>
            </w:r>
          </w:p>
        </w:tc>
        <w:tc>
          <w:tcPr>
            <w:tcW w:w="80" w:type="dxa"/>
            <w:vAlign w:val="bottom"/>
            <w:tcBorders>
              <w:top w:val="single" w:sz="8" w:color="DDDDDD"/>
            </w:tcBorders>
            <w:shd w:val="clear" w:color="auto" w:fill="DDDDDD"/>
          </w:tcPr>
          <w:p>
            <w:pPr>
              <w:spacing w:after="0"/>
              <w:rPr>
                <w:sz w:val="17"/>
                <w:szCs w:val="17"/>
                <w:color w:val="auto"/>
              </w:rPr>
            </w:pPr>
          </w:p>
        </w:tc>
        <w:tc>
          <w:tcPr>
            <w:tcW w:w="8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86,771</w:t>
            </w:r>
          </w:p>
        </w:tc>
        <w:tc>
          <w:tcPr>
            <w:tcW w:w="8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103,151</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10,287</w:t>
            </w:r>
          </w:p>
        </w:tc>
        <w:tc>
          <w:tcPr>
            <w:tcW w:w="0" w:type="dxa"/>
            <w:vAlign w:val="bottom"/>
          </w:tcPr>
          <w:p>
            <w:pPr>
              <w:spacing w:after="0"/>
              <w:rPr>
                <w:sz w:val="1"/>
                <w:szCs w:val="1"/>
                <w:color w:val="auto"/>
              </w:rPr>
            </w:pPr>
          </w:p>
        </w:tc>
      </w:tr>
      <w:tr>
        <w:trPr>
          <w:trHeight w:val="209"/>
        </w:trPr>
        <w:tc>
          <w:tcPr>
            <w:tcW w:w="32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8"/>
                <w:szCs w:val="18"/>
                <w:color w:val="auto"/>
              </w:rPr>
            </w:pPr>
          </w:p>
        </w:tc>
        <w:tc>
          <w:tcPr>
            <w:tcW w:w="34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8"/>
                <w:szCs w:val="18"/>
                <w:color w:val="auto"/>
              </w:rPr>
            </w:pPr>
          </w:p>
        </w:tc>
        <w:tc>
          <w:tcPr>
            <w:tcW w:w="34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8"/>
                <w:szCs w:val="18"/>
                <w:color w:val="auto"/>
              </w:rPr>
            </w:pPr>
          </w:p>
        </w:tc>
        <w:tc>
          <w:tcPr>
            <w:tcW w:w="74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8"/>
                <w:szCs w:val="18"/>
                <w:color w:val="auto"/>
              </w:rPr>
            </w:pPr>
          </w:p>
        </w:tc>
        <w:tc>
          <w:tcPr>
            <w:tcW w:w="86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8"/>
                <w:szCs w:val="18"/>
                <w:color w:val="auto"/>
              </w:rPr>
            </w:pPr>
          </w:p>
        </w:tc>
        <w:tc>
          <w:tcPr>
            <w:tcW w:w="96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0" w:type="dxa"/>
            <w:vAlign w:val="bottom"/>
          </w:tcPr>
          <w:p>
            <w:pPr>
              <w:spacing w:after="0"/>
              <w:rPr>
                <w:sz w:val="1"/>
                <w:szCs w:val="1"/>
                <w:color w:val="auto"/>
              </w:rPr>
            </w:pPr>
          </w:p>
        </w:tc>
      </w:tr>
      <w:tr>
        <w:trPr>
          <w:trHeight w:val="147"/>
        </w:trPr>
        <w:tc>
          <w:tcPr>
            <w:tcW w:w="3280" w:type="dxa"/>
            <w:vAlign w:val="bottom"/>
          </w:tcPr>
          <w:p>
            <w:pPr>
              <w:ind w:left="120"/>
              <w:spacing w:after="0" w:line="147" w:lineRule="exact"/>
              <w:rPr>
                <w:sz w:val="20"/>
                <w:szCs w:val="20"/>
                <w:color w:val="auto"/>
              </w:rPr>
            </w:pPr>
            <w:r>
              <w:rPr>
                <w:rFonts w:ascii="Times New Roman" w:cs="Times New Roman" w:eastAsia="Times New Roman" w:hAnsi="Times New Roman"/>
                <w:sz w:val="15"/>
                <w:szCs w:val="15"/>
                <w:color w:val="auto"/>
              </w:rPr>
              <w:t>Issuance of common stock - vesting of restricted</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stock units, net of shares withheld for employee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3,307,383</w:t>
            </w:r>
          </w:p>
        </w:tc>
        <w:tc>
          <w:tcPr>
            <w:tcW w:w="52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7"/>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8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80" w:type="dxa"/>
            <w:vAlign w:val="bottom"/>
            <w:shd w:val="clear" w:color="auto" w:fill="DDDDDD"/>
          </w:tcPr>
          <w:p>
            <w:pPr>
              <w:ind w:left="120"/>
              <w:spacing w:after="0" w:line="154" w:lineRule="exact"/>
              <w:rPr>
                <w:sz w:val="20"/>
                <w:szCs w:val="20"/>
                <w:color w:val="auto"/>
              </w:rPr>
            </w:pPr>
            <w:r>
              <w:rPr>
                <w:rFonts w:ascii="Times New Roman" w:cs="Times New Roman" w:eastAsia="Times New Roman" w:hAnsi="Times New Roman"/>
                <w:sz w:val="15"/>
                <w:szCs w:val="15"/>
                <w:color w:val="auto"/>
              </w:rPr>
              <w:t>Class A Common shares issued - Class A Unit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1,166,819</w:t>
            </w:r>
          </w:p>
        </w:tc>
        <w:tc>
          <w:tcPr>
            <w:tcW w:w="520" w:type="dxa"/>
            <w:vAlign w:val="bottom"/>
            <w:shd w:val="clear" w:color="auto" w:fill="DDDDDD"/>
          </w:tcPr>
          <w:p>
            <w:pPr>
              <w:spacing w:after="0"/>
              <w:rPr>
                <w:sz w:val="13"/>
                <w:szCs w:val="13"/>
                <w:color w:val="auto"/>
              </w:rPr>
            </w:pPr>
          </w:p>
        </w:tc>
        <w:tc>
          <w:tcPr>
            <w:tcW w:w="340" w:type="dxa"/>
            <w:vAlign w:val="bottom"/>
            <w:gridSpan w:val="3"/>
            <w:vMerge w:val="restart"/>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(1,166,819)</w:t>
            </w:r>
          </w:p>
        </w:tc>
        <w:tc>
          <w:tcPr>
            <w:tcW w:w="520" w:type="dxa"/>
            <w:vAlign w:val="bottom"/>
            <w:shd w:val="clear" w:color="auto" w:fill="DDDDDD"/>
          </w:tcPr>
          <w:p>
            <w:pPr>
              <w:spacing w:after="0"/>
              <w:rPr>
                <w:sz w:val="13"/>
                <w:szCs w:val="13"/>
                <w:color w:val="auto"/>
              </w:rPr>
            </w:pPr>
          </w:p>
        </w:tc>
        <w:tc>
          <w:tcPr>
            <w:tcW w:w="340" w:type="dxa"/>
            <w:vAlign w:val="bottom"/>
            <w:gridSpan w:val="2"/>
            <w:vMerge w:val="restart"/>
            <w:shd w:val="clear" w:color="auto" w:fill="DDDDDD"/>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3"/>
                <w:szCs w:val="13"/>
                <w:color w:val="auto"/>
              </w:rPr>
            </w:pPr>
          </w:p>
        </w:tc>
        <w:tc>
          <w:tcPr>
            <w:tcW w:w="6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60" w:type="dxa"/>
            <w:vAlign w:val="bottom"/>
            <w:gridSpan w:val="2"/>
            <w:vMerge w:val="restart"/>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color w:val="auto"/>
              </w:rPr>
              <w:t>1,727</w:t>
            </w: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8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32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5"/>
                <w:szCs w:val="15"/>
                <w:color w:val="auto"/>
              </w:rPr>
              <w:t>exchange from Class V Unit</w:t>
            </w:r>
          </w:p>
        </w:tc>
        <w:tc>
          <w:tcPr>
            <w:tcW w:w="820" w:type="dxa"/>
            <w:vAlign w:val="bottom"/>
            <w:vMerge w:val="continue"/>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340" w:type="dxa"/>
            <w:vAlign w:val="bottom"/>
            <w:gridSpan w:val="3"/>
            <w:vMerge w:val="continue"/>
            <w:shd w:val="clear" w:color="auto" w:fill="DDDDDD"/>
          </w:tcPr>
          <w:p>
            <w:pPr>
              <w:spacing w:after="0"/>
              <w:rPr>
                <w:sz w:val="18"/>
                <w:szCs w:val="18"/>
                <w:color w:val="auto"/>
              </w:rPr>
            </w:pPr>
          </w:p>
        </w:tc>
        <w:tc>
          <w:tcPr>
            <w:tcW w:w="760" w:type="dxa"/>
            <w:vAlign w:val="bottom"/>
            <w:vMerge w:val="continue"/>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340" w:type="dxa"/>
            <w:vAlign w:val="bottom"/>
            <w:gridSpan w:val="2"/>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6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860" w:type="dxa"/>
            <w:vAlign w:val="bottom"/>
            <w:gridSpan w:val="2"/>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8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68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00" w:type="dxa"/>
            <w:vAlign w:val="bottom"/>
            <w:vMerge w:val="continue"/>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80" w:type="dxa"/>
            <w:vAlign w:val="bottom"/>
          </w:tcPr>
          <w:p>
            <w:pPr>
              <w:ind w:left="120"/>
              <w:spacing w:after="0" w:line="147" w:lineRule="exact"/>
              <w:rPr>
                <w:sz w:val="20"/>
                <w:szCs w:val="20"/>
                <w:color w:val="auto"/>
              </w:rPr>
            </w:pPr>
            <w:r>
              <w:rPr>
                <w:rFonts w:ascii="Times New Roman" w:cs="Times New Roman" w:eastAsia="Times New Roman" w:hAnsi="Times New Roman"/>
                <w:sz w:val="15"/>
                <w:szCs w:val="15"/>
                <w:color w:val="auto"/>
              </w:rPr>
              <w:t>Class A Common shares issued - Class P Unit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175,855</w:t>
            </w:r>
          </w:p>
        </w:tc>
        <w:tc>
          <w:tcPr>
            <w:tcW w:w="520" w:type="dxa"/>
            <w:vAlign w:val="bottom"/>
          </w:tcPr>
          <w:p>
            <w:pPr>
              <w:spacing w:after="0"/>
              <w:rPr>
                <w:sz w:val="12"/>
                <w:szCs w:val="12"/>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exchange</w:t>
            </w:r>
          </w:p>
        </w:tc>
        <w:tc>
          <w:tcPr>
            <w:tcW w:w="8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8"/>
                <w:szCs w:val="18"/>
                <w:color w:val="auto"/>
              </w:rPr>
            </w:pPr>
          </w:p>
        </w:tc>
        <w:tc>
          <w:tcPr>
            <w:tcW w:w="34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8"/>
                <w:szCs w:val="18"/>
                <w:color w:val="auto"/>
              </w:rPr>
            </w:pPr>
          </w:p>
        </w:tc>
        <w:tc>
          <w:tcPr>
            <w:tcW w:w="34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8"/>
                <w:szCs w:val="18"/>
                <w:color w:val="auto"/>
              </w:rPr>
            </w:pPr>
          </w:p>
        </w:tc>
        <w:tc>
          <w:tcPr>
            <w:tcW w:w="74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8"/>
                <w:szCs w:val="18"/>
                <w:color w:val="auto"/>
              </w:rPr>
            </w:pPr>
          </w:p>
        </w:tc>
        <w:tc>
          <w:tcPr>
            <w:tcW w:w="80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color w:val="auto"/>
              </w:rPr>
              <w:t>7,639</w:t>
            </w:r>
          </w:p>
        </w:tc>
        <w:tc>
          <w:tcPr>
            <w:tcW w:w="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color w:val="auto"/>
              </w:rPr>
              <w:t>7,639</w:t>
            </w:r>
          </w:p>
        </w:tc>
        <w:tc>
          <w:tcPr>
            <w:tcW w:w="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4,548</w:t>
            </w: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12,187</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99,033,110</w:t>
            </w:r>
          </w:p>
        </w:tc>
        <w:tc>
          <w:tcPr>
            <w:tcW w:w="52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54,319,542</w:t>
            </w:r>
          </w:p>
        </w:tc>
        <w:tc>
          <w:tcPr>
            <w:tcW w:w="52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92,941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(56,879)</w:t>
            </w:r>
          </w:p>
        </w:tc>
        <w:tc>
          <w:tcPr>
            <w:tcW w:w="6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36,077</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83,990</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120,067</w:t>
            </w:r>
          </w:p>
        </w:tc>
        <w:tc>
          <w:tcPr>
            <w:tcW w:w="0" w:type="dxa"/>
            <w:vAlign w:val="bottom"/>
          </w:tcPr>
          <w:p>
            <w:pPr>
              <w:spacing w:after="0"/>
              <w:rPr>
                <w:sz w:val="1"/>
                <w:szCs w:val="1"/>
                <w:color w:val="auto"/>
              </w:rPr>
            </w:pPr>
          </w:p>
        </w:tc>
      </w:tr>
      <w:tr>
        <w:trPr>
          <w:trHeight w:val="208"/>
        </w:trPr>
        <w:tc>
          <w:tcPr>
            <w:tcW w:w="32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8"/>
                <w:szCs w:val="18"/>
                <w:color w:val="auto"/>
              </w:rPr>
            </w:pPr>
          </w:p>
        </w:tc>
        <w:tc>
          <w:tcPr>
            <w:tcW w:w="34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8"/>
                <w:szCs w:val="18"/>
                <w:color w:val="auto"/>
              </w:rPr>
            </w:pPr>
          </w:p>
        </w:tc>
        <w:tc>
          <w:tcPr>
            <w:tcW w:w="34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8,487</w:t>
            </w:r>
          </w:p>
        </w:tc>
        <w:tc>
          <w:tcPr>
            <w:tcW w:w="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86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color w:val="auto"/>
              </w:rPr>
              <w:t>8,487</w:t>
            </w:r>
          </w:p>
        </w:tc>
        <w:tc>
          <w:tcPr>
            <w:tcW w:w="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76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8,487</w:t>
            </w:r>
          </w:p>
        </w:tc>
        <w:tc>
          <w:tcPr>
            <w:tcW w:w="0" w:type="dxa"/>
            <w:vAlign w:val="bottom"/>
          </w:tcPr>
          <w:p>
            <w:pPr>
              <w:spacing w:after="0"/>
              <w:rPr>
                <w:sz w:val="1"/>
                <w:szCs w:val="1"/>
                <w:color w:val="auto"/>
              </w:rPr>
            </w:pPr>
          </w:p>
        </w:tc>
      </w:tr>
      <w:tr>
        <w:trPr>
          <w:trHeight w:val="147"/>
        </w:trPr>
        <w:tc>
          <w:tcPr>
            <w:tcW w:w="3280" w:type="dxa"/>
            <w:vAlign w:val="bottom"/>
          </w:tcPr>
          <w:p>
            <w:pPr>
              <w:ind w:left="120"/>
              <w:spacing w:after="0" w:line="147" w:lineRule="exact"/>
              <w:rPr>
                <w:sz w:val="20"/>
                <w:szCs w:val="20"/>
                <w:color w:val="auto"/>
              </w:rPr>
            </w:pPr>
            <w:r>
              <w:rPr>
                <w:rFonts w:ascii="Times New Roman" w:cs="Times New Roman" w:eastAsia="Times New Roman" w:hAnsi="Times New Roman"/>
                <w:sz w:val="15"/>
                <w:szCs w:val="15"/>
                <w:color w:val="auto"/>
              </w:rPr>
              <w:t>Distributions and distribution adjustments to non-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2"/>
                <w:szCs w:val="12"/>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7"/>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controlling interests</w:t>
            </w:r>
          </w:p>
        </w:tc>
        <w:tc>
          <w:tcPr>
            <w:tcW w:w="8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80" w:type="dxa"/>
            <w:vAlign w:val="bottom"/>
            <w:shd w:val="clear" w:color="auto" w:fill="DDDDDD"/>
          </w:tcPr>
          <w:p>
            <w:pPr>
              <w:ind w:left="120"/>
              <w:spacing w:after="0" w:line="154" w:lineRule="exact"/>
              <w:rPr>
                <w:sz w:val="20"/>
                <w:szCs w:val="20"/>
                <w:color w:val="auto"/>
              </w:rPr>
            </w:pPr>
            <w:r>
              <w:rPr>
                <w:rFonts w:ascii="Times New Roman" w:cs="Times New Roman" w:eastAsia="Times New Roman" w:hAnsi="Times New Roman"/>
                <w:sz w:val="15"/>
                <w:szCs w:val="15"/>
                <w:color w:val="auto"/>
              </w:rPr>
              <w:t>Issuance of common stock - vesting of restricted</w:t>
            </w:r>
          </w:p>
        </w:tc>
        <w:tc>
          <w:tcPr>
            <w:tcW w:w="820" w:type="dxa"/>
            <w:vAlign w:val="bottom"/>
            <w:shd w:val="clear" w:color="auto" w:fill="DDDDDD"/>
          </w:tcPr>
          <w:p>
            <w:pPr>
              <w:spacing w:after="0"/>
              <w:rPr>
                <w:sz w:val="13"/>
                <w:szCs w:val="13"/>
                <w:color w:val="auto"/>
              </w:rPr>
            </w:pPr>
          </w:p>
        </w:tc>
        <w:tc>
          <w:tcPr>
            <w:tcW w:w="52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760" w:type="dxa"/>
            <w:vAlign w:val="bottom"/>
            <w:shd w:val="clear" w:color="auto" w:fill="DDDDDD"/>
          </w:tcPr>
          <w:p>
            <w:pPr>
              <w:spacing w:after="0"/>
              <w:rPr>
                <w:sz w:val="13"/>
                <w:szCs w:val="13"/>
                <w:color w:val="auto"/>
              </w:rPr>
            </w:pPr>
          </w:p>
        </w:tc>
        <w:tc>
          <w:tcPr>
            <w:tcW w:w="52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6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shd w:val="clear" w:color="auto" w:fill="DDDDDD"/>
          </w:tcPr>
          <w:p>
            <w:pPr>
              <w:ind w:left="120"/>
              <w:spacing w:after="0" w:line="155" w:lineRule="exact"/>
              <w:rPr>
                <w:sz w:val="20"/>
                <w:szCs w:val="20"/>
                <w:color w:val="auto"/>
              </w:rPr>
            </w:pPr>
            <w:r>
              <w:rPr>
                <w:rFonts w:ascii="Times New Roman" w:cs="Times New Roman" w:eastAsia="Times New Roman" w:hAnsi="Times New Roman"/>
                <w:sz w:val="15"/>
                <w:szCs w:val="15"/>
                <w:color w:val="auto"/>
              </w:rPr>
              <w:t>stock units, net of shares withheld for employee</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4,181,333</w:t>
            </w:r>
          </w:p>
        </w:tc>
        <w:tc>
          <w:tcPr>
            <w:tcW w:w="520" w:type="dxa"/>
            <w:vAlign w:val="bottom"/>
            <w:shd w:val="clear" w:color="auto" w:fill="DDDDDD"/>
          </w:tcPr>
          <w:p>
            <w:pPr>
              <w:spacing w:after="0"/>
              <w:rPr>
                <w:sz w:val="13"/>
                <w:szCs w:val="13"/>
                <w:color w:val="auto"/>
              </w:rPr>
            </w:pPr>
          </w:p>
        </w:tc>
        <w:tc>
          <w:tcPr>
            <w:tcW w:w="2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3"/>
                <w:szCs w:val="13"/>
                <w:color w:val="auto"/>
              </w:rPr>
            </w:pPr>
          </w:p>
        </w:tc>
        <w:tc>
          <w:tcPr>
            <w:tcW w:w="340" w:type="dxa"/>
            <w:vAlign w:val="bottom"/>
            <w:gridSpan w:val="2"/>
            <w:vMerge w:val="restart"/>
            <w:shd w:val="clear" w:color="auto" w:fill="DDDDDD"/>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3"/>
                <w:szCs w:val="13"/>
                <w:color w:val="auto"/>
              </w:rPr>
            </w:pPr>
          </w:p>
        </w:tc>
        <w:tc>
          <w:tcPr>
            <w:tcW w:w="6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60" w:type="dxa"/>
            <w:vAlign w:val="bottom"/>
            <w:gridSpan w:val="2"/>
            <w:vMerge w:val="restart"/>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60" w:type="dxa"/>
            <w:vAlign w:val="bottom"/>
            <w:gridSpan w:val="2"/>
            <w:vMerge w:val="restart"/>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3"/>
                <w:szCs w:val="13"/>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4"/>
        </w:trPr>
        <w:tc>
          <w:tcPr>
            <w:tcW w:w="32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820" w:type="dxa"/>
            <w:vAlign w:val="bottom"/>
            <w:vMerge w:val="continue"/>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260" w:type="dxa"/>
            <w:vAlign w:val="bottom"/>
            <w:vMerge w:val="continue"/>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760" w:type="dxa"/>
            <w:vAlign w:val="bottom"/>
            <w:vMerge w:val="continue"/>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340" w:type="dxa"/>
            <w:vAlign w:val="bottom"/>
            <w:gridSpan w:val="2"/>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6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860" w:type="dxa"/>
            <w:vAlign w:val="bottom"/>
            <w:gridSpan w:val="2"/>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8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760" w:type="dxa"/>
            <w:vAlign w:val="bottom"/>
            <w:gridSpan w:val="2"/>
            <w:vMerge w:val="continue"/>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00" w:type="dxa"/>
            <w:vAlign w:val="bottom"/>
            <w:vMerge w:val="continue"/>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80" w:type="dxa"/>
            <w:vAlign w:val="bottom"/>
          </w:tcPr>
          <w:p>
            <w:pPr>
              <w:ind w:left="120"/>
              <w:spacing w:after="0" w:line="147" w:lineRule="exact"/>
              <w:rPr>
                <w:sz w:val="20"/>
                <w:szCs w:val="20"/>
                <w:color w:val="auto"/>
              </w:rPr>
            </w:pPr>
            <w:r>
              <w:rPr>
                <w:rFonts w:ascii="Times New Roman" w:cs="Times New Roman" w:eastAsia="Times New Roman" w:hAnsi="Times New Roman"/>
                <w:sz w:val="15"/>
                <w:szCs w:val="15"/>
                <w:color w:val="auto"/>
              </w:rPr>
              <w:t>Class A Common shares issued - Class A Unit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6,466,890</w:t>
            </w:r>
          </w:p>
        </w:tc>
        <w:tc>
          <w:tcPr>
            <w:tcW w:w="520" w:type="dxa"/>
            <w:vAlign w:val="bottom"/>
          </w:tcPr>
          <w:p>
            <w:pPr>
              <w:spacing w:after="0"/>
              <w:rPr>
                <w:sz w:val="12"/>
                <w:szCs w:val="12"/>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(6,466,890)</w:t>
            </w:r>
          </w:p>
        </w:tc>
        <w:tc>
          <w:tcPr>
            <w:tcW w:w="52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10,191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10,191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exchange from Class V Unit</w:t>
            </w:r>
          </w:p>
        </w:tc>
        <w:tc>
          <w:tcPr>
            <w:tcW w:w="8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80" w:type="dxa"/>
            <w:vAlign w:val="bottom"/>
            <w:shd w:val="clear" w:color="auto" w:fill="DDDDDD"/>
          </w:tcPr>
          <w:p>
            <w:pPr>
              <w:ind w:left="120"/>
              <w:spacing w:after="0" w:line="154" w:lineRule="exact"/>
              <w:rPr>
                <w:sz w:val="20"/>
                <w:szCs w:val="20"/>
                <w:color w:val="auto"/>
              </w:rPr>
            </w:pPr>
            <w:r>
              <w:rPr>
                <w:rFonts w:ascii="Times New Roman" w:cs="Times New Roman" w:eastAsia="Times New Roman" w:hAnsi="Times New Roman"/>
                <w:sz w:val="15"/>
                <w:szCs w:val="15"/>
                <w:color w:val="auto"/>
              </w:rPr>
              <w:t>Class A Common shares issued - Class P Unit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309,010</w:t>
            </w:r>
          </w:p>
        </w:tc>
        <w:tc>
          <w:tcPr>
            <w:tcW w:w="520" w:type="dxa"/>
            <w:vAlign w:val="bottom"/>
            <w:shd w:val="clear" w:color="auto" w:fill="DDDDDD"/>
          </w:tcPr>
          <w:p>
            <w:pPr>
              <w:spacing w:after="0"/>
              <w:rPr>
                <w:sz w:val="13"/>
                <w:szCs w:val="13"/>
                <w:color w:val="auto"/>
              </w:rPr>
            </w:pPr>
          </w:p>
        </w:tc>
        <w:tc>
          <w:tcPr>
            <w:tcW w:w="340" w:type="dxa"/>
            <w:vAlign w:val="bottom"/>
            <w:gridSpan w:val="3"/>
            <w:vMerge w:val="restart"/>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DDDDDD"/>
          </w:tcPr>
          <w:p>
            <w:pPr>
              <w:spacing w:after="0"/>
              <w:rPr>
                <w:sz w:val="13"/>
                <w:szCs w:val="13"/>
                <w:color w:val="auto"/>
              </w:rPr>
            </w:pPr>
          </w:p>
        </w:tc>
        <w:tc>
          <w:tcPr>
            <w:tcW w:w="340" w:type="dxa"/>
            <w:vAlign w:val="bottom"/>
            <w:gridSpan w:val="2"/>
            <w:vMerge w:val="restart"/>
            <w:shd w:val="clear" w:color="auto" w:fill="DDDDDD"/>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3"/>
                <w:szCs w:val="13"/>
                <w:color w:val="auto"/>
              </w:rPr>
            </w:pPr>
          </w:p>
        </w:tc>
        <w:tc>
          <w:tcPr>
            <w:tcW w:w="6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860" w:type="dxa"/>
            <w:vAlign w:val="bottom"/>
            <w:gridSpan w:val="2"/>
            <w:vMerge w:val="restart"/>
            <w:shd w:val="clear" w:color="auto" w:fill="DDDDDD"/>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32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5"/>
                <w:szCs w:val="15"/>
                <w:color w:val="auto"/>
              </w:rPr>
              <w:t>exchange</w:t>
            </w:r>
          </w:p>
        </w:tc>
        <w:tc>
          <w:tcPr>
            <w:tcW w:w="820" w:type="dxa"/>
            <w:vAlign w:val="bottom"/>
            <w:vMerge w:val="continue"/>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340" w:type="dxa"/>
            <w:vAlign w:val="bottom"/>
            <w:gridSpan w:val="3"/>
            <w:vMerge w:val="continue"/>
            <w:shd w:val="clear" w:color="auto" w:fill="DDDDDD"/>
          </w:tcPr>
          <w:p>
            <w:pPr>
              <w:spacing w:after="0"/>
              <w:rPr>
                <w:sz w:val="18"/>
                <w:szCs w:val="18"/>
                <w:color w:val="auto"/>
              </w:rPr>
            </w:pPr>
          </w:p>
        </w:tc>
        <w:tc>
          <w:tcPr>
            <w:tcW w:w="760" w:type="dxa"/>
            <w:vAlign w:val="bottom"/>
            <w:vMerge w:val="continue"/>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340" w:type="dxa"/>
            <w:vAlign w:val="bottom"/>
            <w:gridSpan w:val="2"/>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6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860" w:type="dxa"/>
            <w:vAlign w:val="bottom"/>
            <w:gridSpan w:val="2"/>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8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680" w:type="dxa"/>
            <w:vAlign w:val="bottom"/>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00" w:type="dxa"/>
            <w:vAlign w:val="bottom"/>
            <w:vMerge w:val="continue"/>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1,962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3,263</w:t>
            </w:r>
          </w:p>
        </w:tc>
        <w:tc>
          <w:tcPr>
            <w:tcW w:w="0" w:type="dxa"/>
            <w:vAlign w:val="bottom"/>
          </w:tcPr>
          <w:p>
            <w:pPr>
              <w:spacing w:after="0"/>
              <w:rPr>
                <w:sz w:val="1"/>
                <w:szCs w:val="1"/>
                <w:color w:val="auto"/>
              </w:rPr>
            </w:pPr>
          </w:p>
        </w:tc>
      </w:tr>
      <w:tr>
        <w:trPr>
          <w:trHeight w:val="227"/>
        </w:trPr>
        <w:tc>
          <w:tcPr>
            <w:tcW w:w="328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109,990,343</w:t>
            </w:r>
          </w:p>
        </w:tc>
        <w:tc>
          <w:tcPr>
            <w:tcW w:w="520" w:type="dxa"/>
            <w:vAlign w:val="bottom"/>
            <w:tcBorders>
              <w:top w:val="single" w:sz="8" w:color="auto"/>
              <w:bottom w:val="single" w:sz="8" w:color="auto"/>
            </w:tcBorders>
            <w:shd w:val="clear" w:color="auto" w:fill="DDDDDD"/>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60" w:type="dxa"/>
            <w:vAlign w:val="bottom"/>
            <w:tcBorders>
              <w:top w:val="single" w:sz="8" w:color="DDDDDD"/>
              <w:bottom w:val="single" w:sz="8" w:color="DDDDDD"/>
            </w:tcBorders>
            <w:shd w:val="clear" w:color="auto" w:fill="DDDDDD"/>
          </w:tcPr>
          <w:p>
            <w:pPr>
              <w:spacing w:after="0"/>
              <w:rPr>
                <w:sz w:val="19"/>
                <w:szCs w:val="19"/>
                <w:color w:val="auto"/>
              </w:rPr>
            </w:pPr>
          </w:p>
        </w:tc>
        <w:tc>
          <w:tcPr>
            <w:tcW w:w="7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47,852,652</w:t>
            </w:r>
          </w:p>
        </w:tc>
        <w:tc>
          <w:tcPr>
            <w:tcW w:w="520" w:type="dxa"/>
            <w:vAlign w:val="bottom"/>
            <w:tcBorders>
              <w:top w:val="single" w:sz="8" w:color="auto"/>
              <w:bottom w:val="single" w:sz="8" w:color="auto"/>
            </w:tcBorders>
            <w:shd w:val="clear" w:color="auto" w:fill="DDDDDD"/>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0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112,076</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(54,917)</w:t>
            </w:r>
          </w:p>
        </w:tc>
        <w:tc>
          <w:tcPr>
            <w:tcW w:w="60" w:type="dxa"/>
            <w:vAlign w:val="bottom"/>
            <w:tcBorders>
              <w:top w:val="single" w:sz="8" w:color="auto"/>
              <w:bottom w:val="single" w:sz="8" w:color="auto"/>
            </w:tcBorders>
            <w:shd w:val="clear" w:color="auto" w:fill="DDDDDD"/>
          </w:tcPr>
          <w:p>
            <w:pPr>
              <w:spacing w:after="0"/>
              <w:rPr>
                <w:sz w:val="19"/>
                <w:szCs w:val="19"/>
                <w:color w:val="auto"/>
              </w:rPr>
            </w:pPr>
          </w:p>
        </w:tc>
        <w:tc>
          <w:tcPr>
            <w:tcW w:w="100" w:type="dxa"/>
            <w:vAlign w:val="bottom"/>
            <w:tcBorders>
              <w:top w:val="single" w:sz="8" w:color="auto"/>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57,175</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8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74,625</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b w:val="1"/>
                <w:bCs w:val="1"/>
                <w:color w:val="auto"/>
              </w:rPr>
              <w:t>131,800</w:t>
            </w:r>
          </w:p>
        </w:tc>
        <w:tc>
          <w:tcPr>
            <w:tcW w:w="0" w:type="dxa"/>
            <w:vAlign w:val="bottom"/>
          </w:tcPr>
          <w:p>
            <w:pPr>
              <w:spacing w:after="0"/>
              <w:rPr>
                <w:sz w:val="1"/>
                <w:szCs w:val="1"/>
                <w:color w:val="auto"/>
              </w:rPr>
            </w:pPr>
          </w:p>
        </w:tc>
      </w:tr>
      <w:tr>
        <w:trPr>
          <w:trHeight w:val="20"/>
        </w:trPr>
        <w:tc>
          <w:tcPr>
            <w:tcW w:w="3280" w:type="dxa"/>
            <w:vAlign w:val="bottom"/>
            <w:tcBorders>
              <w:top w:val="single" w:sz="8" w:color="DDDDDD"/>
            </w:tcBorders>
          </w:tcPr>
          <w:p>
            <w:pPr>
              <w:spacing w:after="0" w:line="20" w:lineRule="exact"/>
              <w:rPr>
                <w:sz w:val="1"/>
                <w:szCs w:val="1"/>
                <w:color w:val="auto"/>
              </w:rPr>
            </w:pPr>
          </w:p>
        </w:tc>
        <w:tc>
          <w:tcPr>
            <w:tcW w:w="820" w:type="dxa"/>
            <w:vAlign w:val="bottom"/>
            <w:tcBorders>
              <w:top w:val="single" w:sz="8" w:color="DDDDDD"/>
              <w:bottom w:val="single" w:sz="8" w:color="auto"/>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760" w:type="dxa"/>
            <w:vAlign w:val="bottom"/>
            <w:tcBorders>
              <w:top w:val="single" w:sz="8" w:color="DDDDDD"/>
              <w:bottom w:val="single" w:sz="8" w:color="auto"/>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bottom w:val="single" w:sz="8" w:color="auto"/>
            </w:tcBorders>
          </w:tcPr>
          <w:p>
            <w:pPr>
              <w:spacing w:after="0" w:line="20" w:lineRule="exact"/>
              <w:rPr>
                <w:sz w:val="1"/>
                <w:szCs w:val="1"/>
                <w:color w:val="auto"/>
              </w:rPr>
            </w:pPr>
          </w:p>
        </w:tc>
        <w:tc>
          <w:tcPr>
            <w:tcW w:w="80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7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7100570</wp:posOffset>
            </wp:positionH>
            <wp:positionV relativeFrom="paragraph">
              <wp:posOffset>626745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626745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00"/>
          </w:cols>
          <w:pgMar w:left="520" w:top="496" w:right="52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1200"/>
          </w:cols>
          <w:pgMar w:left="520" w:top="496" w:right="520" w:bottom="135"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r>
      <w:tr>
        <w:trPr>
          <w:trHeight w:val="216"/>
        </w:trPr>
        <w:tc>
          <w:tcPr>
            <w:tcW w:w="7440" w:type="dxa"/>
            <w:vAlign w:val="bottom"/>
            <w:tcBorders>
              <w:bottom w:val="single" w:sz="8" w:color="DDDDDD"/>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r>
      <w:tr>
        <w:trPr>
          <w:trHeight w:val="199"/>
        </w:trPr>
        <w:tc>
          <w:tcPr>
            <w:tcW w:w="74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6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18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r>
      <w:tr>
        <w:trPr>
          <w:trHeight w:val="21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100" w:type="dxa"/>
            <w:vAlign w:val="bottom"/>
          </w:tcPr>
          <w:p>
            <w:pPr>
              <w:spacing w:after="0"/>
              <w:rPr>
                <w:sz w:val="19"/>
                <w:szCs w:val="19"/>
                <w:color w:val="auto"/>
              </w:rPr>
            </w:pP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12,187</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Amortization of right-of -use lease assets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3,769</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9,221</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contingency</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Gain on lease termination</w:t>
            </w:r>
          </w:p>
        </w:tc>
        <w:tc>
          <w:tcPr>
            <w:tcW w:w="1160" w:type="dxa"/>
            <w:vAlign w:val="bottom"/>
            <w:shd w:val="clear" w:color="auto" w:fill="DDDDDD"/>
          </w:tcPr>
          <w:p>
            <w:pPr>
              <w:spacing w:after="0"/>
              <w:rPr>
                <w:sz w:val="19"/>
                <w:szCs w:val="19"/>
                <w:color w:val="auto"/>
              </w:rPr>
            </w:pPr>
          </w:p>
        </w:tc>
        <w:tc>
          <w:tcPr>
            <w:tcW w:w="78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(1,516)</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1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100" w:type="dxa"/>
            <w:vAlign w:val="bottom"/>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(5,568)</w:t>
            </w:r>
          </w:p>
        </w:tc>
      </w:tr>
      <w:tr>
        <w:trPr>
          <w:trHeight w:val="212"/>
        </w:trPr>
        <w:tc>
          <w:tcPr>
            <w:tcW w:w="74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26,188</w:t>
            </w:r>
          </w:p>
        </w:tc>
        <w:tc>
          <w:tcPr>
            <w:tcW w:w="100" w:type="dxa"/>
            <w:vAlign w:val="bottom"/>
            <w:tcBorders>
              <w:bottom w:val="single" w:sz="8" w:color="DDDDDD"/>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36,676</w:t>
            </w:r>
          </w:p>
        </w:tc>
      </w:tr>
      <w:tr>
        <w:trPr>
          <w:trHeight w:val="225"/>
        </w:trPr>
        <w:tc>
          <w:tcPr>
            <w:tcW w:w="744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9"/>
        </w:trPr>
        <w:tc>
          <w:tcPr>
            <w:tcW w:w="74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Capitalized software and expenditures</w:t>
            </w:r>
          </w:p>
        </w:tc>
        <w:tc>
          <w:tcPr>
            <w:tcW w:w="1160" w:type="dxa"/>
            <w:vAlign w:val="bottom"/>
            <w:tcBorders>
              <w:bottom w:val="single" w:sz="8" w:color="auto"/>
            </w:tcBorders>
            <w:shd w:val="clear" w:color="auto" w:fill="DDDDDD"/>
          </w:tcPr>
          <w:p>
            <w:pPr>
              <w:spacing w:after="0"/>
              <w:rPr>
                <w:sz w:val="20"/>
                <w:szCs w:val="20"/>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100" w:type="dxa"/>
            <w:vAlign w:val="bottom"/>
            <w:tcBorders>
              <w:bottom w:val="single" w:sz="8" w:color="DDDDDD"/>
            </w:tcBorders>
            <w:shd w:val="clear" w:color="auto" w:fill="DDDDDD"/>
          </w:tcPr>
          <w:p>
            <w:pPr>
              <w:spacing w:after="0"/>
              <w:rPr>
                <w:sz w:val="20"/>
                <w:szCs w:val="20"/>
                <w:color w:val="auto"/>
              </w:rPr>
            </w:pPr>
          </w:p>
        </w:tc>
        <w:tc>
          <w:tcPr>
            <w:tcW w:w="1180" w:type="dxa"/>
            <w:vAlign w:val="bottom"/>
            <w:tcBorders>
              <w:bottom w:val="single" w:sz="8" w:color="auto"/>
            </w:tcBorders>
            <w:shd w:val="clear" w:color="auto" w:fill="DDDDDD"/>
          </w:tcPr>
          <w:p>
            <w:pPr>
              <w:spacing w:after="0"/>
              <w:rPr>
                <w:sz w:val="20"/>
                <w:szCs w:val="20"/>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(11,637)</w:t>
            </w:r>
          </w:p>
        </w:tc>
      </w:tr>
      <w:tr>
        <w:trPr>
          <w:trHeight w:val="192"/>
        </w:trPr>
        <w:tc>
          <w:tcPr>
            <w:tcW w:w="7440" w:type="dxa"/>
            <w:vAlign w:val="bottom"/>
            <w:tcBorders>
              <w:bottom w:val="single" w:sz="8" w:color="DDDDDD"/>
            </w:tcBorders>
          </w:tcPr>
          <w:p>
            <w:pPr>
              <w:ind w:left="20"/>
              <w:spacing w:after="0" w:line="192"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(12,685)</w:t>
            </w:r>
          </w:p>
        </w:tc>
        <w:tc>
          <w:tcPr>
            <w:tcW w:w="100" w:type="dxa"/>
            <w:vAlign w:val="bottom"/>
            <w:tcBorders>
              <w:bottom w:val="single" w:sz="8" w:color="DDDDDD"/>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(11,637)</w:t>
            </w:r>
          </w:p>
        </w:tc>
      </w:tr>
      <w:tr>
        <w:trPr>
          <w:trHeight w:val="225"/>
        </w:trPr>
        <w:tc>
          <w:tcPr>
            <w:tcW w:w="744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(7,682)</w:t>
            </w:r>
          </w:p>
        </w:tc>
      </w:tr>
      <w:tr>
        <w:trPr>
          <w:trHeight w:val="219"/>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7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Proceeds from repayment of related party note</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19"/>
        </w:trPr>
        <w:tc>
          <w:tcPr>
            <w:tcW w:w="7440" w:type="dxa"/>
            <w:vAlign w:val="bottom"/>
            <w:tcBorders>
              <w:bottom w:val="single" w:sz="8" w:color="DDDDDD"/>
            </w:tcBorders>
          </w:tcPr>
          <w:p>
            <w:pPr>
              <w:ind w:left="220"/>
              <w:spacing w:after="0"/>
              <w:rPr>
                <w:sz w:val="20"/>
                <w:szCs w:val="20"/>
                <w:color w:val="auto"/>
              </w:rPr>
            </w:pPr>
            <w:r>
              <w:rPr>
                <w:rFonts w:ascii="Times New Roman" w:cs="Times New Roman" w:eastAsia="Times New Roman" w:hAnsi="Times New Roman"/>
                <w:sz w:val="17"/>
                <w:szCs w:val="17"/>
                <w:color w:val="auto"/>
              </w:rPr>
              <w:t>Tax receivable agreement payment</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(1,422)</w:t>
            </w:r>
          </w:p>
        </w:tc>
        <w:tc>
          <w:tcPr>
            <w:tcW w:w="100" w:type="dxa"/>
            <w:vAlign w:val="bottom"/>
            <w:tcBorders>
              <w:bottom w:val="single" w:sz="8" w:color="DDDDDD"/>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2"/>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6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100" w:type="dxa"/>
            <w:vAlign w:val="bottom"/>
            <w:shd w:val="clear" w:color="auto" w:fill="DDDDDD"/>
          </w:tcPr>
          <w:p>
            <w:pPr>
              <w:spacing w:after="0"/>
              <w:rPr>
                <w:sz w:val="18"/>
                <w:szCs w:val="18"/>
                <w:color w:val="auto"/>
              </w:rPr>
            </w:pPr>
          </w:p>
        </w:tc>
        <w:tc>
          <w:tcPr>
            <w:tcW w:w="118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(7,423)</w:t>
            </w:r>
          </w:p>
        </w:tc>
      </w:tr>
      <w:tr>
        <w:trPr>
          <w:trHeight w:val="225"/>
        </w:trPr>
        <w:tc>
          <w:tcPr>
            <w:tcW w:w="7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Net increase in cash</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17,616</w:t>
            </w:r>
          </w:p>
        </w:tc>
      </w:tr>
      <w:tr>
        <w:trPr>
          <w:trHeight w:val="219"/>
        </w:trPr>
        <w:tc>
          <w:tcPr>
            <w:tcW w:w="744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Cash – beginning of year</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51,966</w:t>
            </w:r>
          </w:p>
        </w:tc>
        <w:tc>
          <w:tcPr>
            <w:tcW w:w="100" w:type="dxa"/>
            <w:vAlign w:val="bottom"/>
            <w:tcBorders>
              <w:bottom w:val="single" w:sz="8" w:color="DDDDDD"/>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34,350</w:t>
            </w:r>
          </w:p>
        </w:tc>
      </w:tr>
      <w:tr>
        <w:trPr>
          <w:trHeight w:val="237"/>
        </w:trPr>
        <w:tc>
          <w:tcPr>
            <w:tcW w:w="74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Cash – end of year</w:t>
            </w:r>
          </w:p>
        </w:tc>
        <w:tc>
          <w:tcPr>
            <w:tcW w:w="1160" w:type="dxa"/>
            <w:vAlign w:val="bottom"/>
            <w:tcBorders>
              <w:bottom w:val="single" w:sz="8" w:color="auto"/>
            </w:tcBorders>
            <w:shd w:val="clear" w:color="auto" w:fill="DDDDDD"/>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62,401</w:t>
            </w:r>
          </w:p>
        </w:tc>
        <w:tc>
          <w:tcPr>
            <w:tcW w:w="100" w:type="dxa"/>
            <w:vAlign w:val="bottom"/>
            <w:tcBorders>
              <w:bottom w:val="single" w:sz="8" w:color="DDDDDD"/>
            </w:tcBorders>
            <w:shd w:val="clear" w:color="auto" w:fill="DDDDDD"/>
          </w:tcPr>
          <w:p>
            <w:pPr>
              <w:spacing w:after="0"/>
              <w:rPr>
                <w:sz w:val="20"/>
                <w:szCs w:val="20"/>
                <w:color w:val="auto"/>
              </w:rPr>
            </w:pPr>
          </w:p>
        </w:tc>
        <w:tc>
          <w:tcPr>
            <w:tcW w:w="1180" w:type="dxa"/>
            <w:vAlign w:val="bottom"/>
            <w:tcBorders>
              <w:bottom w:val="single" w:sz="8" w:color="auto"/>
            </w:tcBorders>
            <w:shd w:val="clear" w:color="auto" w:fill="DDDDDD"/>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51,966</w:t>
            </w:r>
          </w:p>
        </w:tc>
      </w:tr>
      <w:tr>
        <w:trPr>
          <w:trHeight w:val="20"/>
        </w:trPr>
        <w:tc>
          <w:tcPr>
            <w:tcW w:w="7440" w:type="dxa"/>
            <w:vAlign w:val="bottom"/>
            <w:tcBorders>
              <w:top w:val="single" w:sz="8" w:color="DDDDDD"/>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-4984750</wp:posOffset>
            </wp:positionV>
            <wp:extent cx="57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1412875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1412875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496"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1240"/>
          </w:cols>
          <w:pgMar w:left="500" w:top="496" w:right="500" w:bottom="135" w:gutter="0" w:footer="0" w:header="0"/>
          <w:type w:val="continuous"/>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6"/>
        </w:trPr>
        <w:tc>
          <w:tcPr>
            <w:tcW w:w="7440" w:type="dxa"/>
            <w:vAlign w:val="bottom"/>
            <w:tcBorders>
              <w:bottom w:val="single" w:sz="8" w:color="DDDDDD"/>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DDDDDD"/>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4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420" w:type="dxa"/>
            <w:vAlign w:val="bottom"/>
            <w:shd w:val="clear" w:color="auto" w:fill="DDDDDD"/>
          </w:tcPr>
          <w:p>
            <w:pPr>
              <w:spacing w:after="0"/>
              <w:rPr>
                <w:sz w:val="17"/>
                <w:szCs w:val="17"/>
                <w:color w:val="auto"/>
              </w:rPr>
            </w:pPr>
          </w:p>
        </w:tc>
        <w:tc>
          <w:tcPr>
            <w:tcW w:w="1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440" w:type="dxa"/>
            <w:vAlign w:val="bottom"/>
            <w:shd w:val="clear" w:color="auto" w:fill="DDDDDD"/>
          </w:tcPr>
          <w:p>
            <w:pPr>
              <w:spacing w:after="0"/>
              <w:rPr>
                <w:sz w:val="17"/>
                <w:szCs w:val="17"/>
                <w:color w:val="auto"/>
              </w:rPr>
            </w:pPr>
          </w:p>
        </w:tc>
      </w:tr>
      <w:tr>
        <w:trPr>
          <w:trHeight w:val="245"/>
        </w:trPr>
        <w:tc>
          <w:tcPr>
            <w:tcW w:w="7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45"/>
        </w:trPr>
        <w:tc>
          <w:tcPr>
            <w:tcW w:w="7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42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440" w:type="dxa"/>
            <w:vAlign w:val="bottom"/>
            <w:shd w:val="clear" w:color="auto" w:fill="DDDDDD"/>
          </w:tcPr>
          <w:p>
            <w:pPr>
              <w:spacing w:after="0"/>
              <w:rPr>
                <w:sz w:val="19"/>
                <w:szCs w:val="19"/>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 capitalized for software development</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Capitalized assets included in accounts payable and accrued expenses</w:t>
            </w: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23"/>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Remeasurement of the lease liabilities and right-of-use assets due to lease modification</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-1148080</wp:posOffset>
            </wp:positionV>
            <wp:extent cx="571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7113270</wp:posOffset>
            </wp:positionH>
            <wp:positionV relativeFrom="paragraph">
              <wp:posOffset>626745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626745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599"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1240"/>
          </w:cols>
          <w:pgMar w:left="500" w:top="599" w:right="500" w:bottom="135" w:gutter="0" w:footer="0" w:header="0"/>
          <w:type w:val="continuous"/>
        </w:sectPr>
      </w:pPr>
    </w:p>
    <w:bookmarkStart w:id="87" w:name="page88"/>
    <w:bookmarkEnd w:id="87"/>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
        <w:spacing w:after="0"/>
        <w:tabs>
          <w:tab w:leader="none" w:pos="285" w:val="left"/>
        </w:tabs>
        <w:rPr>
          <w:sz w:val="20"/>
          <w:szCs w:val="20"/>
          <w:color w:val="auto"/>
        </w:rPr>
      </w:pPr>
      <w:r>
        <w:rPr>
          <w:rFonts w:ascii="Times New Roman" w:cs="Times New Roman" w:eastAsia="Times New Roman" w:hAnsi="Times New Roman"/>
          <w:sz w:val="17"/>
          <w:szCs w:val="17"/>
          <w:b w:val="1"/>
          <w:bCs w:val="1"/>
          <w:color w:val="auto"/>
        </w:rPr>
        <w:t>1.</w:t>
        <w:tab/>
        <w:t>Business and Organization</w:t>
      </w:r>
    </w:p>
    <w:p>
      <w:pPr>
        <w:spacing w:after="0" w:line="118"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ind w:left="6"/>
        <w:spacing w:after="0" w:line="257" w:lineRule="auto"/>
        <w:rPr>
          <w:sz w:val="20"/>
          <w:szCs w:val="20"/>
          <w:color w:val="auto"/>
        </w:rPr>
      </w:pPr>
      <w:r>
        <w:rPr>
          <w:rFonts w:ascii="Times New Roman" w:cs="Times New Roman" w:eastAsia="Times New Roman" w:hAnsi="Times New Roman"/>
          <w:sz w:val="17"/>
          <w:szCs w:val="17"/>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base makes the Weedmaps marketplace highly valuable to its clients.</w:t>
      </w:r>
    </w:p>
    <w:p>
      <w:pPr>
        <w:spacing w:after="0" w:line="76"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7"/>
          <w:szCs w:val="17"/>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68" w:lineRule="exact"/>
        <w:rPr>
          <w:sz w:val="20"/>
          <w:szCs w:val="20"/>
          <w:color w:val="auto"/>
        </w:rPr>
      </w:pPr>
    </w:p>
    <w:p>
      <w:pPr>
        <w:jc w:val="both"/>
        <w:ind w:left="6"/>
        <w:spacing w:after="0" w:line="257"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On the Closing Date, and in connection with the closing of the Business Combination (the “Closing”), Silver Spike was domesticated and continues as a Delaware corporation, changing its name to WM Technology, Inc.</w:t>
      </w:r>
    </w:p>
    <w:p>
      <w:pPr>
        <w:spacing w:after="0" w:line="76"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7"/>
          <w:szCs w:val="17"/>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64" w:lineRule="exact"/>
        <w:rPr>
          <w:sz w:val="20"/>
          <w:szCs w:val="20"/>
          <w:color w:val="auto"/>
        </w:rPr>
      </w:pPr>
    </w:p>
    <w:p>
      <w:pPr>
        <w:ind w:left="326" w:hanging="326"/>
        <w:spacing w:after="0"/>
        <w:tabs>
          <w:tab w:leader="none" w:pos="326"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jc w:val="both"/>
        <w:ind w:left="6" w:right="20"/>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519430</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519430</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1246"/>
          </w:cols>
          <w:pgMar w:left="494" w:top="608" w:right="500" w:bottom="135"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2025 and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Significant estimates made by management include, among others, the allowance for credit losses, loss contingencies,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performance and stock-based compensation and the recognition and disclosure of contingent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22" w:lineRule="exact"/>
        <w:rPr>
          <w:sz w:val="20"/>
          <w:szCs w:val="20"/>
          <w:color w:val="auto"/>
        </w:rPr>
      </w:pPr>
    </w:p>
    <w:p>
      <w:pPr>
        <w:jc w:val="both"/>
        <w:spacing w:after="0" w:line="194" w:lineRule="exact"/>
        <w:rPr>
          <w:sz w:val="20"/>
          <w:szCs w:val="20"/>
          <w:color w:val="auto"/>
        </w:rPr>
      </w:pPr>
      <w:r>
        <w:rPr>
          <w:rFonts w:ascii="Times New Roman" w:cs="Times New Roman" w:eastAsia="Times New Roman" w:hAnsi="Times New Roman"/>
          <w:sz w:val="17"/>
          <w:szCs w:val="17"/>
          <w:color w:val="auto"/>
        </w:rPr>
        <w:t>The Company operates in a relatively new industry where laws and regulations vary significantly by jurisdiction. Currently, forty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However, in 2025, at least three ballot initiatives (Arizona, Massachusetts and Maine) were introduced to repeal all or some portion of each state’s laws permitting adult use sales, and Florida’s Attorney General has thus far successfully precluded adult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legalization from being placed on the 2026 ballot.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follows the guidance in Accounting Standards Codification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for its financial assets and liabilities that are re-measured and reported at fair value at each reporting period. See Note 7, “Fair Value Measurements” to these consolidated financial statements for additional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and cash equivalents consist of cash and highly liquid investments that are readily convertible into cash and have original maturities of three months or less at the date of purchase. The Company had cash equivalents of $10.0 million and nil as of December 31, 2025 and 2024, respectively. See “Investments,” below for further discussion.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receivable is recorded when an unconditional right to invoice and receive payment exists. Accounts receivable represents amounts related to receivables from customers. Receivables are shown net of allowance for credit losses which is maintained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519430</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519430</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1240"/>
          </w:cols>
          <w:pgMar w:left="500" w:top="608" w:right="500" w:bottom="135"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Account balances are written off against the allowance when it is determined that it is probable that the receivable will not be recovered. The Company had allowance for credit losses of $4.2 million and $1.2 million as of December 31, 2025 and 2024,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no customer accounted for more than 10% of the total gross accounts receivable outstanding.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changes in the allowance for credit losses:</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53"/>
        </w:trPr>
        <w:tc>
          <w:tcPr>
            <w:tcW w:w="7440" w:type="dxa"/>
            <w:vAlign w:val="bottom"/>
          </w:tcPr>
          <w:p>
            <w:pPr>
              <w:spacing w:after="0"/>
              <w:rPr>
                <w:sz w:val="24"/>
                <w:szCs w:val="24"/>
                <w:color w:val="auto"/>
              </w:rPr>
            </w:pPr>
          </w:p>
        </w:tc>
        <w:tc>
          <w:tcPr>
            <w:tcW w:w="316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r>
      <w:tr>
        <w:trPr>
          <w:trHeight w:val="217"/>
        </w:trPr>
        <w:tc>
          <w:tcPr>
            <w:tcW w:w="7440" w:type="dxa"/>
            <w:vAlign w:val="bottom"/>
            <w:tcBorders>
              <w:bottom w:val="single" w:sz="8" w:color="DDDDDD"/>
            </w:tcBorders>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212"/>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Allowance, beginning of year</w:t>
            </w:r>
          </w:p>
        </w:tc>
        <w:tc>
          <w:tcPr>
            <w:tcW w:w="1200" w:type="dxa"/>
            <w:vAlign w:val="bottom"/>
            <w:shd w:val="clear" w:color="auto" w:fill="DDDDDD"/>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DDDDDD"/>
          </w:tcPr>
          <w:p>
            <w:pPr>
              <w:jc w:val="center"/>
              <w:ind w:left="54"/>
              <w:spacing w:after="0"/>
              <w:rPr>
                <w:sz w:val="20"/>
                <w:szCs w:val="20"/>
                <w:color w:val="auto"/>
              </w:rPr>
            </w:pPr>
            <w:r>
              <w:rPr>
                <w:rFonts w:ascii="Times New Roman" w:cs="Times New Roman" w:eastAsia="Times New Roman" w:hAnsi="Times New Roman"/>
                <w:sz w:val="17"/>
                <w:szCs w:val="17"/>
                <w:color w:val="auto"/>
                <w:w w:val="99"/>
              </w:rPr>
              <w:t>1,243</w:t>
            </w:r>
          </w:p>
        </w:tc>
        <w:tc>
          <w:tcPr>
            <w:tcW w:w="100" w:type="dxa"/>
            <w:vAlign w:val="bottom"/>
            <w:shd w:val="clear" w:color="auto" w:fill="DDDDDD"/>
          </w:tcPr>
          <w:p>
            <w:pPr>
              <w:spacing w:after="0"/>
              <w:rPr>
                <w:sz w:val="18"/>
                <w:szCs w:val="18"/>
                <w:color w:val="auto"/>
              </w:rPr>
            </w:pPr>
          </w:p>
        </w:tc>
        <w:tc>
          <w:tcPr>
            <w:tcW w:w="1220" w:type="dxa"/>
            <w:vAlign w:val="bottom"/>
            <w:shd w:val="clear" w:color="auto" w:fill="DDDDDD"/>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8,748</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00" w:type="dxa"/>
            <w:vAlign w:val="bottom"/>
          </w:tcPr>
          <w:p>
            <w:pPr>
              <w:spacing w:after="0"/>
              <w:rPr>
                <w:sz w:val="19"/>
                <w:szCs w:val="19"/>
                <w:color w:val="auto"/>
              </w:rPr>
            </w:pPr>
          </w:p>
        </w:tc>
        <w:tc>
          <w:tcPr>
            <w:tcW w:w="6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w w:val="99"/>
              </w:rPr>
              <w:t>4,377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Write-offs, net of recoveries</w:t>
            </w:r>
          </w:p>
        </w:tc>
        <w:tc>
          <w:tcPr>
            <w:tcW w:w="1200" w:type="dxa"/>
            <w:vAlign w:val="bottom"/>
            <w:tcBorders>
              <w:bottom w:val="single" w:sz="8" w:color="auto"/>
            </w:tcBorders>
            <w:shd w:val="clear" w:color="auto" w:fill="DDDDDD"/>
          </w:tcPr>
          <w:p>
            <w:pPr>
              <w:spacing w:after="0"/>
              <w:rPr>
                <w:sz w:val="19"/>
                <w:szCs w:val="19"/>
                <w:color w:val="auto"/>
              </w:rPr>
            </w:pPr>
          </w:p>
        </w:tc>
        <w:tc>
          <w:tcPr>
            <w:tcW w:w="640" w:type="dxa"/>
            <w:vAlign w:val="bottom"/>
            <w:tcBorders>
              <w:bottom w:val="single" w:sz="8" w:color="auto"/>
            </w:tcBorders>
            <w:shd w:val="clear" w:color="auto" w:fill="DDDDDD"/>
          </w:tcPr>
          <w:p>
            <w:pPr>
              <w:jc w:val="center"/>
              <w:ind w:left="14"/>
              <w:spacing w:after="0"/>
              <w:rPr>
                <w:sz w:val="20"/>
                <w:szCs w:val="20"/>
                <w:color w:val="auto"/>
              </w:rPr>
            </w:pPr>
            <w:r>
              <w:rPr>
                <w:rFonts w:ascii="Times New Roman" w:cs="Times New Roman" w:eastAsia="Times New Roman" w:hAnsi="Times New Roman"/>
                <w:sz w:val="17"/>
                <w:szCs w:val="17"/>
                <w:color w:val="auto"/>
              </w:rPr>
              <w:t>(1,424)</w:t>
            </w:r>
          </w:p>
        </w:tc>
        <w:tc>
          <w:tcPr>
            <w:tcW w:w="100" w:type="dxa"/>
            <w:vAlign w:val="bottom"/>
            <w:shd w:val="clear" w:color="auto" w:fill="DDDDDD"/>
          </w:tcPr>
          <w:p>
            <w:pPr>
              <w:spacing w:after="0"/>
              <w:rPr>
                <w:sz w:val="19"/>
                <w:szCs w:val="19"/>
                <w:color w:val="auto"/>
              </w:rPr>
            </w:pPr>
          </w:p>
        </w:tc>
        <w:tc>
          <w:tcPr>
            <w:tcW w:w="1220" w:type="dxa"/>
            <w:vAlign w:val="bottom"/>
            <w:tcBorders>
              <w:bottom w:val="single" w:sz="8" w:color="auto"/>
            </w:tcBorders>
            <w:shd w:val="clear" w:color="auto" w:fill="DDDDDD"/>
          </w:tcPr>
          <w:p>
            <w:pPr>
              <w:spacing w:after="0"/>
              <w:rPr>
                <w:sz w:val="19"/>
                <w:szCs w:val="19"/>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(7,543)</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end of year</w:t>
            </w:r>
          </w:p>
        </w:tc>
        <w:tc>
          <w:tcPr>
            <w:tcW w:w="120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4,196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w:t>
            </w: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Securities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Investments in debt securities are primarily comprised of U.S. Treasury Bills classified as available-for-sale investment securities. These investments have maturities less than 90 days and as such are classified as cash and cash equivalents on the consolidated balance sheet. The Company reports available-for-sale investments at fair value as of each balance sheet date in accordance with ASC 320, “</w:t>
      </w:r>
      <w:r>
        <w:rPr>
          <w:rFonts w:ascii="Times New Roman" w:cs="Times New Roman" w:eastAsia="Times New Roman" w:hAnsi="Times New Roman"/>
          <w:sz w:val="17"/>
          <w:szCs w:val="17"/>
          <w:i w:val="1"/>
          <w:iCs w:val="1"/>
          <w:color w:val="auto"/>
        </w:rPr>
        <w:t>Investments – Debt Securities</w:t>
      </w:r>
      <w:r>
        <w:rPr>
          <w:rFonts w:ascii="Times New Roman" w:cs="Times New Roman" w:eastAsia="Times New Roman" w:hAnsi="Times New Roman"/>
          <w:sz w:val="17"/>
          <w:szCs w:val="17"/>
          <w:color w:val="auto"/>
        </w:rPr>
        <w:t>” and records any unrealized gains or losses as a component of stockholders’ equity. The cost of securities sold is determined on a specific identification basis and realized gains and losses upon disposition are included in other income (expense) within the consolidated statements of operations.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realized losses are recognized when the Company determines that a decline in value is other than temporary, which requires judgment regarding the amount and timing of recovery. For investments that are classified as available-for-sale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Fair value of available-for-sale investment securities are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Note 7, “Fair Value Measurements,” to these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Securities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xml:space="preserve"> are accounted for at cost, less any impairment, plus or minus changes resulting from observable price changes in orderly transactions for an identical or similar investment of the same issuer. As of December 31, 2025 and 2024, the carrying value of the Company’s investments in equity securities without a readily determinable fair value were $0.0 million.</w:t>
      </w:r>
    </w:p>
    <w:p>
      <w:pPr>
        <w:spacing w:after="0" w:line="6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These impairment charges are included in asset impairment charges in the accompanying consolidated statements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528320</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528320</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1240"/>
          </w:cols>
          <w:pgMar w:left="500" w:top="608" w:right="500" w:bottom="135"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60"/>
        <w:spacing w:after="0" w:line="379" w:lineRule="auto"/>
        <w:rPr>
          <w:sz w:val="20"/>
          <w:szCs w:val="20"/>
          <w:color w:val="auto"/>
        </w:rPr>
      </w:pPr>
      <w:r>
        <w:rPr>
          <w:rFonts w:ascii="Times New Roman" w:cs="Times New Roman" w:eastAsia="Times New Roman" w:hAnsi="Times New Roman"/>
          <w:sz w:val="17"/>
          <w:szCs w:val="17"/>
          <w:color w:val="auto"/>
        </w:rPr>
        <w:t xml:space="preserve">operations. No impairment charges related to investments in equity securities were recorded for the years ended December 31, 2025 and 2024. </w:t>
      </w:r>
      <w:r>
        <w:rPr>
          <w:rFonts w:ascii="Times New Roman" w:cs="Times New Roman" w:eastAsia="Times New Roman" w:hAnsi="Times New Roman"/>
          <w:sz w:val="17"/>
          <w:szCs w:val="17"/>
          <w:b w:val="1"/>
          <w:bCs w:val="1"/>
          <w:i w:val="1"/>
          <w:iCs w:val="1"/>
          <w:color w:val="auto"/>
        </w:rPr>
        <w:t>Property and Equipment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Property and equipment are carried at cost, less accumulated depreciation, amortization and asset impairment charges, and consist of internally developed software, computer equipment, motor vehicle,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consolidated statements of operations.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years ended December 31, 2025 and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Capitalized website and internal-use software development costs are included in property and equipment in the accompanying consolidated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2025 and 2024, the Company has $24.2 million and $23.1 million in capitalized software costs, net, respectively which are recorded within property and equipment, net on the Company’s consolidated balance sheets. For the years ended December 31, 2025 and 2024, the Company capitalized $13.6 million and $11.6 million, respectively, of costs related to the development of software applications. During the years ended December 31, 2025 and 2024, the Company amortized $12.4 million and $11.7 million, respectively, of internal-use software development costs to subscription and support cost of revenues.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the impairment review. If the carrying value of the reporting unit exceeds its fair value, an impairment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537210</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537210</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1240"/>
          </w:cols>
          <w:pgMar w:left="500" w:top="608" w:right="500" w:bottom="135"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equal to the difference will be recorded. The Company recorded goodwill impairment of $7.1 million for the year ended December 31, 2025. No goodwill impairment charges were recorded for the year ended December 31, 2024. See Note 8, “Goodwill and Intangible Assets,” to these consolidated financial statements for additional information.</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did not have any impairment charges related to intangible assets for the years ended December 31, 2025 and 2024. See Note 8, “Goodwill and Intangible Assets,” to these consolidated financial statements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calculating the right-of-use asset and lease liability, the Company elects to combine lease and non-lease components for all classes of assets. The Company excludes short-term leases having initial terms of 12 months or less as provided under ASC 842, “Leases,” as an accounting policy election and instead recognizes rent expense on a straight-line basis over the lease term.</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The impairment charges of ROU assets are included in asset impairment charges in the consolidated statements of operations. See Note 5, “Leases,” to these consolidated financial statements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2025,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538480</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538480</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1240"/>
          </w:cols>
          <w:pgMar w:left="500" w:top="608" w:right="500" w:bottom="146"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Company evaluated the Warrants under ASC 815-40 </w:t>
      </w:r>
      <w:r>
        <w:rPr>
          <w:rFonts w:ascii="Times New Roman" w:cs="Times New Roman" w:eastAsia="Times New Roman" w:hAnsi="Times New Roman"/>
          <w:sz w:val="17"/>
          <w:szCs w:val="17"/>
          <w:i w:val="1"/>
          <w:iCs w:val="1"/>
          <w:color w:val="auto"/>
        </w:rPr>
        <w:t>- Derivatives and Hedging - Contracts in Entity’s Own Equity</w:t>
      </w:r>
      <w:r>
        <w:rPr>
          <w:rFonts w:ascii="Times New Roman" w:cs="Times New Roman" w:eastAsia="Times New Roman" w:hAnsi="Times New Roman"/>
          <w:sz w:val="17"/>
          <w:szCs w:val="17"/>
          <w:color w:val="auto"/>
        </w:rPr>
        <w:t>, and concluded they do not meet the criteria to be classified in stockholders’ equity. Specifically, the exercise of the Warrants may be settled in cash upon the occurrence of a tender offer or exchange that involves 50% or more of the Company’s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11, “Warrant Liability,” to these consolidated financial statements for additional information.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15, “Income Taxes,” to these consolidated financial statements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7"/>
          <w:szCs w:val="17"/>
          <w:i w:val="1"/>
          <w:iCs w:val="1"/>
          <w:color w:val="auto"/>
        </w:rPr>
        <w:t>“Revenue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the Company recognizes revenue by applying the following five steps: the contract with the customer is identified; the performance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the Company’s Together for Equity Access and Legislation program, through which the Company provides free software, advertising, educational materials and training programs to applicants or licenses under social equity licensing programs. The Company provides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the Company on the applicable state’s website. For the years ended December 31, 2025 and 2024, total transaction price adjustments issued was $7.9 million and $5.5 million, respectively. For clients that pay in advance for listing and other services, the Company records deferred revenue and recognizes revenue over the applicable subscription term.</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Listing and WM Deal products and other WM Ad solutions. The Company’s Weedmaps for Business subscriptions generally have one-month terms that automatically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537210</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537210</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1240"/>
          </w:cols>
          <w:pgMar w:left="500" w:top="608" w:right="500" w:bottom="146"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cost of revenue primarily consists of web hosting, internet service costs, credit card processing costs and other third party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expenses the cost of advertising in the period incurred. Advertising expense totaled $10.4 million and $10.7 million for the years ended December 31, 2025 and 2024, respectively, and is included in sales and marketing expense in the accompanying consolidated statements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without market conditions is equal to the market price of the Company’s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the Company records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such stock-based awards are recognized as they occur and the Company records compensation cost over the derived service period. See Note 13, “Stock-based Compensation,” to these consolidated financial statements for additional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2025 and 2024, the Company recognized $1.9 million and $1.7 million, respectively, of expenses related to employer contributions for the Company’s 401(k) plan.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net consists primarily of change in fair value of warrant liability, TRA liability remeasurement, interest income and other tax related expenses.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598805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598805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1240"/>
          </w:cols>
          <w:pgMar w:left="500" w:top="608" w:right="500" w:bottom="146"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379" w:lineRule="auto"/>
        <w:rPr>
          <w:sz w:val="20"/>
          <w:szCs w:val="20"/>
          <w:color w:val="auto"/>
        </w:rPr>
      </w:pPr>
      <w:r>
        <w:rPr>
          <w:rFonts w:ascii="Times New Roman" w:cs="Times New Roman" w:eastAsia="Times New Roman" w:hAnsi="Times New Roman"/>
          <w:sz w:val="17"/>
          <w:szCs w:val="17"/>
          <w:color w:val="auto"/>
        </w:rPr>
        <w:t xml:space="preserve">strategies and recent and expected future results of operation. See Note 15, “Income Taxes,” to these consolidated financial statements for additional information. </w:t>
      </w:r>
      <w:r>
        <w:rPr>
          <w:rFonts w:ascii="Times New Roman" w:cs="Times New Roman" w:eastAsia="Times New Roman" w:hAnsi="Times New Roman"/>
          <w:sz w:val="17"/>
          <w:szCs w:val="17"/>
          <w:b w:val="1"/>
          <w:bCs w:val="1"/>
          <w:i w:val="1"/>
          <w:iCs w:val="1"/>
          <w:color w:val="auto"/>
        </w:rPr>
        <w:t>Earnings (Loss) Per Share</w:t>
      </w:r>
    </w:p>
    <w:p>
      <w:pPr>
        <w:spacing w:after="0" w:line="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14, “Earnings Per Share,” for additional information on dilutive securities.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2025 and December 31, 2024, the Company had cash balances that exceeded the deposit insurance limit with five financial institutions. The Company believes that the risk of loss is not significant and has not experienced any losses in such accounts.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ASU 2023-09, </w:t>
      </w:r>
      <w:r>
        <w:rPr>
          <w:rFonts w:ascii="Times New Roman" w:cs="Times New Roman" w:eastAsia="Times New Roman" w:hAnsi="Times New Roman"/>
          <w:sz w:val="17"/>
          <w:szCs w:val="17"/>
          <w:i w:val="1"/>
          <w:iCs w:val="1"/>
          <w:color w:val="auto"/>
        </w:rPr>
        <w:t>“Income Taxes - Improvements to Income Tax Disclosures”</w:t>
      </w:r>
      <w:r>
        <w:rPr>
          <w:rFonts w:ascii="Times New Roman" w:cs="Times New Roman" w:eastAsia="Times New Roman" w:hAnsi="Times New Roman"/>
          <w:sz w:val="17"/>
          <w:szCs w:val="17"/>
          <w:color w:val="auto"/>
        </w:rPr>
        <w:t xml:space="preserve"> requiring enhancements and further transparency to certain income tax disclosures, most notably the tax rate reconciliation and income taxes paid. This ASU is effective for annual reporting periods beginning after December 15, 2024 on a prospective basis and retrospective application is permitted. The Company adopted retrospectively this ASU as of December 31, 2025. See Note 15, “Income Taxes,” to these consolidated financial statements for additional information.</w:t>
      </w:r>
    </w:p>
    <w:p>
      <w:pPr>
        <w:spacing w:after="0" w:line="6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 Company also reviewed other accounting pronouncements that became effective for the year ended December 31, 2025 and determined that either they were not applicable, or they did not have a material impact on the consolidated financial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7"/>
          <w:szCs w:val="17"/>
          <w:color w:val="auto"/>
        </w:rPr>
        <w:t>requiring additional disaggregated disclosures in the notes to financial statements for certain categories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that are included on the face of the statement of income. This ASU is effective for annual reporting periods beginning after December 15, 2026 and interim reporting periods beginning after December 15, 2027. The Company is currently evaluating the impact of the adoption of this standard.</w:t>
      </w:r>
    </w:p>
    <w:p>
      <w:pPr>
        <w:spacing w:after="0" w:line="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 Improvements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for Internal-Use Software” </w:t>
      </w:r>
      <w:r>
        <w:rPr>
          <w:rFonts w:ascii="Times New Roman" w:cs="Times New Roman" w:eastAsia="Times New Roman" w:hAnsi="Times New Roman"/>
          <w:sz w:val="17"/>
          <w:szCs w:val="17"/>
          <w:color w:val="auto"/>
        </w:rPr>
        <w:t>which amends the guidance in ASC 350-40, Intangibles-Goodwill and Other-Internal-Use Software. The amendments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modernize the recognition and disclosure framework for internal-use software costs, removing the previous “development stage” model and introducing a more judgment-based approach. This ASU is effective for annual reporting periods beginning after December 15, 2027, and interim reporting period within those annual reporting periods. The Company is currently evaluating the impact of the adoption of this standard.</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also reviewed other recently issued accounting pronouncements to be adopted in future periods and determined that they are not expected to have a material impact on the consolidated financial statements.</w:t>
      </w:r>
    </w:p>
    <w:p>
      <w:pPr>
        <w:spacing w:after="0" w:line="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Revenue from Contracts with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sells a monthly subscription offering to retailer and brand clients as well as upsell and add-on offerings to licensed clients. The Company’s 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Weedmaps for Business monthly subscription package includes:</w:t>
      </w:r>
    </w:p>
    <w:p>
      <w:pPr>
        <w:spacing w:after="0" w:line="97" w:lineRule="exact"/>
        <w:rPr>
          <w:sz w:val="20"/>
          <w:szCs w:val="20"/>
          <w:color w:val="auto"/>
        </w:rPr>
      </w:pPr>
    </w:p>
    <w:p>
      <w:pPr>
        <w:ind w:left="620" w:right="20" w:hanging="316"/>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the Company’s clients to be discovered by the marketplace’s users. This also allows clients to disclose their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552450</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552450</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1240"/>
          </w:cols>
          <w:pgMar w:left="500" w:top="608" w:right="500" w:bottom="146"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hours of operation, contact information, discount policies and other information that may be required under applicable state law.</w:t>
      </w:r>
    </w:p>
    <w:p>
      <w:pPr>
        <w:spacing w:after="0" w:line="62" w:lineRule="exact"/>
        <w:rPr>
          <w:sz w:val="20"/>
          <w:szCs w:val="20"/>
          <w:color w:val="auto"/>
        </w:rPr>
      </w:pPr>
    </w:p>
    <w:p>
      <w:pPr>
        <w:jc w:val="both"/>
        <w:ind w:left="620" w:hanging="316"/>
        <w:spacing w:after="0" w:line="264"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17"/>
          <w:szCs w:val="17"/>
          <w:color w:val="auto"/>
        </w:rPr>
      </w:pPr>
    </w:p>
    <w:p>
      <w:pPr>
        <w:jc w:val="both"/>
        <w:ind w:left="620" w:hanging="316"/>
        <w:spacing w:after="0" w:line="270"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0" w:lineRule="exact"/>
        <w:rPr>
          <w:rFonts w:ascii="Times New Roman" w:cs="Times New Roman" w:eastAsia="Times New Roman" w:hAnsi="Times New Roman"/>
          <w:sz w:val="17"/>
          <w:szCs w:val="17"/>
          <w:color w:val="auto"/>
        </w:rPr>
      </w:pPr>
    </w:p>
    <w:p>
      <w:pPr>
        <w:jc w:val="both"/>
        <w:ind w:left="620" w:hanging="316"/>
        <w:spacing w:after="0" w:line="264"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6" w:lineRule="exact"/>
        <w:rPr>
          <w:rFonts w:ascii="Times New Roman" w:cs="Times New Roman" w:eastAsia="Times New Roman" w:hAnsi="Times New Roman"/>
          <w:sz w:val="17"/>
          <w:szCs w:val="17"/>
          <w:color w:val="auto"/>
        </w:rPr>
      </w:pPr>
    </w:p>
    <w:p>
      <w:pPr>
        <w:jc w:val="both"/>
        <w:ind w:left="620" w:hanging="316"/>
        <w:spacing w:after="0" w:line="270"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offers other add-on products for additional fees, including:</w:t>
      </w:r>
    </w:p>
    <w:p>
      <w:pPr>
        <w:spacing w:after="0" w:line="114" w:lineRule="exact"/>
        <w:rPr>
          <w:sz w:val="20"/>
          <w:szCs w:val="20"/>
          <w:color w:val="auto"/>
        </w:rPr>
      </w:pPr>
    </w:p>
    <w:p>
      <w:pPr>
        <w:ind w:left="620" w:hanging="316"/>
        <w:spacing w:after="0" w:line="287"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right="20" w:hanging="318"/>
        <w:spacing w:after="0" w:line="284" w:lineRule="auto"/>
        <w:tabs>
          <w:tab w:leader="none" w:pos="123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the Company’s clients’ businesses and maximize clients’ listings and deal presence.</w:t>
      </w:r>
    </w:p>
    <w:p>
      <w:pPr>
        <w:spacing w:after="0" w:line="1" w:lineRule="exact"/>
        <w:rPr>
          <w:rFonts w:ascii="Times New Roman" w:cs="Times New Roman" w:eastAsia="Times New Roman" w:hAnsi="Times New Roman"/>
          <w:sz w:val="17"/>
          <w:szCs w:val="17"/>
          <w:color w:val="auto"/>
        </w:rPr>
      </w:pPr>
    </w:p>
    <w:p>
      <w:pPr>
        <w:ind w:left="1240" w:hanging="318"/>
        <w:spacing w:after="0" w:line="284" w:lineRule="auto"/>
        <w:tabs>
          <w:tab w:leader="none" w:pos="123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7"/>
          <w:szCs w:val="17"/>
          <w:color w:val="auto"/>
        </w:rPr>
      </w:pPr>
    </w:p>
    <w:p>
      <w:pPr>
        <w:ind w:left="1240" w:right="20" w:hanging="317"/>
        <w:spacing w:after="0" w:line="284" w:lineRule="auto"/>
        <w:tabs>
          <w:tab w:leader="none" w:pos="123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ads solutions: Includes banner ads and promotion tiles on the Company’s marketplace as well as banner ads that can be tied to keyword searches. These products provide clients with targeted ad solutions in highly visible slots across the Company’s digital surfaces.</w:t>
      </w:r>
    </w:p>
    <w:p>
      <w:pPr>
        <w:spacing w:after="0" w:line="1" w:lineRule="exact"/>
        <w:rPr>
          <w:rFonts w:ascii="Times New Roman" w:cs="Times New Roman" w:eastAsia="Times New Roman" w:hAnsi="Times New Roman"/>
          <w:sz w:val="17"/>
          <w:szCs w:val="17"/>
          <w:color w:val="auto"/>
        </w:rPr>
      </w:pPr>
    </w:p>
    <w:p>
      <w:pPr>
        <w:ind w:left="620" w:hanging="316"/>
        <w:spacing w:after="0" w:line="287" w:lineRule="auto"/>
        <w:tabs>
          <w:tab w:leader="none" w:pos="6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1"/>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disaggregated revenue information (in thousands):</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Pr>
          <w:p>
            <w:pPr>
              <w:spacing w:after="0"/>
              <w:rPr>
                <w:sz w:val="21"/>
                <w:szCs w:val="21"/>
                <w:color w:val="auto"/>
              </w:rPr>
            </w:pPr>
          </w:p>
        </w:tc>
        <w:tc>
          <w:tcPr>
            <w:tcW w:w="31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00" w:type="dxa"/>
            <w:vAlign w:val="bottom"/>
            <w:tcBorders>
              <w:bottom w:val="single" w:sz="8" w:color="auto"/>
            </w:tcBorders>
          </w:tcPr>
          <w:p>
            <w:pPr>
              <w:spacing w:after="0"/>
              <w:rPr>
                <w:sz w:val="21"/>
                <w:szCs w:val="21"/>
                <w:color w:val="auto"/>
              </w:rPr>
            </w:pPr>
          </w:p>
        </w:tc>
      </w:tr>
      <w:tr>
        <w:trPr>
          <w:trHeight w:val="217"/>
        </w:trPr>
        <w:tc>
          <w:tcPr>
            <w:tcW w:w="74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7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Featured and deal listings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106,109</w:t>
            </w:r>
          </w:p>
        </w:tc>
        <w:tc>
          <w:tcPr>
            <w:tcW w:w="100" w:type="dxa"/>
            <w:vAlign w:val="bottom"/>
          </w:tcPr>
          <w:p>
            <w:pPr>
              <w:spacing w:after="0"/>
              <w:rPr>
                <w:sz w:val="19"/>
                <w:szCs w:val="19"/>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115,022</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Weedmaps for Business and other SaaS solutions</w:t>
            </w:r>
          </w:p>
        </w:tc>
        <w:tc>
          <w:tcPr>
            <w:tcW w:w="11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53,298</w:t>
            </w:r>
          </w:p>
        </w:tc>
        <w:tc>
          <w:tcPr>
            <w:tcW w:w="100" w:type="dxa"/>
            <w:vAlign w:val="bottom"/>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54,170</w:t>
            </w:r>
          </w:p>
        </w:tc>
      </w:tr>
      <w:tr>
        <w:trPr>
          <w:trHeight w:val="212"/>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159,407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169,192</w:t>
            </w:r>
          </w:p>
        </w:tc>
      </w:tr>
      <w:tr>
        <w:trPr>
          <w:trHeight w:val="219"/>
        </w:trPr>
        <w:tc>
          <w:tcPr>
            <w:tcW w:w="74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7"/>
                <w:szCs w:val="17"/>
                <w:color w:val="auto"/>
              </w:rPr>
              <w:t>Other ad solutions</w:t>
            </w:r>
          </w:p>
        </w:tc>
        <w:tc>
          <w:tcPr>
            <w:tcW w:w="11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15,297</w:t>
            </w:r>
          </w:p>
        </w:tc>
        <w:tc>
          <w:tcPr>
            <w:tcW w:w="100" w:type="dxa"/>
            <w:vAlign w:val="bottom"/>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15,322</w:t>
            </w:r>
          </w:p>
        </w:tc>
      </w:tr>
      <w:tr>
        <w:trPr>
          <w:trHeight w:val="212"/>
        </w:trPr>
        <w:tc>
          <w:tcPr>
            <w:tcW w:w="7440" w:type="dxa"/>
            <w:vAlign w:val="bottom"/>
          </w:tcPr>
          <w:p>
            <w:pPr>
              <w:ind w:left="220"/>
              <w:spacing w:after="0" w:line="212" w:lineRule="exact"/>
              <w:rPr>
                <w:sz w:val="20"/>
                <w:szCs w:val="20"/>
                <w:color w:val="auto"/>
              </w:rPr>
            </w:pPr>
            <w:r>
              <w:rPr>
                <w:rFonts w:ascii="Times New Roman" w:cs="Times New Roman" w:eastAsia="Times New Roman" w:hAnsi="Times New Roman"/>
                <w:sz w:val="17"/>
                <w:szCs w:val="17"/>
                <w:color w:val="auto"/>
              </w:rPr>
              <w:t>Total revenues</w:t>
            </w:r>
            <w:r>
              <w:rPr>
                <w:rFonts w:ascii="Times New Roman" w:cs="Times New Roman" w:eastAsia="Times New Roman" w:hAnsi="Times New Roman"/>
                <w:sz w:val="22"/>
                <w:szCs w:val="22"/>
                <w:color w:val="auto"/>
                <w:vertAlign w:val="superscript"/>
              </w:rPr>
              <w:t>1</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174,704</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184,514</w:t>
            </w: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561340</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561340</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1240"/>
          </w:cols>
          <w:pgMar w:left="500" w:top="608" w:right="500" w:bottom="146" w:gutter="0" w:footer="0" w:header="0"/>
          <w:type w:val="continuous"/>
        </w:sectPr>
      </w:pPr>
    </w:p>
    <w:bookmarkStart w:id="96" w:name="page97"/>
    <w:bookmarkEnd w:id="96"/>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 w:hanging="66"/>
        <w:spacing w:after="0"/>
        <w:tabs>
          <w:tab w:leader="none" w:pos="66"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Revenues include transaction price adjustments of $7.9 million in 2025 and $5.5 million in 2024.</w:t>
      </w:r>
    </w:p>
    <w:p>
      <w:pPr>
        <w:spacing w:after="0" w:line="75" w:lineRule="exact"/>
        <w:rPr>
          <w:rFonts w:ascii="Times New Roman" w:cs="Times New Roman" w:eastAsia="Times New Roman" w:hAnsi="Times New Roman"/>
          <w:sz w:val="19"/>
          <w:szCs w:val="19"/>
          <w:color w:val="auto"/>
          <w:vertAlign w:val="superscript"/>
        </w:rPr>
      </w:pPr>
    </w:p>
    <w:p>
      <w:pPr>
        <w:ind w:left="6"/>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7"/>
          <w:szCs w:val="17"/>
          <w:b w:val="1"/>
          <w:bCs w:val="1"/>
          <w:color w:val="auto"/>
        </w:rPr>
        <w:t>Contract Liability</w:t>
      </w:r>
    </w:p>
    <w:p>
      <w:pPr>
        <w:spacing w:after="0" w:line="118"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7"/>
          <w:szCs w:val="17"/>
          <w:color w:val="auto"/>
        </w:rPr>
        <w:t>The deferred revenue balance as of December 31, 2025, 2024 and 2023 were $5.5 million, $5.4 million and $5.9 million, respectively. Deferred revenue primarily consists of billings or payments received in advance of revenue recognition from subscription offerings, as described above, and is recognized as the revenue recognition criteria are met, typically on a monthly basis. The Company generally invoices customers in advance on a monthly basis and performance obligations are satisfied over the next month. During 2025, the Company recorded additions to deferred revenue of $161.7 million and reductions to deferred revenue related to performance obligations satisfied during the period of $161.6 million. During 2024, the Company recorded additions to deferred revenue of $169.4 million and reductions to deferred revenue related to performance obligations satisfied during the period of $169.9 million.</w:t>
      </w:r>
    </w:p>
    <w:p>
      <w:pPr>
        <w:spacing w:after="0" w:line="70" w:lineRule="exact"/>
        <w:rPr>
          <w:sz w:val="20"/>
          <w:szCs w:val="20"/>
          <w:color w:val="auto"/>
        </w:rPr>
      </w:pPr>
    </w:p>
    <w:p>
      <w:pPr>
        <w:jc w:val="both"/>
        <w:ind w:left="6"/>
        <w:spacing w:after="0" w:line="287" w:lineRule="auto"/>
        <w:rPr>
          <w:sz w:val="20"/>
          <w:szCs w:val="20"/>
          <w:color w:val="auto"/>
        </w:rPr>
      </w:pPr>
      <w:r>
        <w:rPr>
          <w:rFonts w:ascii="Times New Roman" w:cs="Times New Roman" w:eastAsia="Times New Roman" w:hAnsi="Times New Roman"/>
          <w:sz w:val="17"/>
          <w:szCs w:val="17"/>
          <w:color w:val="auto"/>
        </w:rPr>
        <w:t>Advance payments from customers do not include significant financing components or variable consideration and there are generally no rights of return or refunds after the subscription period has passed.</w:t>
      </w:r>
    </w:p>
    <w:p>
      <w:pPr>
        <w:spacing w:after="0" w:line="48" w:lineRule="exact"/>
        <w:rPr>
          <w:sz w:val="20"/>
          <w:szCs w:val="20"/>
          <w:color w:val="auto"/>
        </w:rPr>
      </w:pPr>
    </w:p>
    <w:p>
      <w:pPr>
        <w:jc w:val="both"/>
        <w:ind w:left="6"/>
        <w:spacing w:after="0" w:line="287" w:lineRule="auto"/>
        <w:rPr>
          <w:sz w:val="20"/>
          <w:szCs w:val="20"/>
          <w:color w:val="auto"/>
        </w:rPr>
      </w:pPr>
      <w:r>
        <w:rPr>
          <w:rFonts w:ascii="Times New Roman" w:cs="Times New Roman" w:eastAsia="Times New Roman" w:hAnsi="Times New Roman"/>
          <w:sz w:val="17"/>
          <w:szCs w:val="17"/>
          <w:color w:val="auto"/>
        </w:rPr>
        <w:t>Substantially all of the Company’s revenue has been generated in the United States for the years ended December 31, 2025 and 2024. For the year ended December 31, 2025, approximately 56% of the Company’s revenue originated in California compared with 53% for the year ended December 31, 2024.</w:t>
      </w:r>
    </w:p>
    <w:p>
      <w:pPr>
        <w:spacing w:after="0" w:line="44" w:lineRule="exact"/>
        <w:rPr>
          <w:sz w:val="20"/>
          <w:szCs w:val="20"/>
          <w:color w:val="auto"/>
        </w:rPr>
      </w:pPr>
    </w:p>
    <w:p>
      <w:pPr>
        <w:ind w:left="346" w:hanging="346"/>
        <w:spacing w:after="0"/>
        <w:tabs>
          <w:tab w:leader="none" w:pos="346"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w:t>
      </w:r>
    </w:p>
    <w:p>
      <w:pPr>
        <w:spacing w:after="0" w:line="118"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7"/>
          <w:szCs w:val="17"/>
          <w:color w:val="auto"/>
        </w:rPr>
        <w:t>The Company considers its product offerings as similar, in close proximity, and have aggregated them into one reportable segment, which constitutes consolidated results. Revenue from customers is derived principally from monthly subscription packages and other add-on products. The Company’s chief operating decision maker (the “CODM”) is the Chief Executive Officer. The Company’s CODM reviews financial information on a consolidated basis for purposes of allocating resources and assessing financial performance, as well as for making strategic operational decisions and managing the organization. Revenue is used to monitor budget versus actual results in an effort to refine forecasts, control costs, and pricing strategies. The accounting policies for the segment are the same as those described in Note 2, “Summary of Significant Accounting Policies.”</w:t>
      </w:r>
    </w:p>
    <w:p>
      <w:pPr>
        <w:spacing w:after="0" w:line="70"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7"/>
          <w:szCs w:val="17"/>
          <w:color w:val="auto"/>
        </w:rPr>
        <w:t>The measure of segment assets is reported on the balance sheet as total consolidated assets. The majority of the Company’s revenue and total assets are within the United States. The CODM evaluates company-wide performance based on multiple performance measures (both GAAP and Non-GAAP measures), including, but not limited net income.</w:t>
      </w:r>
    </w:p>
    <w:p>
      <w:pPr>
        <w:spacing w:after="0" w:line="62" w:lineRule="exact"/>
        <w:rPr>
          <w:sz w:val="20"/>
          <w:szCs w:val="20"/>
          <w:color w:val="auto"/>
        </w:rPr>
      </w:pPr>
    </w:p>
    <w:p>
      <w:pPr>
        <w:jc w:val="both"/>
        <w:ind w:left="6"/>
        <w:spacing w:after="0" w:line="287" w:lineRule="auto"/>
        <w:rPr>
          <w:sz w:val="20"/>
          <w:szCs w:val="20"/>
          <w:color w:val="auto"/>
        </w:rPr>
      </w:pPr>
      <w:r>
        <w:rPr>
          <w:rFonts w:ascii="Times New Roman" w:cs="Times New Roman" w:eastAsia="Times New Roman" w:hAnsi="Times New Roman"/>
          <w:sz w:val="17"/>
          <w:szCs w:val="17"/>
          <w:color w:val="auto"/>
        </w:rPr>
        <w:t>The table below provides the calculation of net income, which is the performance measure that is most consistent with GAAP, and the significant operating expenses included in this performance measure (in thousands):</w:t>
      </w:r>
    </w:p>
    <w:p>
      <w:pPr>
        <w:spacing w:after="0" w:line="83"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744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r>
      <w:tr>
        <w:trPr>
          <w:trHeight w:val="217"/>
        </w:trPr>
        <w:tc>
          <w:tcPr>
            <w:tcW w:w="7440" w:type="dxa"/>
            <w:vAlign w:val="bottom"/>
            <w:tcBorders>
              <w:bottom w:val="single" w:sz="8" w:color="DDDDDD"/>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12"/>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160" w:type="dxa"/>
            <w:vAlign w:val="bottom"/>
            <w:shd w:val="clear" w:color="auto" w:fill="DDDDDD"/>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174,704</w:t>
            </w:r>
          </w:p>
        </w:tc>
        <w:tc>
          <w:tcPr>
            <w:tcW w:w="100" w:type="dxa"/>
            <w:vAlign w:val="bottom"/>
            <w:shd w:val="clear" w:color="auto" w:fill="DDDDDD"/>
          </w:tcPr>
          <w:p>
            <w:pPr>
              <w:spacing w:after="0"/>
              <w:rPr>
                <w:sz w:val="18"/>
                <w:szCs w:val="18"/>
                <w:color w:val="auto"/>
              </w:rPr>
            </w:pPr>
          </w:p>
        </w:tc>
        <w:tc>
          <w:tcPr>
            <w:tcW w:w="1160" w:type="dxa"/>
            <w:vAlign w:val="bottom"/>
            <w:shd w:val="clear" w:color="auto" w:fill="DDDDDD"/>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184,514</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(add):</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Cost of revenues</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8,833</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9,019</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38,869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40,424</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28,136</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36,426</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76,929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70,602</w:t>
            </w:r>
          </w:p>
        </w:tc>
      </w:tr>
      <w:tr>
        <w:trPr>
          <w:trHeight w:val="219"/>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13,394</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13,278</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shd w:val="clear" w:color="auto" w:fill="DDDDDD"/>
          </w:tcPr>
          <w:p>
            <w:pPr>
              <w:ind w:left="120"/>
              <w:spacing w:after="0" w:line="219" w:lineRule="exact"/>
              <w:rPr>
                <w:sz w:val="20"/>
                <w:szCs w:val="20"/>
                <w:color w:val="auto"/>
              </w:rPr>
            </w:pPr>
            <w:r>
              <w:rPr>
                <w:rFonts w:ascii="Times New Roman" w:cs="Times New Roman" w:eastAsia="Times New Roman" w:hAnsi="Times New Roman"/>
                <w:sz w:val="17"/>
                <w:szCs w:val="17"/>
                <w:color w:val="auto"/>
              </w:rPr>
              <w:t>Other non-operating expense (income), net</w:t>
            </w:r>
            <w:r>
              <w:rPr>
                <w:rFonts w:ascii="Times New Roman" w:cs="Times New Roman" w:eastAsia="Times New Roman" w:hAnsi="Times New Roman"/>
                <w:sz w:val="22"/>
                <w:szCs w:val="22"/>
                <w:color w:val="auto"/>
                <w:vertAlign w:val="superscript"/>
              </w:rPr>
              <w:t>(1)</w:t>
            </w:r>
          </w:p>
        </w:tc>
        <w:tc>
          <w:tcPr>
            <w:tcW w:w="11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2,532</w:t>
            </w:r>
          </w:p>
        </w:tc>
      </w:tr>
      <w:tr>
        <w:trPr>
          <w:trHeight w:val="219"/>
        </w:trPr>
        <w:tc>
          <w:tcPr>
            <w:tcW w:w="7440" w:type="dxa"/>
            <w:vAlign w:val="bottom"/>
            <w:tcBorders>
              <w:bottom w:val="single" w:sz="8" w:color="DDDDDD"/>
            </w:tcBorders>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bottom w:val="single" w:sz="8" w:color="DDDDDD"/>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7"/>
        </w:trPr>
        <w:tc>
          <w:tcPr>
            <w:tcW w:w="74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income</w:t>
            </w:r>
          </w:p>
        </w:tc>
        <w:tc>
          <w:tcPr>
            <w:tcW w:w="1160" w:type="dxa"/>
            <w:vAlign w:val="bottom"/>
            <w:tcBorders>
              <w:bottom w:val="single" w:sz="8" w:color="auto"/>
            </w:tcBorders>
            <w:shd w:val="clear" w:color="auto" w:fill="DDDDDD"/>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100" w:type="dxa"/>
            <w:vAlign w:val="bottom"/>
            <w:tcBorders>
              <w:bottom w:val="single" w:sz="8" w:color="DDDDDD"/>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12,187</w:t>
            </w:r>
          </w:p>
        </w:tc>
      </w:tr>
      <w:tr>
        <w:trPr>
          <w:trHeight w:val="20"/>
        </w:trPr>
        <w:tc>
          <w:tcPr>
            <w:tcW w:w="7440" w:type="dxa"/>
            <w:vAlign w:val="bottom"/>
            <w:tcBorders>
              <w:top w:val="single" w:sz="8" w:color="DDDDDD"/>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700" w:type="dxa"/>
            <w:vAlign w:val="bottom"/>
            <w:tcBorders>
              <w:top w:val="single" w:sz="8" w:color="DDDDDD"/>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86" w:hanging="86"/>
        <w:spacing w:after="0"/>
        <w:tabs>
          <w:tab w:leader="none" w:pos="86"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change in fair value of warrant liability, change in TRA liability and other non-operating income and expense.</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There are no reconciling items or adjustments between segment revenues, net income, total assets and consolidated revenues, net income, and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626745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626745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1246"/>
          </w:cols>
          <w:pgMar w:left="494" w:top="608" w:right="500" w:bottom="146"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1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for its operating leases. The Company’s operating leases consist of office space located primarily in the United States. The Company does not have any leases classified as financing leases.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related costs, net for the years ended December 31, 2025 and 2024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4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r>
      <w:tr>
        <w:trPr>
          <w:trHeight w:val="217"/>
        </w:trPr>
        <w:tc>
          <w:tcPr>
            <w:tcW w:w="7440" w:type="dxa"/>
            <w:vAlign w:val="bottom"/>
            <w:tcBorders>
              <w:bottom w:val="single" w:sz="8" w:color="DDDDDD"/>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r>
      <w:tr>
        <w:trPr>
          <w:trHeight w:val="212"/>
        </w:trPr>
        <w:tc>
          <w:tcPr>
            <w:tcW w:w="74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240" w:type="dxa"/>
            <w:vAlign w:val="bottom"/>
            <w:shd w:val="clear" w:color="auto" w:fill="DDDDDD"/>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4,453</w:t>
            </w:r>
          </w:p>
        </w:tc>
        <w:tc>
          <w:tcPr>
            <w:tcW w:w="100" w:type="dxa"/>
            <w:vAlign w:val="bottom"/>
            <w:shd w:val="clear" w:color="auto" w:fill="DDDDDD"/>
          </w:tcPr>
          <w:p>
            <w:pPr>
              <w:spacing w:after="0"/>
              <w:rPr>
                <w:sz w:val="18"/>
                <w:szCs w:val="18"/>
                <w:color w:val="auto"/>
              </w:rPr>
            </w:pPr>
          </w:p>
        </w:tc>
        <w:tc>
          <w:tcPr>
            <w:tcW w:w="1260" w:type="dxa"/>
            <w:vAlign w:val="bottom"/>
            <w:shd w:val="clear" w:color="auto" w:fill="DDDDDD"/>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5,482</w:t>
            </w:r>
          </w:p>
        </w:tc>
      </w:tr>
      <w:tr>
        <w:trPr>
          <w:trHeight w:val="219"/>
        </w:trPr>
        <w:tc>
          <w:tcPr>
            <w:tcW w:w="744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00" w:type="dxa"/>
            <w:vAlign w:val="bottom"/>
            <w:tcBorders>
              <w:bottom w:val="single" w:sz="8" w:color="DDDDDD"/>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w:t>
            </w:r>
          </w:p>
        </w:tc>
      </w:tr>
      <w:tr>
        <w:trPr>
          <w:trHeight w:val="212"/>
        </w:trPr>
        <w:tc>
          <w:tcPr>
            <w:tcW w:w="74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Operating lease cost</w:t>
            </w:r>
          </w:p>
        </w:tc>
        <w:tc>
          <w:tcPr>
            <w:tcW w:w="1240" w:type="dxa"/>
            <w:vAlign w:val="bottom"/>
            <w:shd w:val="clear" w:color="auto" w:fill="DDDDDD"/>
          </w:tcPr>
          <w:p>
            <w:pPr>
              <w:spacing w:after="0"/>
              <w:rPr>
                <w:sz w:val="18"/>
                <w:szCs w:val="18"/>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6,321</w:t>
            </w:r>
          </w:p>
        </w:tc>
        <w:tc>
          <w:tcPr>
            <w:tcW w:w="100" w:type="dxa"/>
            <w:vAlign w:val="bottom"/>
            <w:shd w:val="clear" w:color="auto" w:fill="DDDDDD"/>
          </w:tcPr>
          <w:p>
            <w:pPr>
              <w:spacing w:after="0"/>
              <w:rPr>
                <w:sz w:val="18"/>
                <w:szCs w:val="18"/>
                <w:color w:val="auto"/>
              </w:rPr>
            </w:pPr>
          </w:p>
        </w:tc>
        <w:tc>
          <w:tcPr>
            <w:tcW w:w="1260" w:type="dxa"/>
            <w:vAlign w:val="bottom"/>
            <w:shd w:val="clear" w:color="auto" w:fill="DDDDDD"/>
          </w:tcPr>
          <w:p>
            <w:pPr>
              <w:spacing w:after="0"/>
              <w:rPr>
                <w:sz w:val="18"/>
                <w:szCs w:val="18"/>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7,789</w:t>
            </w:r>
          </w:p>
        </w:tc>
      </w:tr>
      <w:tr>
        <w:trPr>
          <w:trHeight w:val="219"/>
        </w:trPr>
        <w:tc>
          <w:tcPr>
            <w:tcW w:w="744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Borders>
              <w:bottom w:val="single" w:sz="8" w:color="DDDDDD"/>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7"/>
        </w:trPr>
        <w:tc>
          <w:tcPr>
            <w:tcW w:w="7440" w:type="dxa"/>
            <w:vAlign w:val="bottom"/>
            <w:tcBorders>
              <w:bottom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Total lease cost, net</w:t>
            </w:r>
          </w:p>
        </w:tc>
        <w:tc>
          <w:tcPr>
            <w:tcW w:w="1240" w:type="dxa"/>
            <w:vAlign w:val="bottom"/>
            <w:tcBorders>
              <w:bottom w:val="single" w:sz="8" w:color="auto"/>
            </w:tcBorders>
            <w:shd w:val="clear" w:color="auto" w:fill="DDDDDD"/>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6,614</w:t>
            </w:r>
          </w:p>
        </w:tc>
        <w:tc>
          <w:tcPr>
            <w:tcW w:w="100" w:type="dxa"/>
            <w:vAlign w:val="bottom"/>
            <w:tcBorders>
              <w:bottom w:val="single" w:sz="8" w:color="DDDDDD"/>
            </w:tcBorders>
            <w:shd w:val="clear" w:color="auto" w:fill="DDDDDD"/>
          </w:tcPr>
          <w:p>
            <w:pPr>
              <w:spacing w:after="0"/>
              <w:rPr>
                <w:sz w:val="20"/>
                <w:szCs w:val="20"/>
                <w:color w:val="auto"/>
              </w:rPr>
            </w:pPr>
          </w:p>
        </w:tc>
        <w:tc>
          <w:tcPr>
            <w:tcW w:w="1260" w:type="dxa"/>
            <w:vAlign w:val="bottom"/>
            <w:tcBorders>
              <w:bottom w:val="single" w:sz="8" w:color="auto"/>
            </w:tcBorders>
            <w:shd w:val="clear" w:color="auto" w:fill="DDDDDD"/>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7,895</w:t>
            </w:r>
          </w:p>
        </w:tc>
      </w:tr>
      <w:tr>
        <w:trPr>
          <w:trHeight w:val="20"/>
        </w:trPr>
        <w:tc>
          <w:tcPr>
            <w:tcW w:w="7440" w:type="dxa"/>
            <w:vAlign w:val="bottom"/>
            <w:tcBorders>
              <w:top w:val="single" w:sz="8" w:color="DDDDDD"/>
            </w:tcBorders>
          </w:tcPr>
          <w:p>
            <w:pPr>
              <w:spacing w:after="0" w:line="20" w:lineRule="exact"/>
              <w:rPr>
                <w:sz w:val="1"/>
                <w:szCs w:val="1"/>
                <w:color w:val="auto"/>
              </w:rPr>
            </w:pPr>
          </w:p>
        </w:tc>
        <w:tc>
          <w:tcPr>
            <w:tcW w:w="1240" w:type="dxa"/>
            <w:vAlign w:val="bottom"/>
            <w:tcBorders>
              <w:top w:val="single" w:sz="8" w:color="DDDDDD"/>
              <w:bottom w:val="single" w:sz="8" w:color="auto"/>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rent expense is included in general and administrative expense in the accompanying consolidated statements of operations. During the years ended December 31, 2025 and 2024, the Company made cash payments of $6.4 million and $9.0 million, respectively, on its operating leases, all of which were included in cash flows from operating activities within the consolidated statements of cash flows.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Sublease rental income is recognized as a reduction to the related lease expense on a straight-line basis over the sublease term. For the years ended December 31, 2025 and 2024, the Company recorded rent income related to a sublease of $0.9 million and $1.3 million, respectively. The sublease income for the year ended December 31, 2024 was related to a sublease agreement with an affiliate of the Chief Executive Officer. See Note 16, “Related Party Transactions,” to these consolidated financial statements for additional information.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2025, future minimum payments for the next five years and thereafter are as follows (in thousands):</w:t>
            </w:r>
          </w:p>
        </w:tc>
        <w:tc>
          <w:tcPr>
            <w:tcW w:w="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96"/>
        </w:trPr>
        <w:tc>
          <w:tcPr>
            <w:tcW w:w="9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Operating</w:t>
            </w:r>
          </w:p>
        </w:tc>
      </w:tr>
      <w:tr>
        <w:trPr>
          <w:trHeight w:val="235"/>
        </w:trPr>
        <w:tc>
          <w:tcPr>
            <w:tcW w:w="9140" w:type="dxa"/>
            <w:vAlign w:val="bottom"/>
            <w:tcBorders>
              <w:bottom w:val="single" w:sz="8" w:color="DDDDDD"/>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Leases</w:t>
            </w:r>
          </w:p>
        </w:tc>
      </w:tr>
      <w:tr>
        <w:trPr>
          <w:trHeight w:val="206"/>
        </w:trPr>
        <w:tc>
          <w:tcPr>
            <w:tcW w:w="9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Years Ending December 31,</w:t>
            </w:r>
          </w:p>
        </w:tc>
        <w:tc>
          <w:tcPr>
            <w:tcW w:w="400" w:type="dxa"/>
            <w:vAlign w:val="bottom"/>
            <w:shd w:val="clear" w:color="auto" w:fill="DDDDDD"/>
          </w:tcPr>
          <w:p>
            <w:pPr>
              <w:spacing w:after="0"/>
              <w:rPr>
                <w:sz w:val="17"/>
                <w:szCs w:val="17"/>
                <w:color w:val="auto"/>
              </w:rPr>
            </w:pPr>
          </w:p>
        </w:tc>
        <w:tc>
          <w:tcPr>
            <w:tcW w:w="1700" w:type="dxa"/>
            <w:vAlign w:val="bottom"/>
            <w:shd w:val="clear" w:color="auto" w:fill="DDDDDD"/>
          </w:tcPr>
          <w:p>
            <w:pPr>
              <w:spacing w:after="0"/>
              <w:rPr>
                <w:sz w:val="17"/>
                <w:szCs w:val="17"/>
                <w:color w:val="auto"/>
              </w:rPr>
            </w:pPr>
          </w:p>
        </w:tc>
      </w:tr>
      <w:tr>
        <w:trPr>
          <w:trHeight w:val="219"/>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6,395</w:t>
            </w:r>
          </w:p>
        </w:tc>
      </w:tr>
      <w:tr>
        <w:trPr>
          <w:trHeight w:val="219"/>
        </w:trPr>
        <w:tc>
          <w:tcPr>
            <w:tcW w:w="9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shd w:val="clear" w:color="auto" w:fill="DDDDDD"/>
          </w:tcPr>
          <w:p>
            <w:pPr>
              <w:spacing w:after="0"/>
              <w:rPr>
                <w:sz w:val="19"/>
                <w:szCs w:val="19"/>
                <w:color w:val="auto"/>
              </w:rPr>
            </w:pPr>
          </w:p>
        </w:tc>
        <w:tc>
          <w:tcPr>
            <w:tcW w:w="1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6,590</w:t>
            </w:r>
          </w:p>
        </w:tc>
      </w:tr>
      <w:tr>
        <w:trPr>
          <w:trHeight w:val="219"/>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6,791</w:t>
            </w:r>
          </w:p>
        </w:tc>
      </w:tr>
      <w:tr>
        <w:trPr>
          <w:trHeight w:val="219"/>
        </w:trPr>
        <w:tc>
          <w:tcPr>
            <w:tcW w:w="9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00" w:type="dxa"/>
            <w:vAlign w:val="bottom"/>
            <w:shd w:val="clear" w:color="auto" w:fill="DDDDDD"/>
          </w:tcPr>
          <w:p>
            <w:pPr>
              <w:spacing w:after="0"/>
              <w:rPr>
                <w:sz w:val="19"/>
                <w:szCs w:val="19"/>
                <w:color w:val="auto"/>
              </w:rPr>
            </w:pPr>
          </w:p>
        </w:tc>
        <w:tc>
          <w:tcPr>
            <w:tcW w:w="1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7,001</w:t>
            </w:r>
          </w:p>
        </w:tc>
      </w:tr>
      <w:tr>
        <w:trPr>
          <w:trHeight w:val="219"/>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6,272</w:t>
            </w:r>
          </w:p>
        </w:tc>
      </w:tr>
      <w:tr>
        <w:trPr>
          <w:trHeight w:val="219"/>
        </w:trPr>
        <w:tc>
          <w:tcPr>
            <w:tcW w:w="9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auto"/>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12"/>
        </w:trPr>
        <w:tc>
          <w:tcPr>
            <w:tcW w:w="9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34,068</w:t>
            </w:r>
          </w:p>
        </w:tc>
      </w:tr>
      <w:tr>
        <w:trPr>
          <w:trHeight w:val="219"/>
        </w:trPr>
        <w:tc>
          <w:tcPr>
            <w:tcW w:w="9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400" w:type="dxa"/>
            <w:vAlign w:val="bottom"/>
            <w:tcBorders>
              <w:bottom w:val="single" w:sz="8" w:color="auto"/>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(7,515)</w:t>
            </w:r>
          </w:p>
        </w:tc>
      </w:tr>
      <w:tr>
        <w:trPr>
          <w:trHeight w:val="212"/>
        </w:trPr>
        <w:tc>
          <w:tcPr>
            <w:tcW w:w="9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26,553</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and 2024, the Company’s operating leases had a weighted average remaining lease term of 5.0 years and 6.0 years and a weighted-average discount rate of 9.98% and 9.98%, respectively.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the Company tests the asset group for recoverability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584835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584835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1240"/>
          </w:cols>
          <w:pgMar w:left="500" w:top="608" w:right="500" w:bottom="146"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did not have any ROU asset impairment charges for the years ended December 31, 2025 and 2024. The ROU impairment charges are included in asset impairment charges in the consolidated statements of operations.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$3.0 million and the related non-cash ROU asset of $3.0 million. The lease classification remained as an operating lease. The Company also paid $0.1 million to terminate a lease agreement for one of the offices. In conjunction with the early lease termination, the Company reported a gain of $0.1 million which is recognized as a reduction to the related lease expense. The Company also de-recognized the remaining ROU asset of $0.2 million and a lease liability of $0.4 million on the consolidated balance sheet related to early lease termination.</w:t>
      </w:r>
    </w:p>
    <w:p>
      <w:pPr>
        <w:spacing w:after="0" w:line="7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On October 17, 2024, a putative shareholder class action complaint, captioned </w:t>
      </w:r>
      <w:r>
        <w:rPr>
          <w:rFonts w:ascii="Times New Roman" w:cs="Times New Roman" w:eastAsia="Times New Roman" w:hAnsi="Times New Roman"/>
          <w:sz w:val="17"/>
          <w:szCs w:val="17"/>
          <w:i w:val="1"/>
          <w:iCs w:val="1"/>
          <w:color w:val="auto"/>
        </w:rPr>
        <w:t>Seret Ishak v. WM Technology, Inc. et al</w:t>
      </w:r>
      <w:r>
        <w:rPr>
          <w:rFonts w:ascii="Times New Roman" w:cs="Times New Roman" w:eastAsia="Times New Roman" w:hAnsi="Times New Roman"/>
          <w:sz w:val="17"/>
          <w:szCs w:val="17"/>
          <w:color w:val="auto"/>
        </w:rPr>
        <w:t>., Case No. 2:24-cv-08959 (the “Securities Class Action”), was filed in the U.S. District Court for the Central District of California, naming the Company and certain former and current officers and/or directors of the Company and Silver Spike as defendants. The lawsuit alleges that the Company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the Company’s securities between May 25, 2021, and September 24, 2024, inclusive, and seeks unspecified monetary damages on behalf of the putative class and an award of costs and expenses, including attorneys’ fees. On May 12, 2025, the plaintiffs filed an amended class action complaint. On July 11, 2025, the defendants moved to dismiss the plaintiffs’ amended class action complaint. On February 12, 2026, the parties filed a notice of settlement stating that they had reached an agreement in principle to fully settle all pending claims in the action and requesting the court to not rule on the pending motions to dismiss as they were now moot. On February 13, 2026, the court denied as moot the motions to dismiss and ordered lead plaintiff to file a motion for preliminary approval of the settlement by April 13, 2026. The settlement remains subject to approval by the court and certain other conditions and contingencies out of our control. There can be no guarantee that all of these conditions and contingencies will occur. Should a material condition or contingency to the settlement fail to occur, one or both of the parties to the settlement may exercise their right to terminate the settlement agreement. The Company recorded an accrued liability of $2.8 million related to this preliminary settlement agreement, representing management's reasonable estimate of its settlement obligation. This liability is included in accounts payable and accrued expenses as of December 31, 2025 in the consolidated balance sheets, with the corresponding expense recognized for the year ended December 31, 2025 in general and administrative expense in the consolidated statement of operations.</w:t>
      </w:r>
    </w:p>
    <w:p>
      <w:pPr>
        <w:spacing w:after="0" w:line="2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On November 8, 2024, a shareholder derivative action, captioned </w:t>
      </w:r>
      <w:r>
        <w:rPr>
          <w:rFonts w:ascii="Times New Roman" w:cs="Times New Roman" w:eastAsia="Times New Roman" w:hAnsi="Times New Roman"/>
          <w:sz w:val="17"/>
          <w:szCs w:val="17"/>
          <w:i w:val="1"/>
          <w:iCs w:val="1"/>
          <w:color w:val="auto"/>
        </w:rPr>
        <w:t>DeGennaro v. Francis, et. al</w:t>
      </w:r>
      <w:r>
        <w:rPr>
          <w:rFonts w:ascii="Times New Roman" w:cs="Times New Roman" w:eastAsia="Times New Roman" w:hAnsi="Times New Roman"/>
          <w:sz w:val="17"/>
          <w:szCs w:val="17"/>
          <w:color w:val="auto"/>
        </w:rPr>
        <w:t>, Case No. 8:24-cv-02454 (the “DeGennaro Action”), was filed in the U.S. District Court for the Central District of California against certain members of the Company’s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601345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601345</wp:posOffset>
            </wp:positionV>
            <wp:extent cx="336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1240"/>
          </w:cols>
          <w:pgMar w:left="500" w:top="608" w:right="500" w:bottom="146"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restitution, corporate governance reforms, declaratory relief, and an award of costs and expenses to the derivative plaintiff, including attorneys’ fees.</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Further, on November 18, 2024, a shareholder derivative action, captioned </w:t>
      </w:r>
      <w:r>
        <w:rPr>
          <w:rFonts w:ascii="Times New Roman" w:cs="Times New Roman" w:eastAsia="Times New Roman" w:hAnsi="Times New Roman"/>
          <w:sz w:val="17"/>
          <w:szCs w:val="17"/>
          <w:i w:val="1"/>
          <w:iCs w:val="1"/>
          <w:color w:val="auto"/>
        </w:rPr>
        <w:t>Pearson v. Francis, et. al</w:t>
      </w:r>
      <w:r>
        <w:rPr>
          <w:rFonts w:ascii="Times New Roman" w:cs="Times New Roman" w:eastAsia="Times New Roman" w:hAnsi="Times New Roman"/>
          <w:sz w:val="17"/>
          <w:szCs w:val="17"/>
          <w:color w:val="auto"/>
        </w:rPr>
        <w:t>, Case No. 8:24-cv-02525 (the “Pearson Action”), was filed in the U.S. District Court for the Central District of California against certain former and current members of the Company’s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 14(a) of the Exchange Act and Rule 14a-9 promulgated thereunder, as well as claims for breach of fiduciary duty, unjust enrichment, abuse of control, gross mismanagement, waste of corporate assets, and contribution under Sections 10(b) and 21D of the Exchange Act. The derivative complaint seeks unspecified damages on behalf of the Company, restitution, corporate governance reforms, declaratory relief, and an award of costs and expenses to the derivative plaintiff, including attorneys’ fees. On December 10, 2024, the U.S. District Court of the Central District of California issued an order consolidating the DeGennaro Action and the Pearson Action (the “Consolidated Derivative Action”). On October 3, 2025, the court granted the parties’ joint stipulation to stay the Consolidated Derivative Action until resolution of the motions to dismiss the Securities Class Action discussed above. On February 17, 2026, in light of the notice of settlement in the Securities Class Action and the denial of the motions to dismiss as moot, the court ordered the parties to show cause regarding the continued stay of the Consolidated Derivative Action. On February 25, 2026, the court extended the stay to April 10, 2026 to provide the parties additional time to discuss a potential resolution to the Consolidated Derivative Action, pursuant to a court-entered stipulation by the parties. At this early stage of the proceedings, the Company is unable to make any prediction regarding the outcome of the litigation.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 Matter</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purchase obligations consist of agreements to purchase goods and services entered into in the ordinary course of business. The Company has non-cancelable purchase obligation agreements primarily relating to contracts with vendors in connection with Information Technology (“IT”) infrastructure and cloud computing services.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minimum outstanding purchase obligations of $7.5 million in 2026 due under software license agreement related to the remaining period of the three-year AWS Enterprise agreement. The Company has an obligation to pay the shortfall if it does not meet the specified minimum purchase obligations. During the year ended December 31, 2025, the Company performed a review of its cloud infrastructure strategy prompted by a downward revision in forecasted server cost spend for the full fiscal year 2025 and 2026. The lower spend identified was attributable to server management optimization and efficiencies implemented during 2024 and 2025 and discounts received on prepayments under the AWS agreement.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600075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600075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1240"/>
          </w:cols>
          <w:pgMar w:left="500" w:top="608" w:right="500" w:bottom="146"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revised forecast, the Company identified a probable shortfall in the minimum purchase obligation of approximately $2.3 million.</w:t>
      </w:r>
    </w:p>
    <w:p>
      <w:pPr>
        <w:spacing w:after="0" w:line="1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Under ASC 450 –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the Company evaluated whether a loss contingency should be recognized for non-cancellable commitments that will not provide future economic benefits. The Company determined that the unused portion of the AWS minimum commitment obligation is not probable of being recovered through usage or other means, and as such recorded a loss contingency of $2.3 million in the year ended December 31, 2025, which is included in general and administrative expense in the consolidated statement of operations. As of December 31, 2025, the Company recorded amounts due to AWS of $2.3 million which is included in accounts payable and accrued expenses in these consolidated balance sheet.</w:t>
      </w:r>
    </w:p>
    <w:p>
      <w:pPr>
        <w:spacing w:after="0" w:line="6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11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in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for its financial assets and liabilities that are re-measured and reported at fair value at each reporting period.</w:t>
      </w:r>
    </w:p>
    <w:p>
      <w:pPr>
        <w:spacing w:after="0" w:line="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 w:lineRule="exact"/>
        <w:rPr>
          <w:sz w:val="20"/>
          <w:szCs w:val="20"/>
          <w:color w:val="auto"/>
        </w:rPr>
      </w:pPr>
    </w:p>
    <w:p>
      <w:pPr>
        <w:ind w:left="620" w:hanging="316"/>
        <w:spacing w:after="0" w:line="284" w:lineRule="auto"/>
        <w:tabs>
          <w:tab w:leader="none" w:pos="6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7"/>
          <w:szCs w:val="17"/>
          <w:color w:val="auto"/>
        </w:rPr>
      </w:pPr>
    </w:p>
    <w:p>
      <w:pPr>
        <w:ind w:left="620" w:right="20" w:hanging="316"/>
        <w:spacing w:after="0" w:line="284" w:lineRule="auto"/>
        <w:tabs>
          <w:tab w:leader="none" w:pos="6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based on the Company assessment of the assumptions that market participants would use in pricing the asset or liability.</w:t>
      </w:r>
    </w:p>
    <w:p>
      <w:pPr>
        <w:spacing w:after="0" w:line="1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are measured at fair value on a recurring basis at December 31, 2025 and 2024, and indicates the fair value hierarchy of the valuation inputs the Company utilized to determine such fair value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2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22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40" w:type="dxa"/>
            <w:vAlign w:val="bottom"/>
          </w:tcPr>
          <w:p>
            <w:pPr>
              <w:spacing w:after="0"/>
              <w:rPr>
                <w:sz w:val="20"/>
                <w:szCs w:val="20"/>
                <w:color w:val="auto"/>
              </w:rPr>
            </w:pP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04"/>
        </w:trPr>
        <w:tc>
          <w:tcPr>
            <w:tcW w:w="482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8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220" w:type="dxa"/>
            <w:vAlign w:val="bottom"/>
            <w:tcBorders>
              <w:top w:val="single" w:sz="8" w:color="auto"/>
            </w:tcBorders>
            <w:shd w:val="clear" w:color="auto" w:fill="DDDDDD"/>
          </w:tcPr>
          <w:p>
            <w:pPr>
              <w:spacing w:after="0"/>
              <w:rPr>
                <w:sz w:val="17"/>
                <w:szCs w:val="17"/>
                <w:color w:val="auto"/>
              </w:rPr>
            </w:pPr>
          </w:p>
        </w:tc>
        <w:tc>
          <w:tcPr>
            <w:tcW w:w="186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auto"/>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spacing w:after="0"/>
              <w:rPr>
                <w:sz w:val="17"/>
                <w:szCs w:val="17"/>
                <w:color w:val="auto"/>
              </w:rPr>
            </w:pPr>
          </w:p>
        </w:tc>
        <w:tc>
          <w:tcPr>
            <w:tcW w:w="1860" w:type="dxa"/>
            <w:vAlign w:val="bottom"/>
            <w:tcBorders>
              <w:top w:val="single" w:sz="8" w:color="auto"/>
            </w:tcBorders>
            <w:shd w:val="clear" w:color="auto" w:fill="DDDDDD"/>
          </w:tcPr>
          <w:p>
            <w:pPr>
              <w:spacing w:after="0"/>
              <w:rPr>
                <w:sz w:val="17"/>
                <w:szCs w:val="17"/>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U.S. Treasury Bills</w:t>
            </w:r>
          </w:p>
        </w:tc>
        <w:tc>
          <w:tcPr>
            <w:tcW w:w="20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9,936</w:t>
            </w:r>
          </w:p>
        </w:tc>
        <w:tc>
          <w:tcPr>
            <w:tcW w:w="80" w:type="dxa"/>
            <w:vAlign w:val="bottom"/>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cash equivalents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820" w:type="dxa"/>
            <w:vAlign w:val="bottom"/>
            <w:tcBorders>
              <w:bottom w:val="single" w:sz="8" w:color="DDDDDD"/>
            </w:tcBorders>
          </w:tcPr>
          <w:p>
            <w:pPr>
              <w:spacing w:after="0" w:line="20" w:lineRule="exact"/>
              <w:rPr>
                <w:sz w:val="1"/>
                <w:szCs w:val="1"/>
                <w:color w:val="auto"/>
              </w:rPr>
            </w:pPr>
          </w:p>
        </w:tc>
        <w:tc>
          <w:tcPr>
            <w:tcW w:w="2080" w:type="dxa"/>
            <w:vAlign w:val="bottom"/>
            <w:tcBorders>
              <w:bottom w:val="single" w:sz="8" w:color="DDDDDD"/>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1"/>
        </w:trPr>
        <w:tc>
          <w:tcPr>
            <w:tcW w:w="4820" w:type="dxa"/>
            <w:vAlign w:val="bottom"/>
            <w:shd w:val="clear" w:color="auto" w:fill="DDDDDD"/>
          </w:tcPr>
          <w:p>
            <w:pPr>
              <w:spacing w:after="0"/>
              <w:rPr>
                <w:sz w:val="18"/>
                <w:szCs w:val="18"/>
                <w:color w:val="auto"/>
              </w:rPr>
            </w:pPr>
          </w:p>
        </w:tc>
        <w:tc>
          <w:tcPr>
            <w:tcW w:w="20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8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860" w:type="dxa"/>
            <w:vAlign w:val="bottom"/>
            <w:shd w:val="clear" w:color="auto" w:fill="DDDDDD"/>
          </w:tcPr>
          <w:p>
            <w:pPr>
              <w:spacing w:after="0"/>
              <w:rPr>
                <w:sz w:val="18"/>
                <w:szCs w:val="18"/>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9"/>
        </w:trPr>
        <w:tc>
          <w:tcPr>
            <w:tcW w:w="48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Warrant liability – Public Warrants</w:t>
            </w:r>
          </w:p>
        </w:tc>
        <w:tc>
          <w:tcPr>
            <w:tcW w:w="20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19"/>
        </w:trPr>
        <w:tc>
          <w:tcPr>
            <w:tcW w:w="48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Warrant liability – Private Placement Warrants</w:t>
            </w:r>
          </w:p>
        </w:tc>
        <w:tc>
          <w:tcPr>
            <w:tcW w:w="2080" w:type="dxa"/>
            <w:vAlign w:val="bottom"/>
            <w:tcBorders>
              <w:bottom w:val="single" w:sz="8" w:color="DDDDDD"/>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8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DDDDD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37"/>
        </w:trPr>
        <w:tc>
          <w:tcPr>
            <w:tcW w:w="4820" w:type="dxa"/>
            <w:vAlign w:val="bottom"/>
            <w:tcBorders>
              <w:bottom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Total warrant liability</w:t>
            </w:r>
          </w:p>
        </w:tc>
        <w:tc>
          <w:tcPr>
            <w:tcW w:w="208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585</w:t>
            </w:r>
          </w:p>
        </w:tc>
      </w:tr>
      <w:tr>
        <w:trPr>
          <w:trHeight w:val="20"/>
        </w:trPr>
        <w:tc>
          <w:tcPr>
            <w:tcW w:w="4820" w:type="dxa"/>
            <w:vAlign w:val="bottom"/>
            <w:tcBorders>
              <w:top w:val="single" w:sz="8" w:color="DDDDDD"/>
            </w:tcBorders>
          </w:tcPr>
          <w:p>
            <w:pPr>
              <w:spacing w:after="0" w:line="20" w:lineRule="exact"/>
              <w:rPr>
                <w:sz w:val="1"/>
                <w:szCs w:val="1"/>
                <w:color w:val="auto"/>
              </w:rPr>
            </w:pPr>
          </w:p>
        </w:tc>
        <w:tc>
          <w:tcPr>
            <w:tcW w:w="208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8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86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-1333500</wp:posOffset>
            </wp:positionV>
            <wp:extent cx="571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-1333500</wp:posOffset>
            </wp:positionV>
            <wp:extent cx="5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equivalents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2025 and 2024, the carrying amount of cash equivalents held in the Company’s investment account was equal to or approximated fair value due to their short-term nature and proximity to current market rates.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584835</wp:posOffset>
            </wp:positionV>
            <wp:extent cx="3365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584835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1240"/>
          </w:cols>
          <w:pgMar w:left="500" w:top="608" w:right="500" w:bottom="146" w:gutter="0" w:footer="0" w:header="0"/>
          <w:type w:val="continuous"/>
        </w:sectPr>
      </w:pPr>
    </w:p>
    <w:bookmarkStart w:id="101" w:name="page102"/>
    <w:bookmarkEnd w:id="101"/>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consist of cash and highly liquid investments that are readily convertible into cash and have original maturities of three months or less at the date of purchase.</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liabilities</w:t>
      </w:r>
    </w:p>
    <w:p>
      <w:pPr>
        <w:spacing w:after="0" w:line="1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following tables summarize the changes in the fair value of the warrant liabilities (in thousands):</w:t>
      </w:r>
    </w:p>
    <w:p>
      <w:pPr>
        <w:spacing w:after="0" w:line="45"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7"/>
                <w:szCs w:val="17"/>
                <w:b w:val="1"/>
                <w:bCs w:val="1"/>
                <w:color w:val="auto"/>
                <w:w w:val="99"/>
              </w:rPr>
              <w:t>Year Ended December 31, 2025</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60" w:type="dxa"/>
            <w:vAlign w:val="bottom"/>
          </w:tcPr>
          <w:p>
            <w:pPr>
              <w:spacing w:after="0"/>
              <w:rPr>
                <w:sz w:val="13"/>
                <w:szCs w:val="13"/>
                <w:color w:val="auto"/>
              </w:rPr>
            </w:pPr>
          </w:p>
        </w:tc>
        <w:tc>
          <w:tcPr>
            <w:tcW w:w="1080" w:type="dxa"/>
            <w:vAlign w:val="bottom"/>
          </w:tcPr>
          <w:p>
            <w:pPr>
              <w:jc w:val="center"/>
              <w:ind w:right="274"/>
              <w:spacing w:after="0" w:line="155" w:lineRule="exact"/>
              <w:rPr>
                <w:sz w:val="20"/>
                <w:szCs w:val="20"/>
                <w:color w:val="auto"/>
              </w:rPr>
            </w:pPr>
            <w:r>
              <w:rPr>
                <w:rFonts w:ascii="Times New Roman" w:cs="Times New Roman" w:eastAsia="Times New Roman" w:hAnsi="Times New Roman"/>
                <w:sz w:val="17"/>
                <w:szCs w:val="17"/>
                <w:b w:val="1"/>
                <w:bCs w:val="1"/>
                <w:color w:val="auto"/>
                <w:w w:val="99"/>
              </w:rPr>
              <w:t>Warrant</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360" w:type="dxa"/>
            <w:vAlign w:val="bottom"/>
          </w:tcPr>
          <w:p>
            <w:pPr>
              <w:spacing w:after="0"/>
              <w:rPr>
                <w:sz w:val="20"/>
                <w:szCs w:val="20"/>
                <w:color w:val="auto"/>
              </w:rPr>
            </w:pPr>
          </w:p>
        </w:tc>
        <w:tc>
          <w:tcPr>
            <w:tcW w:w="1080" w:type="dxa"/>
            <w:vAlign w:val="bottom"/>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0" w:type="dxa"/>
            <w:vAlign w:val="bottom"/>
          </w:tcPr>
          <w:p>
            <w:pPr>
              <w:spacing w:after="0"/>
              <w:rPr>
                <w:sz w:val="1"/>
                <w:szCs w:val="1"/>
                <w:color w:val="auto"/>
              </w:rPr>
            </w:pPr>
          </w:p>
        </w:tc>
      </w:tr>
      <w:tr>
        <w:trPr>
          <w:trHeight w:val="217"/>
        </w:trPr>
        <w:tc>
          <w:tcPr>
            <w:tcW w:w="676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DDDDDD"/>
          </w:tcPr>
          <w:p>
            <w:pPr>
              <w:ind w:left="1000"/>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tcBorders>
              <w:top w:val="single" w:sz="8" w:color="DDDDDD"/>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DDDDDD"/>
            </w:tcBorders>
            <w:shd w:val="clear" w:color="auto" w:fill="DDDDDD"/>
          </w:tcPr>
          <w:p>
            <w:pPr>
              <w:spacing w:after="0"/>
              <w:rPr>
                <w:sz w:val="18"/>
                <w:szCs w:val="18"/>
                <w:color w:val="auto"/>
              </w:rPr>
            </w:pPr>
          </w:p>
        </w:tc>
        <w:tc>
          <w:tcPr>
            <w:tcW w:w="360" w:type="dxa"/>
            <w:vAlign w:val="bottom"/>
            <w:tcBorders>
              <w:top w:val="single" w:sz="8" w:color="auto"/>
            </w:tcBorders>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DDDDDD"/>
          </w:tcPr>
          <w:p>
            <w:pPr>
              <w:jc w:val="center"/>
              <w:ind w:left="594"/>
              <w:spacing w:after="0"/>
              <w:rPr>
                <w:sz w:val="20"/>
                <w:szCs w:val="20"/>
                <w:color w:val="auto"/>
              </w:rPr>
            </w:pPr>
            <w:r>
              <w:rPr>
                <w:rFonts w:ascii="Times New Roman" w:cs="Times New Roman" w:eastAsia="Times New Roman" w:hAnsi="Times New Roman"/>
                <w:sz w:val="17"/>
                <w:szCs w:val="17"/>
                <w:color w:val="auto"/>
                <w:w w:val="93"/>
              </w:rPr>
              <w:t>585</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Borders>
              <w:bottom w:val="single" w:sz="8" w:color="DDDDD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DDDDDD"/>
          </w:tcPr>
          <w:p>
            <w:pPr>
              <w:ind w:left="1000"/>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DDDDDD"/>
          </w:tcPr>
          <w:p>
            <w:pPr>
              <w:jc w:val="center"/>
              <w:ind w:left="574"/>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0"/>
        </w:trPr>
        <w:tc>
          <w:tcPr>
            <w:tcW w:w="676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-466090</wp:posOffset>
            </wp:positionV>
            <wp:extent cx="571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w w:val="99"/>
              </w:rPr>
              <w:t>Year Ended December 31, 2024</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60" w:type="dxa"/>
            <w:vAlign w:val="bottom"/>
          </w:tcPr>
          <w:p>
            <w:pPr>
              <w:spacing w:after="0"/>
              <w:rPr>
                <w:sz w:val="13"/>
                <w:szCs w:val="13"/>
                <w:color w:val="auto"/>
              </w:rPr>
            </w:pPr>
          </w:p>
        </w:tc>
        <w:tc>
          <w:tcPr>
            <w:tcW w:w="108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360" w:type="dxa"/>
            <w:vAlign w:val="bottom"/>
          </w:tcPr>
          <w:p>
            <w:pPr>
              <w:spacing w:after="0"/>
              <w:rPr>
                <w:sz w:val="20"/>
                <w:szCs w:val="20"/>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6"/>
              </w:rPr>
              <w:t>Liabilities</w:t>
            </w:r>
          </w:p>
        </w:tc>
        <w:tc>
          <w:tcPr>
            <w:tcW w:w="0" w:type="dxa"/>
            <w:vAlign w:val="bottom"/>
          </w:tcPr>
          <w:p>
            <w:pPr>
              <w:spacing w:after="0"/>
              <w:rPr>
                <w:sz w:val="1"/>
                <w:szCs w:val="1"/>
                <w:color w:val="auto"/>
              </w:rPr>
            </w:pPr>
          </w:p>
        </w:tc>
      </w:tr>
      <w:tr>
        <w:trPr>
          <w:trHeight w:val="217"/>
        </w:trPr>
        <w:tc>
          <w:tcPr>
            <w:tcW w:w="676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tcBorders>
              <w:top w:val="single" w:sz="8" w:color="DDDDDD"/>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DDDDDD"/>
            </w:tcBorders>
            <w:shd w:val="clear" w:color="auto" w:fill="DDDDDD"/>
          </w:tcPr>
          <w:p>
            <w:pPr>
              <w:spacing w:after="0"/>
              <w:rPr>
                <w:sz w:val="18"/>
                <w:szCs w:val="18"/>
                <w:color w:val="auto"/>
              </w:rPr>
            </w:pPr>
          </w:p>
        </w:tc>
        <w:tc>
          <w:tcPr>
            <w:tcW w:w="360" w:type="dxa"/>
            <w:vAlign w:val="bottom"/>
            <w:tcBorders>
              <w:top w:val="single" w:sz="8" w:color="auto"/>
            </w:tcBorders>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760" w:type="dxa"/>
            <w:vAlign w:val="bottom"/>
            <w:tcBorders>
              <w:top w:val="single" w:sz="8" w:color="DDDDDD"/>
              <w:bottom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tcBorders>
              <w:top w:val="single" w:sz="8" w:color="DDDDDD"/>
              <w:bottom w:val="single" w:sz="8" w:color="DDDDDD"/>
            </w:tcBorders>
            <w:shd w:val="clear" w:color="auto" w:fill="DDDDDD"/>
          </w:tcPr>
          <w:p>
            <w:pPr>
              <w:spacing w:after="0"/>
              <w:rPr>
                <w:sz w:val="20"/>
                <w:szCs w:val="20"/>
                <w:color w:val="auto"/>
              </w:rPr>
            </w:pPr>
          </w:p>
        </w:tc>
        <w:tc>
          <w:tcPr>
            <w:tcW w:w="240" w:type="dxa"/>
            <w:vAlign w:val="bottom"/>
            <w:tcBorders>
              <w:top w:val="single" w:sz="8" w:color="auto"/>
              <w:bottom w:val="single" w:sz="8" w:color="auto"/>
            </w:tcBorders>
            <w:shd w:val="clear" w:color="auto" w:fill="DDDDDD"/>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DDDDDD"/>
              <w:bottom w:val="single" w:sz="8" w:color="DDDDDD"/>
            </w:tcBorders>
            <w:shd w:val="clear" w:color="auto" w:fill="DDDDDD"/>
          </w:tcPr>
          <w:p>
            <w:pPr>
              <w:spacing w:after="0"/>
              <w:rPr>
                <w:sz w:val="20"/>
                <w:szCs w:val="20"/>
                <w:color w:val="auto"/>
              </w:rPr>
            </w:pPr>
          </w:p>
        </w:tc>
        <w:tc>
          <w:tcPr>
            <w:tcW w:w="360" w:type="dxa"/>
            <w:vAlign w:val="bottom"/>
            <w:tcBorders>
              <w:top w:val="single" w:sz="8" w:color="auto"/>
              <w:bottom w:val="single" w:sz="8" w:color="auto"/>
            </w:tcBorders>
            <w:shd w:val="clear" w:color="auto" w:fill="DDDDDD"/>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0"/>
        </w:trPr>
        <w:tc>
          <w:tcPr>
            <w:tcW w:w="676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-466090</wp:posOffset>
            </wp:positionV>
            <wp:extent cx="571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2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i w:val="1"/>
          <w:iCs w:val="1"/>
          <w:color w:val="auto"/>
        </w:rPr>
        <w:t>Public Warrants</w:t>
      </w:r>
    </w:p>
    <w:p>
      <w:pPr>
        <w:spacing w:after="0" w:line="118" w:lineRule="exact"/>
        <w:rPr>
          <w:sz w:val="20"/>
          <w:szCs w:val="20"/>
          <w:color w:val="auto"/>
        </w:rPr>
      </w:pPr>
    </w:p>
    <w:p>
      <w:pPr>
        <w:jc w:val="both"/>
        <w:ind w:left="6" w:right="20"/>
        <w:spacing w:after="0" w:line="270" w:lineRule="auto"/>
        <w:rPr>
          <w:sz w:val="20"/>
          <w:szCs w:val="20"/>
          <w:color w:val="auto"/>
        </w:rPr>
      </w:pPr>
      <w:r>
        <w:rPr>
          <w:rFonts w:ascii="Times New Roman" w:cs="Times New Roman" w:eastAsia="Times New Roman" w:hAnsi="Times New Roman"/>
          <w:sz w:val="17"/>
          <w:szCs w:val="17"/>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were $0.1 million and $0.4 million as of December 31, 2025 and 2024, respectively.</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i w:val="1"/>
          <w:iCs w:val="1"/>
          <w:color w:val="auto"/>
        </w:rPr>
        <w:t>Private Placement Warrants</w:t>
      </w:r>
    </w:p>
    <w:p>
      <w:pPr>
        <w:spacing w:after="0" w:line="118"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 inputs at their measurement dates:</w:t>
      </w:r>
    </w:p>
    <w:p>
      <w:pPr>
        <w:spacing w:after="0" w:line="46"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20" w:type="dxa"/>
            <w:vAlign w:val="bottom"/>
          </w:tcPr>
          <w:p>
            <w:pPr>
              <w:spacing w:after="0"/>
              <w:rPr>
                <w:sz w:val="20"/>
                <w:szCs w:val="20"/>
                <w:color w:val="auto"/>
              </w:rPr>
            </w:pPr>
          </w:p>
        </w:tc>
        <w:tc>
          <w:tcPr>
            <w:tcW w:w="210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7"/>
        </w:trPr>
        <w:tc>
          <w:tcPr>
            <w:tcW w:w="660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240" w:type="dxa"/>
            <w:vAlign w:val="bottom"/>
            <w:tcBorders>
              <w:top w:val="single" w:sz="8" w:color="auto"/>
            </w:tcBorders>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top w:val="single" w:sz="8" w:color="auto"/>
            </w:tcBorders>
            <w:shd w:val="clear" w:color="auto" w:fill="DDDDDD"/>
          </w:tcPr>
          <w:p>
            <w:pPr>
              <w:jc w:val="right"/>
              <w:ind w:right="134"/>
              <w:spacing w:after="0"/>
              <w:rPr>
                <w:sz w:val="20"/>
                <w:szCs w:val="20"/>
                <w:color w:val="auto"/>
              </w:rPr>
            </w:pPr>
            <w:r>
              <w:rPr>
                <w:rFonts w:ascii="Times New Roman" w:cs="Times New Roman" w:eastAsia="Times New Roman" w:hAnsi="Times New Roman"/>
                <w:sz w:val="17"/>
                <w:szCs w:val="17"/>
                <w:color w:val="auto"/>
              </w:rPr>
              <w:t>11.50</w:t>
            </w:r>
          </w:p>
        </w:tc>
        <w:tc>
          <w:tcPr>
            <w:tcW w:w="80" w:type="dxa"/>
            <w:vAlign w:val="bottom"/>
            <w:tcBorders>
              <w:top w:val="single" w:sz="8" w:color="DDDDDD"/>
            </w:tcBorders>
            <w:shd w:val="clear" w:color="auto" w:fill="DDDDDD"/>
          </w:tcPr>
          <w:p>
            <w:pPr>
              <w:spacing w:after="0"/>
              <w:rPr>
                <w:sz w:val="18"/>
                <w:szCs w:val="18"/>
                <w:color w:val="auto"/>
              </w:rPr>
            </w:pPr>
          </w:p>
        </w:tc>
        <w:tc>
          <w:tcPr>
            <w:tcW w:w="320" w:type="dxa"/>
            <w:vAlign w:val="bottom"/>
            <w:tcBorders>
              <w:top w:val="single" w:sz="8" w:color="auto"/>
            </w:tcBorders>
            <w:shd w:val="clear" w:color="auto" w:fill="DDDDDD"/>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top w:val="single" w:sz="8" w:color="auto"/>
            </w:tcBorders>
            <w:shd w:val="clear" w:color="auto" w:fill="DDDDDD"/>
          </w:tcPr>
          <w:p>
            <w:pPr>
              <w:jc w:val="right"/>
              <w:ind w:right="134"/>
              <w:spacing w:after="0"/>
              <w:rPr>
                <w:sz w:val="20"/>
                <w:szCs w:val="20"/>
                <w:color w:val="auto"/>
              </w:rPr>
            </w:pPr>
            <w:r>
              <w:rPr>
                <w:rFonts w:ascii="Times New Roman" w:cs="Times New Roman" w:eastAsia="Times New Roman" w:hAnsi="Times New Roman"/>
                <w:sz w:val="17"/>
                <w:szCs w:val="17"/>
                <w:color w:val="auto"/>
              </w:rPr>
              <w:t>11.50</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0.83</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1.38</w:t>
            </w:r>
          </w:p>
        </w:tc>
      </w:tr>
      <w:tr>
        <w:trPr>
          <w:trHeight w:val="219"/>
        </w:trPr>
        <w:tc>
          <w:tcPr>
            <w:tcW w:w="66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shd w:val="clear" w:color="auto" w:fill="DDDDDD"/>
          </w:tcPr>
          <w:p>
            <w:pPr>
              <w:spacing w:after="0"/>
              <w:rPr>
                <w:sz w:val="19"/>
                <w:szCs w:val="19"/>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170.0 %</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85.0 %</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9"/>
        </w:trPr>
        <w:tc>
          <w:tcPr>
            <w:tcW w:w="66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40" w:type="dxa"/>
            <w:vAlign w:val="bottom"/>
            <w:shd w:val="clear" w:color="auto" w:fill="DDDDDD"/>
          </w:tcPr>
          <w:p>
            <w:pPr>
              <w:spacing w:after="0"/>
              <w:rPr>
                <w:sz w:val="19"/>
                <w:szCs w:val="19"/>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4.20 %</w:t>
            </w:r>
          </w:p>
        </w:tc>
      </w:tr>
    </w:tbl>
    <w:p>
      <w:pPr>
        <w:spacing w:after="0" w:line="166" w:lineRule="exact"/>
        <w:rPr>
          <w:sz w:val="20"/>
          <w:szCs w:val="20"/>
          <w:color w:val="auto"/>
        </w:rPr>
      </w:pPr>
    </w:p>
    <w:p>
      <w:pPr>
        <w:jc w:val="both"/>
        <w:ind w:left="6" w:right="20"/>
        <w:spacing w:after="0" w:line="270" w:lineRule="auto"/>
        <w:rPr>
          <w:sz w:val="20"/>
          <w:szCs w:val="20"/>
          <w:color w:val="auto"/>
        </w:rPr>
      </w:pPr>
      <w:r>
        <w:rPr>
          <w:rFonts w:ascii="Times New Roman" w:cs="Times New Roman" w:eastAsia="Times New Roman" w:hAnsi="Times New Roman"/>
          <w:sz w:val="17"/>
          <w:szCs w:val="17"/>
          <w:color w:val="auto"/>
        </w:rPr>
        <w:t>Significant changes in the volatility would result in a significant lower or higher fair value measurement, respectively. The fair value of the Private Placement Warrants were $0.1 million and $0.2 million as of December 31, 2025 and 2024, respectively. There were no transfers in or out of Level 3 from other levels in the fair value hierarchy.</w:t>
      </w:r>
    </w:p>
    <w:p>
      <w:pPr>
        <w:spacing w:after="0" w:line="110" w:lineRule="exact"/>
        <w:rPr>
          <w:sz w:val="20"/>
          <w:szCs w:val="20"/>
          <w:color w:val="auto"/>
        </w:rPr>
      </w:pPr>
    </w:p>
    <w:p>
      <w:pPr>
        <w:ind w:left="346" w:hanging="346"/>
        <w:spacing w:after="0"/>
        <w:tabs>
          <w:tab w:leader="none" w:pos="346"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1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630555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630555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1246"/>
          </w:cols>
          <w:pgMar w:left="494" w:top="608" w:right="500" w:bottom="146"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The change in carrying amount of goodwill was as follows (in thousands):</w:t>
            </w:r>
          </w:p>
        </w:tc>
        <w:tc>
          <w:tcPr>
            <w:tcW w:w="9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53"/>
        </w:trPr>
        <w:tc>
          <w:tcPr>
            <w:tcW w:w="7260" w:type="dxa"/>
            <w:vAlign w:val="bottom"/>
            <w:tcBorders>
              <w:bottom w:val="single" w:sz="8" w:color="DDDDDD"/>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17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7"/>
        </w:trPr>
        <w:tc>
          <w:tcPr>
            <w:tcW w:w="72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960" w:type="dxa"/>
            <w:vAlign w:val="bottom"/>
            <w:shd w:val="clear" w:color="auto" w:fill="DDDDDD"/>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68,368</w:t>
            </w:r>
          </w:p>
        </w:tc>
      </w:tr>
      <w:tr>
        <w:trPr>
          <w:trHeight w:val="219"/>
        </w:trPr>
        <w:tc>
          <w:tcPr>
            <w:tcW w:w="726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9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2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960" w:type="dxa"/>
            <w:vAlign w:val="bottom"/>
            <w:shd w:val="clear" w:color="auto" w:fill="DDDDDD"/>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68,368</w:t>
            </w:r>
          </w:p>
        </w:tc>
      </w:tr>
      <w:tr>
        <w:trPr>
          <w:trHeight w:val="219"/>
        </w:trPr>
        <w:tc>
          <w:tcPr>
            <w:tcW w:w="726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9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(7,094)</w:t>
            </w:r>
          </w:p>
        </w:tc>
      </w:tr>
      <w:tr>
        <w:trPr>
          <w:trHeight w:val="237"/>
        </w:trPr>
        <w:tc>
          <w:tcPr>
            <w:tcW w:w="72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960" w:type="dxa"/>
            <w:vAlign w:val="bottom"/>
            <w:tcBorders>
              <w:bottom w:val="single" w:sz="8" w:color="auto"/>
            </w:tcBorders>
            <w:shd w:val="clear" w:color="auto" w:fill="DDDDDD"/>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61,274</w:t>
            </w:r>
          </w:p>
        </w:tc>
      </w:tr>
      <w:tr>
        <w:trPr>
          <w:trHeight w:val="20"/>
        </w:trPr>
        <w:tc>
          <w:tcPr>
            <w:tcW w:w="7260" w:type="dxa"/>
            <w:vAlign w:val="bottom"/>
            <w:tcBorders>
              <w:top w:val="single" w:sz="8" w:color="DDDDDD"/>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3020" w:type="dxa"/>
            <w:vAlign w:val="bottom"/>
            <w:tcBorders>
              <w:top w:val="single" w:sz="8" w:color="DDDDDD"/>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Impairment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year ended December 31, 2025, due to a decline in the market capitalization, the Company opted to bypass the qualitative assessment and performed a quantitative assessment to test goodwill for impairment. As part of the impairment assessment, the fair value of the reporting unit is estimated using a discounted cash flow valuation which incorporates assumptions regarding long-term growth rates, revenue and earnings projections, estimation of cash flows, discount rates and other factors.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Based on the results of this analysis, the Company determined that the carrying value of the reporting unit exceeded the fair value, and therefore the Company recorded a goodwill impairment charge of $7.1 million during the year ended December 31, 2025. If the Company’s forecasts of cash flows or other key inputs are negatively revised in the future, the estimated fair value of the reporting unit would be adversely impacted, potentially leading to an additional impairment in the future that could materially affect the Company’s operating results. No goodwill impairment charges were recorded for the year ended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consisted of the following as of December 31, 2025 and 2024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ind w:left="12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20" w:type="dxa"/>
            <w:vAlign w:val="bottom"/>
          </w:tcPr>
          <w:p>
            <w:pPr>
              <w:spacing w:after="0"/>
              <w:rPr>
                <w:sz w:val="14"/>
                <w:szCs w:val="14"/>
                <w:color w:val="auto"/>
              </w:rPr>
            </w:pPr>
          </w:p>
        </w:tc>
        <w:tc>
          <w:tcPr>
            <w:tcW w:w="2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21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20" w:type="dxa"/>
            <w:vAlign w:val="bottom"/>
          </w:tcPr>
          <w:p>
            <w:pPr>
              <w:spacing w:after="0"/>
              <w:rPr>
                <w:sz w:val="20"/>
                <w:szCs w:val="20"/>
                <w:color w:val="auto"/>
              </w:rPr>
            </w:pPr>
          </w:p>
        </w:tc>
        <w:tc>
          <w:tcPr>
            <w:tcW w:w="2000" w:type="dxa"/>
            <w:vAlign w:val="bottom"/>
            <w:gridSpan w:val="3"/>
            <w:vMerge w:val="continue"/>
          </w:tcPr>
          <w:p>
            <w:pPr>
              <w:spacing w:after="0"/>
              <w:rPr>
                <w:sz w:val="20"/>
                <w:szCs w:val="20"/>
                <w:color w:val="auto"/>
              </w:rPr>
            </w:pPr>
          </w:p>
        </w:tc>
        <w:tc>
          <w:tcPr>
            <w:tcW w:w="212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92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2020" w:type="dxa"/>
            <w:vAlign w:val="bottom"/>
            <w:tcBorders>
              <w:top w:val="single" w:sz="8" w:color="auto"/>
            </w:tcBorders>
            <w:gridSpan w:val="2"/>
            <w:shd w:val="clear" w:color="auto" w:fill="DDDDDD"/>
          </w:tcPr>
          <w:p>
            <w:pPr>
              <w:jc w:val="right"/>
              <w:ind w:right="774"/>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DDDDDD"/>
          </w:tcPr>
          <w:p>
            <w:pPr>
              <w:spacing w:after="0"/>
              <w:rPr>
                <w:sz w:val="18"/>
                <w:szCs w:val="18"/>
                <w:color w:val="auto"/>
              </w:rPr>
            </w:pPr>
          </w:p>
        </w:tc>
        <w:tc>
          <w:tcPr>
            <w:tcW w:w="17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7,373</w:t>
            </w:r>
          </w:p>
        </w:tc>
        <w:tc>
          <w:tcPr>
            <w:tcW w:w="100" w:type="dxa"/>
            <w:vAlign w:val="bottom"/>
            <w:tcBorders>
              <w:top w:val="single" w:sz="8" w:color="DDDDDD"/>
            </w:tcBorders>
            <w:shd w:val="clear" w:color="auto" w:fill="DDDDDD"/>
          </w:tcPr>
          <w:p>
            <w:pPr>
              <w:spacing w:after="0"/>
              <w:rPr>
                <w:sz w:val="18"/>
                <w:szCs w:val="18"/>
                <w:color w:val="auto"/>
              </w:rPr>
            </w:pPr>
          </w:p>
        </w:tc>
        <w:tc>
          <w:tcPr>
            <w:tcW w:w="400" w:type="dxa"/>
            <w:vAlign w:val="bottom"/>
            <w:tcBorders>
              <w:top w:val="single" w:sz="8" w:color="auto"/>
            </w:tcBorders>
            <w:gridSpan w:val="2"/>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(5,980)</w:t>
            </w:r>
          </w:p>
        </w:tc>
        <w:tc>
          <w:tcPr>
            <w:tcW w:w="40" w:type="dxa"/>
            <w:vAlign w:val="bottom"/>
            <w:tcBorders>
              <w:top w:val="single" w:sz="8" w:color="DDDDDD"/>
            </w:tcBorders>
            <w:shd w:val="clear" w:color="auto" w:fill="DDDDDD"/>
          </w:tcPr>
          <w:p>
            <w:pPr>
              <w:spacing w:after="0"/>
              <w:rPr>
                <w:sz w:val="18"/>
                <w:szCs w:val="18"/>
                <w:color w:val="auto"/>
              </w:rPr>
            </w:pPr>
          </w:p>
        </w:tc>
        <w:tc>
          <w:tcPr>
            <w:tcW w:w="40" w:type="dxa"/>
            <w:vAlign w:val="bottom"/>
            <w:tcBorders>
              <w:top w:val="single" w:sz="8" w:color="DDDDDD"/>
            </w:tcBorders>
            <w:shd w:val="clear" w:color="auto" w:fill="DDDDDD"/>
          </w:tcPr>
          <w:p>
            <w:pPr>
              <w:spacing w:after="0"/>
              <w:rPr>
                <w:sz w:val="18"/>
                <w:szCs w:val="18"/>
                <w:color w:val="auto"/>
              </w:rPr>
            </w:pPr>
          </w:p>
        </w:tc>
        <w:tc>
          <w:tcPr>
            <w:tcW w:w="200" w:type="dxa"/>
            <w:vAlign w:val="bottom"/>
            <w:tcBorders>
              <w:top w:val="single" w:sz="8" w:color="auto"/>
            </w:tcBorders>
            <w:gridSpan w:val="2"/>
            <w:shd w:val="clear" w:color="auto" w:fill="DDDDDD"/>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20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20" w:type="dxa"/>
            <w:vAlign w:val="bottom"/>
            <w:tcBorders>
              <w:bottom w:val="single" w:sz="8" w:color="DDDDDD"/>
            </w:tcBorders>
            <w:gridSpan w:val="2"/>
            <w:shd w:val="clear" w:color="auto" w:fill="DDDDDD"/>
          </w:tcPr>
          <w:p>
            <w:pPr>
              <w:ind w:left="900"/>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bottom w:val="single" w:sz="8" w:color="auto"/>
            </w:tcBorders>
            <w:shd w:val="clear" w:color="auto" w:fill="DDDDDD"/>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auto"/>
            </w:tcBorders>
            <w:shd w:val="clear" w:color="auto" w:fill="DDDDDD"/>
          </w:tcPr>
          <w:p>
            <w:pPr>
              <w:spacing w:after="0"/>
              <w:rPr>
                <w:sz w:val="20"/>
                <w:szCs w:val="20"/>
                <w:color w:val="auto"/>
              </w:rPr>
            </w:pPr>
          </w:p>
        </w:tc>
        <w:tc>
          <w:tcPr>
            <w:tcW w:w="32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40" w:type="dxa"/>
            <w:vAlign w:val="bottom"/>
            <w:tcBorders>
              <w:bottom w:val="single" w:sz="8" w:color="DDDDDD"/>
            </w:tcBorders>
            <w:shd w:val="clear" w:color="auto" w:fill="DDDDDD"/>
          </w:tcPr>
          <w:p>
            <w:pPr>
              <w:spacing w:after="0"/>
              <w:rPr>
                <w:sz w:val="20"/>
                <w:szCs w:val="20"/>
                <w:color w:val="auto"/>
              </w:rPr>
            </w:pPr>
          </w:p>
        </w:tc>
        <w:tc>
          <w:tcPr>
            <w:tcW w:w="40" w:type="dxa"/>
            <w:vAlign w:val="bottom"/>
            <w:tcBorders>
              <w:bottom w:val="single" w:sz="8" w:color="DDDDDD"/>
            </w:tcBorders>
            <w:shd w:val="clear" w:color="auto" w:fill="DDDDDD"/>
          </w:tcPr>
          <w:p>
            <w:pPr>
              <w:spacing w:after="0"/>
              <w:rPr>
                <w:sz w:val="20"/>
                <w:szCs w:val="20"/>
                <w:color w:val="auto"/>
              </w:rPr>
            </w:pPr>
          </w:p>
        </w:tc>
        <w:tc>
          <w:tcPr>
            <w:tcW w:w="60" w:type="dxa"/>
            <w:vAlign w:val="bottom"/>
            <w:tcBorders>
              <w:bottom w:val="single" w:sz="8" w:color="auto"/>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auto"/>
              </w:rPr>
              <w:t>Total intangible assets</w:t>
            </w:r>
          </w:p>
        </w:tc>
        <w:tc>
          <w:tcPr>
            <w:tcW w:w="2020" w:type="dxa"/>
            <w:vAlign w:val="bottom"/>
            <w:gridSpan w:val="2"/>
          </w:tcPr>
          <w:p>
            <w:pPr>
              <w:jc w:val="right"/>
              <w:ind w:right="774"/>
              <w:spacing w:after="0" w:line="192" w:lineRule="exact"/>
              <w:rPr>
                <w:sz w:val="20"/>
                <w:szCs w:val="20"/>
                <w:color w:val="auto"/>
              </w:rPr>
            </w:pPr>
            <w:r>
              <w:rPr>
                <w:rFonts w:ascii="Times New Roman" w:cs="Times New Roman" w:eastAsia="Times New Roman" w:hAnsi="Times New Roman"/>
                <w:sz w:val="17"/>
                <w:szCs w:val="17"/>
                <w:color w:val="auto"/>
              </w:rPr>
              <w:t>14.5</w:t>
            </w:r>
          </w:p>
        </w:tc>
        <w:tc>
          <w:tcPr>
            <w:tcW w:w="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7,792</w:t>
            </w:r>
          </w:p>
        </w:tc>
        <w:tc>
          <w:tcPr>
            <w:tcW w:w="100" w:type="dxa"/>
            <w:vAlign w:val="bottom"/>
          </w:tcPr>
          <w:p>
            <w:pPr>
              <w:spacing w:after="0"/>
              <w:rPr>
                <w:sz w:val="16"/>
                <w:szCs w:val="16"/>
                <w:color w:val="auto"/>
              </w:rPr>
            </w:pPr>
          </w:p>
        </w:tc>
        <w:tc>
          <w:tcPr>
            <w:tcW w:w="400" w:type="dxa"/>
            <w:vAlign w:val="bottom"/>
            <w:tcBorders>
              <w:bottom w:val="single" w:sz="8" w:color="auto"/>
            </w:tcBorders>
            <w:gridSpan w:val="2"/>
          </w:tcPr>
          <w:p>
            <w:pPr>
              <w:ind w:left="20"/>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(6,282)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1,510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ind w:left="12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tcPr>
          <w:p>
            <w:pPr>
              <w:jc w:val="center"/>
              <w:spacing w:after="0" w:line="160"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2020" w:type="dxa"/>
            <w:vAlign w:val="bottom"/>
            <w:tcBorders>
              <w:top w:val="single" w:sz="8" w:color="DDDDDD"/>
            </w:tcBorders>
            <w:gridSpan w:val="2"/>
            <w:shd w:val="clear" w:color="auto" w:fill="DDDDDD"/>
          </w:tcPr>
          <w:p>
            <w:pPr>
              <w:ind w:left="900"/>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7"/>
                <w:szCs w:val="17"/>
                <w:color w:val="auto"/>
              </w:rPr>
              <w:t>7,256</w:t>
            </w:r>
          </w:p>
        </w:tc>
        <w:tc>
          <w:tcPr>
            <w:tcW w:w="80" w:type="dxa"/>
            <w:vAlign w:val="bottom"/>
            <w:tcBorders>
              <w:top w:val="single" w:sz="8" w:color="DDDDDD"/>
            </w:tcBorders>
            <w:shd w:val="clear" w:color="auto" w:fill="DDDDDD"/>
          </w:tcPr>
          <w:p>
            <w:pPr>
              <w:spacing w:after="0"/>
              <w:rPr>
                <w:sz w:val="18"/>
                <w:szCs w:val="18"/>
                <w:color w:val="auto"/>
              </w:rPr>
            </w:pPr>
          </w:p>
        </w:tc>
        <w:tc>
          <w:tcPr>
            <w:tcW w:w="320" w:type="dxa"/>
            <w:vAlign w:val="bottom"/>
            <w:tcBorders>
              <w:top w:val="single" w:sz="8" w:color="auto"/>
            </w:tcBorders>
            <w:shd w:val="clear" w:color="auto" w:fill="DDDDDD"/>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(5,492)</w:t>
            </w:r>
          </w:p>
        </w:tc>
        <w:tc>
          <w:tcPr>
            <w:tcW w:w="40" w:type="dxa"/>
            <w:vAlign w:val="bottom"/>
            <w:tcBorders>
              <w:top w:val="single" w:sz="8" w:color="DDDDDD"/>
            </w:tcBorders>
            <w:shd w:val="clear" w:color="auto" w:fill="DDDDDD"/>
          </w:tcPr>
          <w:p>
            <w:pPr>
              <w:spacing w:after="0"/>
              <w:rPr>
                <w:sz w:val="18"/>
                <w:szCs w:val="18"/>
                <w:color w:val="auto"/>
              </w:rPr>
            </w:pPr>
          </w:p>
        </w:tc>
        <w:tc>
          <w:tcPr>
            <w:tcW w:w="60" w:type="dxa"/>
            <w:vAlign w:val="bottom"/>
            <w:tcBorders>
              <w:top w:val="single" w:sz="8" w:color="DDDDDD"/>
            </w:tcBorders>
            <w:shd w:val="clear" w:color="auto" w:fill="DDDDDD"/>
          </w:tcPr>
          <w:p>
            <w:pPr>
              <w:spacing w:after="0"/>
              <w:rPr>
                <w:sz w:val="18"/>
                <w:szCs w:val="18"/>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2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2020" w:type="dxa"/>
            <w:vAlign w:val="bottom"/>
            <w:gridSpan w:val="2"/>
          </w:tcPr>
          <w:p>
            <w:pPr>
              <w:jc w:val="right"/>
              <w:ind w:right="774"/>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20" w:type="dxa"/>
            <w:vAlign w:val="bottom"/>
            <w:gridSpan w:val="2"/>
            <w:shd w:val="clear" w:color="auto" w:fill="DDDDDD"/>
          </w:tcPr>
          <w:p>
            <w:pPr>
              <w:jc w:val="right"/>
              <w:ind w:right="774"/>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88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68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(69)</w:t>
            </w:r>
          </w:p>
        </w:tc>
        <w:tc>
          <w:tcPr>
            <w:tcW w:w="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0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7,675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expense for intangible assets were $0.6 million and $0.6 million, respectively for the years ended December 31, 2025 and 2024. No intangible asset impairment charges have been recorded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519430</wp:posOffset>
            </wp:positionV>
            <wp:extent cx="3365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519430</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1240"/>
          </w:cols>
          <w:pgMar w:left="500" w:top="608" w:right="500" w:bottom="146" w:gutter="0" w:footer="0" w:header="0"/>
          <w:type w:val="continuous"/>
        </w:sectPr>
      </w:pPr>
    </w:p>
    <w:bookmarkStart w:id="103" w:name="page104"/>
    <w:bookmarkEnd w:id="103"/>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The   estimated   future   amortization   expense</w:t>
            </w:r>
          </w:p>
        </w:tc>
        <w:tc>
          <w:tcPr>
            <w:tcW w:w="54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of   intangible   assets   as   of   December   31,   2025   is   as</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   (in   thousands):</w:t>
            </w:r>
          </w:p>
        </w:tc>
      </w:tr>
      <w:tr>
        <w:trPr>
          <w:trHeight w:val="250"/>
        </w:trPr>
        <w:tc>
          <w:tcPr>
            <w:tcW w:w="3800" w:type="dxa"/>
            <w:vAlign w:val="bottom"/>
            <w:tcBorders>
              <w:bottom w:val="single" w:sz="8" w:color="DDDDDD"/>
            </w:tcBorders>
          </w:tcPr>
          <w:p>
            <w:pPr>
              <w:spacing w:after="0"/>
              <w:rPr>
                <w:sz w:val="21"/>
                <w:szCs w:val="21"/>
                <w:color w:val="auto"/>
              </w:rPr>
            </w:pPr>
          </w:p>
        </w:tc>
        <w:tc>
          <w:tcPr>
            <w:tcW w:w="534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04"/>
        </w:trPr>
        <w:tc>
          <w:tcPr>
            <w:tcW w:w="38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Years ended December 31,</w:t>
            </w:r>
          </w:p>
        </w:tc>
        <w:tc>
          <w:tcPr>
            <w:tcW w:w="53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980" w:type="dxa"/>
            <w:vAlign w:val="bottom"/>
            <w:shd w:val="clear" w:color="auto" w:fill="DDDDDD"/>
          </w:tcPr>
          <w:p>
            <w:pPr>
              <w:spacing w:after="0"/>
              <w:rPr>
                <w:sz w:val="17"/>
                <w:szCs w:val="17"/>
                <w:color w:val="auto"/>
              </w:rPr>
            </w:pPr>
          </w:p>
        </w:tc>
      </w:tr>
      <w:tr>
        <w:trPr>
          <w:trHeight w:val="219"/>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19"/>
        </w:trPr>
        <w:tc>
          <w:tcPr>
            <w:tcW w:w="38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3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19"/>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9"/>
        </w:trPr>
        <w:tc>
          <w:tcPr>
            <w:tcW w:w="38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3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9"/>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38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340" w:type="dxa"/>
            <w:vAlign w:val="bottom"/>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5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w:t>
            </w:r>
          </w:p>
        </w:tc>
      </w:tr>
      <w:tr>
        <w:trPr>
          <w:trHeight w:val="20"/>
        </w:trPr>
        <w:tc>
          <w:tcPr>
            <w:tcW w:w="38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46" w:hanging="346"/>
        <w:spacing w:after="0"/>
        <w:tabs>
          <w:tab w:leader="none" w:pos="346"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Prepaid expenses and other current assets as of December 31, 2025 and 2024 consisted of the following (in thousands):</w:t>
      </w:r>
    </w:p>
    <w:p>
      <w:pPr>
        <w:spacing w:after="0" w:line="149"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0" w:type="dxa"/>
            <w:vAlign w:val="bottom"/>
          </w:tcPr>
          <w:p>
            <w:pPr>
              <w:spacing w:after="0"/>
              <w:rPr>
                <w:sz w:val="20"/>
                <w:szCs w:val="20"/>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7"/>
        </w:trPr>
        <w:tc>
          <w:tcPr>
            <w:tcW w:w="722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Prepaid insurance</w:t>
            </w:r>
          </w:p>
        </w:tc>
        <w:tc>
          <w:tcPr>
            <w:tcW w:w="200" w:type="dxa"/>
            <w:vAlign w:val="bottom"/>
            <w:tcBorders>
              <w:top w:val="single" w:sz="8" w:color="auto"/>
            </w:tcBorders>
            <w:shd w:val="clear" w:color="auto" w:fill="DDDDDD"/>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tcBorders>
              <w:top w:val="single" w:sz="8" w:color="DDDDDD"/>
            </w:tcBorders>
            <w:shd w:val="clear" w:color="auto" w:fill="DDDDDD"/>
          </w:tcPr>
          <w:p>
            <w:pPr>
              <w:spacing w:after="0"/>
              <w:rPr>
                <w:sz w:val="18"/>
                <w:szCs w:val="18"/>
                <w:color w:val="auto"/>
              </w:rPr>
            </w:pPr>
          </w:p>
        </w:tc>
        <w:tc>
          <w:tcPr>
            <w:tcW w:w="200" w:type="dxa"/>
            <w:vAlign w:val="bottom"/>
            <w:tcBorders>
              <w:top w:val="single" w:sz="8" w:color="auto"/>
            </w:tcBorders>
            <w:shd w:val="clear" w:color="auto" w:fill="DDDDDD"/>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19"/>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marketing</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19"/>
        </w:trPr>
        <w:tc>
          <w:tcPr>
            <w:tcW w:w="72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Prepaid software</w:t>
            </w:r>
          </w:p>
        </w:tc>
        <w:tc>
          <w:tcPr>
            <w:tcW w:w="200" w:type="dxa"/>
            <w:vAlign w:val="bottom"/>
            <w:shd w:val="clear" w:color="auto" w:fill="DDDDDD"/>
          </w:tcPr>
          <w:p>
            <w:pPr>
              <w:spacing w:after="0"/>
              <w:rPr>
                <w:sz w:val="19"/>
                <w:szCs w:val="19"/>
                <w:color w:val="auto"/>
              </w:rPr>
            </w:pP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2,836</w:t>
            </w:r>
          </w:p>
        </w:tc>
      </w:tr>
      <w:tr>
        <w:trPr>
          <w:trHeight w:val="219"/>
        </w:trPr>
        <w:tc>
          <w:tcPr>
            <w:tcW w:w="72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3,427</w:t>
            </w:r>
          </w:p>
        </w:tc>
        <w:tc>
          <w:tcPr>
            <w:tcW w:w="10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3,161</w:t>
            </w:r>
          </w:p>
        </w:tc>
      </w:tr>
      <w:tr>
        <w:trPr>
          <w:trHeight w:val="237"/>
        </w:trPr>
        <w:tc>
          <w:tcPr>
            <w:tcW w:w="722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7,900</w:t>
            </w:r>
          </w:p>
        </w:tc>
        <w:tc>
          <w:tcPr>
            <w:tcW w:w="10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7,486</w:t>
            </w:r>
          </w:p>
        </w:tc>
      </w:tr>
      <w:tr>
        <w:trPr>
          <w:trHeight w:val="20"/>
        </w:trPr>
        <w:tc>
          <w:tcPr>
            <w:tcW w:w="722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7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76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-744220</wp:posOffset>
            </wp:positionV>
            <wp:extent cx="571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4535170</wp:posOffset>
            </wp:positionH>
            <wp:positionV relativeFrom="paragraph">
              <wp:posOffset>-744220</wp:posOffset>
            </wp:positionV>
            <wp:extent cx="571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33" w:lineRule="exact"/>
        <w:rPr>
          <w:sz w:val="20"/>
          <w:szCs w:val="20"/>
          <w:color w:val="auto"/>
        </w:rPr>
      </w:pPr>
    </w:p>
    <w:p>
      <w:pPr>
        <w:jc w:val="both"/>
        <w:ind w:left="6" w:right="100"/>
        <w:spacing w:after="0" w:line="261" w:lineRule="auto"/>
        <w:rPr>
          <w:sz w:val="20"/>
          <w:szCs w:val="20"/>
          <w:color w:val="auto"/>
        </w:rPr>
      </w:pPr>
      <w:r>
        <w:rPr>
          <w:rFonts w:ascii="Times New Roman" w:cs="Times New Roman" w:eastAsia="Times New Roman" w:hAnsi="Times New Roman"/>
          <w:sz w:val="17"/>
          <w:szCs w:val="17"/>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2" w:lineRule="exact"/>
        <w:rPr>
          <w:sz w:val="20"/>
          <w:szCs w:val="20"/>
          <w:color w:val="auto"/>
        </w:rPr>
      </w:pPr>
    </w:p>
    <w:p>
      <w:pPr>
        <w:jc w:val="both"/>
        <w:ind w:left="6" w:right="100"/>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2025 and 2024, $0.7 million and nil impairment charges were recognized related to capitalized implementation costs for a cloud computing arrangement that the Company has determined is not probable to be completed and placed in service.</w:t>
      </w:r>
    </w:p>
    <w:p>
      <w:pPr>
        <w:spacing w:after="0" w:line="44" w:lineRule="exact"/>
        <w:rPr>
          <w:sz w:val="20"/>
          <w:szCs w:val="20"/>
          <w:color w:val="auto"/>
        </w:rPr>
      </w:pPr>
    </w:p>
    <w:p>
      <w:pPr>
        <w:ind w:left="426" w:hanging="426"/>
        <w:spacing w:after="0"/>
        <w:tabs>
          <w:tab w:leader="none" w:pos="426"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Accounts payable and accrued expenses as of December 31, 2025 and 2024 consisted of the following (in thousands):</w:t>
      </w:r>
    </w:p>
    <w:p>
      <w:pPr>
        <w:spacing w:after="0" w:line="149" w:lineRule="exact"/>
        <w:rPr>
          <w:sz w:val="20"/>
          <w:szCs w:val="20"/>
          <w:color w:val="auto"/>
        </w:rPr>
      </w:pPr>
    </w:p>
    <w:tbl>
      <w:tblPr>
        <w:tblLayout w:type="fixed"/>
        <w:tblInd w:w="626" w:type="dxa"/>
        <w:tblCellMar>
          <w:top w:w="0" w:type="dxa"/>
          <w:left w:w="0" w:type="dxa"/>
          <w:bottom w:w="0" w:type="dxa"/>
          <w:right w:w="0" w:type="dxa"/>
        </w:tblCellMar>
      </w:tblPr>
      <w:tr>
        <w:trPr>
          <w:trHeight w:val="232"/>
        </w:trPr>
        <w:tc>
          <w:tcPr>
            <w:tcW w:w="6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w:t>
            </w:r>
          </w:p>
        </w:tc>
      </w:tr>
      <w:tr>
        <w:trPr>
          <w:trHeight w:val="217"/>
        </w:trPr>
        <w:tc>
          <w:tcPr>
            <w:tcW w:w="6960" w:type="dxa"/>
            <w:vAlign w:val="bottom"/>
            <w:tcBorders>
              <w:top w:val="single" w:sz="8" w:color="DDDDDD"/>
            </w:tcBorders>
            <w:shd w:val="clear" w:color="auto" w:fill="DDDDDD"/>
          </w:tcPr>
          <w:p>
            <w:pPr>
              <w:ind w:left="20"/>
              <w:spacing w:after="0" w:line="218" w:lineRule="exact"/>
              <w:rPr>
                <w:sz w:val="20"/>
                <w:szCs w:val="20"/>
                <w:color w:val="auto"/>
              </w:rPr>
            </w:pPr>
            <w:r>
              <w:rPr>
                <w:rFonts w:ascii="Times New Roman" w:cs="Times New Roman" w:eastAsia="Times New Roman" w:hAnsi="Times New Roman"/>
                <w:sz w:val="17"/>
                <w:szCs w:val="17"/>
                <w:color w:val="auto"/>
              </w:rPr>
              <w:t>Accounts payable and other accrued liabilities</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auto"/>
            </w:tcBorders>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12,999</w:t>
            </w:r>
          </w:p>
        </w:tc>
        <w:tc>
          <w:tcPr>
            <w:tcW w:w="80" w:type="dxa"/>
            <w:vAlign w:val="bottom"/>
            <w:tcBorders>
              <w:top w:val="single" w:sz="8" w:color="DDDDDD"/>
            </w:tcBorders>
            <w:shd w:val="clear" w:color="auto" w:fill="DDDDDD"/>
          </w:tcPr>
          <w:p>
            <w:pPr>
              <w:spacing w:after="0"/>
              <w:rPr>
                <w:sz w:val="18"/>
                <w:szCs w:val="18"/>
                <w:color w:val="auto"/>
              </w:rPr>
            </w:pPr>
          </w:p>
        </w:tc>
        <w:tc>
          <w:tcPr>
            <w:tcW w:w="1580" w:type="dxa"/>
            <w:vAlign w:val="bottom"/>
            <w:tcBorders>
              <w:top w:val="single" w:sz="8" w:color="auto"/>
            </w:tcBorders>
            <w:shd w:val="clear" w:color="auto" w:fill="DDDDDD"/>
          </w:tcPr>
          <w:p>
            <w:pPr>
              <w:jc w:val="right"/>
              <w:ind w:right="139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commissions and bonuses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6,361</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9"/>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Accrued salaries</w:t>
            </w:r>
          </w:p>
        </w:tc>
        <w:tc>
          <w:tcPr>
            <w:tcW w:w="240" w:type="dxa"/>
            <w:vAlign w:val="bottom"/>
            <w:shd w:val="clear" w:color="auto" w:fill="DDDDDD"/>
          </w:tcPr>
          <w:p>
            <w:pPr>
              <w:spacing w:after="0"/>
              <w:rPr>
                <w:sz w:val="19"/>
                <w:szCs w:val="19"/>
                <w:color w:val="auto"/>
              </w:rPr>
            </w:pPr>
          </w:p>
        </w:tc>
        <w:tc>
          <w:tcPr>
            <w:tcW w:w="1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8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vacation</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9"/>
        </w:trPr>
        <w:tc>
          <w:tcPr>
            <w:tcW w:w="69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Other accrued employee expenses</w:t>
            </w:r>
          </w:p>
        </w:tc>
        <w:tc>
          <w:tcPr>
            <w:tcW w:w="240" w:type="dxa"/>
            <w:vAlign w:val="bottom"/>
            <w:tcBorders>
              <w:bottom w:val="single" w:sz="8" w:color="auto"/>
            </w:tcBorders>
            <w:shd w:val="clear" w:color="auto" w:fill="DDDDDD"/>
          </w:tcPr>
          <w:p>
            <w:pPr>
              <w:spacing w:after="0"/>
              <w:rPr>
                <w:sz w:val="19"/>
                <w:szCs w:val="19"/>
                <w:color w:val="auto"/>
              </w:rPr>
            </w:pPr>
          </w:p>
        </w:tc>
        <w:tc>
          <w:tcPr>
            <w:tcW w:w="1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Borders>
              <w:bottom w:val="single" w:sz="8" w:color="DDDDDD"/>
            </w:tcBorders>
            <w:shd w:val="clear" w:color="auto" w:fill="DDDDDD"/>
          </w:tcPr>
          <w:p>
            <w:pPr>
              <w:spacing w:after="0"/>
              <w:rPr>
                <w:sz w:val="19"/>
                <w:szCs w:val="19"/>
                <w:color w:val="auto"/>
              </w:rPr>
            </w:pPr>
          </w:p>
        </w:tc>
        <w:tc>
          <w:tcPr>
            <w:tcW w:w="1580" w:type="dxa"/>
            <w:vAlign w:val="bottom"/>
            <w:tcBorders>
              <w:bottom w:val="single" w:sz="8" w:color="auto"/>
            </w:tcBorders>
            <w:shd w:val="clear" w:color="auto" w:fill="DDDDDD"/>
          </w:tcPr>
          <w:p>
            <w:pPr>
              <w:spacing w:after="0"/>
              <w:rPr>
                <w:sz w:val="19"/>
                <w:szCs w:val="19"/>
                <w:color w:val="auto"/>
              </w:rPr>
            </w:pPr>
          </w:p>
        </w:tc>
      </w:tr>
      <w:tr>
        <w:trPr>
          <w:trHeight w:val="212"/>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23,962</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ind w:right="139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6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6148070</wp:posOffset>
            </wp:positionH>
            <wp:positionV relativeFrom="paragraph">
              <wp:posOffset>-883285</wp:posOffset>
            </wp:positionV>
            <wp:extent cx="571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-883285</wp:posOffset>
            </wp:positionV>
            <wp:extent cx="571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46" w:lineRule="exact"/>
        <w:rPr>
          <w:sz w:val="20"/>
          <w:szCs w:val="20"/>
          <w:color w:val="auto"/>
        </w:rPr>
      </w:pPr>
    </w:p>
    <w:p>
      <w:pPr>
        <w:jc w:val="both"/>
        <w:ind w:left="86" w:right="100" w:hanging="86"/>
        <w:spacing w:after="0" w:line="236" w:lineRule="auto"/>
        <w:tabs>
          <w:tab w:leader="none" w:pos="105"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the account payable and other accrued liabilities included $2.3 million in loss contingency due to a purchase obligation shortfall stemming from the AWS minimum commitment obligation that is not probable of being recovered through usage or other means and $2.8 million in legal settlement liabilities. See Note 6, “Commitments and Contingencies” to these consolidated financial statements for additional information.</w:t>
      </w:r>
    </w:p>
    <w:p>
      <w:pPr>
        <w:spacing w:after="0" w:line="85" w:lineRule="exact"/>
        <w:rPr>
          <w:sz w:val="20"/>
          <w:szCs w:val="20"/>
          <w:color w:val="auto"/>
        </w:rPr>
      </w:pPr>
    </w:p>
    <w:p>
      <w:pPr>
        <w:ind w:left="426" w:hanging="426"/>
        <w:spacing w:after="0"/>
        <w:tabs>
          <w:tab w:leader="none" w:pos="426"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 Liability</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At December 31, 2025, there were 12,499,973 Public Warrants outstanding and 7,000,000 Private Placement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561340</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561340</wp:posOffset>
            </wp:positionV>
            <wp:extent cx="3365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346"/>
          </w:cols>
          <w:pgMar w:left="494" w:top="608" w:right="4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1346"/>
          </w:cols>
          <w:pgMar w:left="494" w:top="608" w:right="400" w:bottom="146" w:gutter="0" w:footer="0" w:header="0"/>
          <w:type w:val="continuous"/>
        </w:sectPr>
      </w:pPr>
    </w:p>
    <w:bookmarkStart w:id="104" w:name="page105"/>
    <w:bookmarkEnd w:id="104"/>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7"/>
          <w:szCs w:val="17"/>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2" w:lineRule="exact"/>
        <w:rPr>
          <w:sz w:val="20"/>
          <w:szCs w:val="20"/>
          <w:color w:val="auto"/>
        </w:rPr>
      </w:pPr>
    </w:p>
    <w:p>
      <w:pPr>
        <w:jc w:val="both"/>
        <w:ind w:left="6"/>
        <w:spacing w:after="0" w:line="257" w:lineRule="auto"/>
        <w:rPr>
          <w:sz w:val="20"/>
          <w:szCs w:val="20"/>
          <w:color w:val="auto"/>
        </w:rPr>
      </w:pPr>
      <w:r>
        <w:rPr>
          <w:rFonts w:ascii="Times New Roman" w:cs="Times New Roman" w:eastAsia="Times New Roman" w:hAnsi="Times New Roman"/>
          <w:sz w:val="17"/>
          <w:szCs w:val="17"/>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Company may exercise its redemption right even if it is unable to register or qualify the underlying securities for sale under all applicable state securities laws.</w:t>
      </w:r>
    </w:p>
    <w:p>
      <w:pPr>
        <w:spacing w:after="0" w:line="114"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8" w:lineRule="exact"/>
        <w:rPr>
          <w:sz w:val="20"/>
          <w:szCs w:val="20"/>
          <w:color w:val="auto"/>
        </w:rPr>
      </w:pPr>
    </w:p>
    <w:p>
      <w:pPr>
        <w:jc w:val="both"/>
        <w:ind w:left="6"/>
        <w:spacing w:after="0" w:line="262" w:lineRule="auto"/>
        <w:rPr>
          <w:sz w:val="20"/>
          <w:szCs w:val="20"/>
          <w:color w:val="auto"/>
        </w:rPr>
      </w:pPr>
      <w:r>
        <w:rPr>
          <w:rFonts w:ascii="Times New Roman" w:cs="Times New Roman" w:eastAsia="Times New Roman" w:hAnsi="Times New Roman"/>
          <w:sz w:val="17"/>
          <w:szCs w:val="17"/>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Hedging </w:t>
      </w:r>
      <w:r>
        <w:rPr>
          <w:rFonts w:ascii="Times New Roman" w:cs="Times New Roman" w:eastAsia="Times New Roman" w:hAnsi="Times New Roman"/>
          <w:sz w:val="17"/>
          <w:szCs w:val="17"/>
          <w:color w:val="auto"/>
        </w:rPr>
        <w:t>(as described in Note 2) and are recorded as liabilities. Upon the Closing, the fair value of the Warrants was recorded on the balance sheet.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Warrants are remeasured as of each balance sheet date. The Company recorded non-cash gain of $0.4 million in the consolidated statements of operations for the year ended December 31, 2025. The Company recorded no gain or loss from remeasurement for the year ended December 31, 2024. For additional information, see Note 7, “Fair Value Measurements.”</w:t>
      </w:r>
    </w:p>
    <w:p>
      <w:pPr>
        <w:spacing w:after="0" w:line="68" w:lineRule="exact"/>
        <w:rPr>
          <w:sz w:val="20"/>
          <w:szCs w:val="20"/>
          <w:color w:val="auto"/>
        </w:rPr>
      </w:pPr>
    </w:p>
    <w:p>
      <w:pPr>
        <w:ind w:left="426" w:hanging="426"/>
        <w:spacing w:after="0"/>
        <w:tabs>
          <w:tab w:leader="none" w:pos="426"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1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1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563880</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563880</wp:posOffset>
            </wp:positionV>
            <wp:extent cx="3365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1246"/>
          </w:cols>
          <w:pgMar w:left="494" w:top="608" w:right="500" w:bottom="146"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Company’s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V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the Company’s board of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Company’s affairs, the holders of Class V Common Stock are not entitled to receive any of the Company’s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Issuance and Retirement of Class V Common Stock</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2025, there were no shares of preferred stock issued or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non-controlling interest represents the Units held by holders other than the Company. As of December 31, 2025 and 2024, the non-controlling interests owned 30.8% and 36.7% of the Units outstanding, respectively. The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584835</wp:posOffset>
            </wp:positionV>
            <wp:extent cx="3365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584835</wp:posOffset>
            </wp:positionV>
            <wp:extent cx="3365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1240"/>
          </w:cols>
          <w:pgMar w:left="500" w:top="608" w:right="500" w:bottom="146" w:gutter="0" w:footer="0" w:header="0"/>
          <w:type w:val="continuous"/>
        </w:sectPr>
      </w:pPr>
    </w:p>
    <w:bookmarkStart w:id="106" w:name="page107"/>
    <w:bookmarkEnd w:id="106"/>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7"/>
          <w:szCs w:val="17"/>
          <w:color w:val="auto"/>
        </w:rPr>
        <w:t>ownership percentage can fluctuate over time, including as the WMH LLC equity holders elect to exchange Units for Class A Common Stock. During the year ended December 31, 2025, 6.5 million shares of Class V Common Stock were exchanged on a one-to-one basis to shares of Class A Common Stock. The Company has consolidated the financial position and results of operations of WMH LLC and reflected the proportionate interest held by the WMH LLC Unit equity holders as non- controlling interests. See Note 15, “Income Taxes,”’ and the consolidated statement of equity for further information.</w:t>
      </w:r>
    </w:p>
    <w:p>
      <w:pPr>
        <w:spacing w:after="0" w:line="64" w:lineRule="exact"/>
        <w:rPr>
          <w:sz w:val="20"/>
          <w:szCs w:val="20"/>
          <w:color w:val="auto"/>
        </w:rPr>
      </w:pPr>
    </w:p>
    <w:p>
      <w:pPr>
        <w:ind w:left="426" w:hanging="426"/>
        <w:spacing w:after="0"/>
        <w:tabs>
          <w:tab w:leader="none" w:pos="426"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i w:val="1"/>
          <w:iCs w:val="1"/>
          <w:color w:val="auto"/>
        </w:rPr>
        <w:t>WM Holding Company, LLC Equity Incentive Plan</w:t>
      </w:r>
    </w:p>
    <w:p>
      <w:pPr>
        <w:spacing w:after="0" w:line="118"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7"/>
          <w:szCs w:val="17"/>
          <w:color w:val="auto"/>
        </w:rPr>
        <w:t xml:space="preserve">The Company has accounted for the issuance of Class A-3 and Class B Units issued under the WM Holding Company, LLC Equity Incentive Plan in accordance with ASC 718 - </w:t>
      </w:r>
      <w:r>
        <w:rPr>
          <w:rFonts w:ascii="Times New Roman" w:cs="Times New Roman" w:eastAsia="Times New Roman" w:hAnsi="Times New Roman"/>
          <w:sz w:val="17"/>
          <w:szCs w:val="17"/>
          <w:i w:val="1"/>
          <w:iCs w:val="1"/>
          <w:color w:val="auto"/>
        </w:rPr>
        <w:t>Stock Based Compensation</w:t>
      </w:r>
      <w:r>
        <w:rPr>
          <w:rFonts w:ascii="Times New Roman" w:cs="Times New Roman" w:eastAsia="Times New Roman" w:hAnsi="Times New Roman"/>
          <w:sz w:val="17"/>
          <w:szCs w:val="17"/>
          <w:color w:val="auto"/>
        </w:rPr>
        <w:t>. The Company considered the limitation on the exercisability of the Class A-3 and Class B Units to be a performance condition and recorded compensation cost when it becomes probable that the performance condition will be met.</w:t>
      </w:r>
    </w:p>
    <w:p>
      <w:pPr>
        <w:spacing w:after="0" w:line="62"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2"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0"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the Class P Unit activity for the periods presented is as follows:</w:t>
            </w:r>
          </w:p>
        </w:tc>
        <w:tc>
          <w:tcPr>
            <w:tcW w:w="2100" w:type="dxa"/>
            <w:vAlign w:val="bottom"/>
          </w:tcPr>
          <w:p>
            <w:pPr>
              <w:spacing w:after="0"/>
              <w:rPr>
                <w:sz w:val="19"/>
                <w:szCs w:val="19"/>
                <w:color w:val="auto"/>
              </w:rPr>
            </w:pPr>
          </w:p>
        </w:tc>
      </w:tr>
      <w:tr>
        <w:trPr>
          <w:trHeight w:val="251"/>
        </w:trPr>
        <w:tc>
          <w:tcPr>
            <w:tcW w:w="9140" w:type="dxa"/>
            <w:vAlign w:val="bottom"/>
            <w:tcBorders>
              <w:bottom w:val="single" w:sz="8" w:color="DDDDDD"/>
            </w:tcBorders>
          </w:tcPr>
          <w:p>
            <w:pPr>
              <w:spacing w:after="0"/>
              <w:rPr>
                <w:sz w:val="21"/>
                <w:szCs w:val="21"/>
                <w:color w:val="auto"/>
              </w:rPr>
            </w:pPr>
          </w:p>
        </w:tc>
        <w:tc>
          <w:tcPr>
            <w:tcW w:w="2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 of Units</w:t>
            </w:r>
          </w:p>
        </w:tc>
      </w:tr>
      <w:tr>
        <w:trPr>
          <w:trHeight w:val="218"/>
        </w:trPr>
        <w:tc>
          <w:tcPr>
            <w:tcW w:w="9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2024</w:t>
            </w: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14,403,732</w:t>
            </w:r>
          </w:p>
        </w:tc>
      </w:tr>
      <w:tr>
        <w:trPr>
          <w:trHeight w:val="219"/>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Exchanged for Class A Common Stock</w:t>
            </w:r>
          </w:p>
        </w:tc>
        <w:tc>
          <w:tcPr>
            <w:tcW w:w="2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2"/>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13,803,732</w:t>
            </w:r>
          </w:p>
        </w:tc>
      </w:tr>
      <w:tr>
        <w:trPr>
          <w:trHeight w:val="20"/>
        </w:trPr>
        <w:tc>
          <w:tcPr>
            <w:tcW w:w="9140" w:type="dxa"/>
            <w:vAlign w:val="bottom"/>
            <w:tcBorders>
              <w:bottom w:val="single" w:sz="8" w:color="DDDDDD"/>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36"/>
        </w:trPr>
        <w:tc>
          <w:tcPr>
            <w:tcW w:w="91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Vested, December 31, 2025</w:t>
            </w:r>
          </w:p>
        </w:tc>
        <w:tc>
          <w:tcPr>
            <w:tcW w:w="2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13,803,732</w:t>
            </w:r>
          </w:p>
        </w:tc>
      </w:tr>
      <w:tr>
        <w:trPr>
          <w:trHeight w:val="20"/>
        </w:trPr>
        <w:tc>
          <w:tcPr>
            <w:tcW w:w="9140" w:type="dxa"/>
            <w:vAlign w:val="bottom"/>
            <w:tcBorders>
              <w:top w:val="single" w:sz="8" w:color="DDDDDD"/>
            </w:tcBorders>
          </w:tcPr>
          <w:p>
            <w:pPr>
              <w:spacing w:after="0" w:line="20" w:lineRule="exact"/>
              <w:rPr>
                <w:sz w:val="1"/>
                <w:szCs w:val="1"/>
                <w:color w:val="auto"/>
              </w:rPr>
            </w:pPr>
          </w:p>
        </w:tc>
        <w:tc>
          <w:tcPr>
            <w:tcW w:w="2100" w:type="dxa"/>
            <w:vAlign w:val="bottom"/>
            <w:tcBorders>
              <w:top w:val="single" w:sz="8" w:color="DDDDDD"/>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7"/>
          <w:szCs w:val="17"/>
          <w:color w:val="auto"/>
        </w:rPr>
        <w:t>As of December 31, 2025, all the outstanding Class P Units have been vested and as such, there is no remaining unrecognized stock-based compensation expense for non-vested Class P Units. For the years ended December 31, 2025 and 2024, the Company recorded stock-based compensation expense for the Class P Units of $0.0 million and $0.2 million, respectively.</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i w:val="1"/>
          <w:iCs w:val="1"/>
          <w:color w:val="auto"/>
        </w:rPr>
        <w:t>WM Technology, Inc. Equity Incentive Plan</w:t>
      </w:r>
    </w:p>
    <w:p>
      <w:pPr>
        <w:spacing w:after="0" w:line="118"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2025, 48,307,514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2025, 22,856,490 shares of Class A Common Stock are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534670</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534670</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1246"/>
          </w:cols>
          <w:pgMar w:left="494" w:top="608" w:right="500" w:bottom="146"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restricted stock unit (“RSU”) activity for the year ended December 31, 2025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7"/>
                <w:szCs w:val="17"/>
                <w:color w:val="auto"/>
              </w:rPr>
            </w:pPr>
          </w:p>
        </w:tc>
        <w:tc>
          <w:tcPr>
            <w:tcW w:w="208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DDDDDD"/>
            </w:tcBorders>
          </w:tcPr>
          <w:p>
            <w:pPr>
              <w:spacing w:after="0"/>
              <w:rPr>
                <w:sz w:val="20"/>
                <w:szCs w:val="20"/>
                <w:color w:val="auto"/>
              </w:rPr>
            </w:pPr>
          </w:p>
        </w:tc>
        <w:tc>
          <w:tcPr>
            <w:tcW w:w="20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8"/>
        </w:trPr>
        <w:tc>
          <w:tcPr>
            <w:tcW w:w="6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2080" w:type="dxa"/>
            <w:vAlign w:val="bottom"/>
            <w:shd w:val="clear" w:color="auto" w:fill="DDDDDD"/>
          </w:tcPr>
          <w:p>
            <w:pPr>
              <w:jc w:val="center"/>
              <w:ind w:left="1274"/>
              <w:spacing w:after="0"/>
              <w:rPr>
                <w:sz w:val="20"/>
                <w:szCs w:val="20"/>
                <w:color w:val="auto"/>
              </w:rPr>
            </w:pPr>
            <w:r>
              <w:rPr>
                <w:rFonts w:ascii="Times New Roman" w:cs="Times New Roman" w:eastAsia="Times New Roman" w:hAnsi="Times New Roman"/>
                <w:sz w:val="17"/>
                <w:szCs w:val="17"/>
                <w:color w:val="auto"/>
                <w:w w:val="99"/>
              </w:rPr>
              <w:t>7,946,908</w:t>
            </w:r>
          </w:p>
        </w:tc>
        <w:tc>
          <w:tcPr>
            <w:tcW w:w="140" w:type="dxa"/>
            <w:vAlign w:val="bottom"/>
            <w:shd w:val="clear" w:color="auto" w:fill="DDDDDD"/>
          </w:tcPr>
          <w:p>
            <w:pPr>
              <w:spacing w:after="0"/>
              <w:rPr>
                <w:sz w:val="18"/>
                <w:szCs w:val="18"/>
                <w:color w:val="auto"/>
              </w:rPr>
            </w:pP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080" w:type="dxa"/>
            <w:vAlign w:val="bottom"/>
          </w:tcPr>
          <w:p>
            <w:pPr>
              <w:jc w:val="center"/>
              <w:ind w:left="1274"/>
              <w:spacing w:after="0"/>
              <w:rPr>
                <w:sz w:val="20"/>
                <w:szCs w:val="20"/>
                <w:color w:val="auto"/>
              </w:rPr>
            </w:pPr>
            <w:r>
              <w:rPr>
                <w:rFonts w:ascii="Times New Roman" w:cs="Times New Roman" w:eastAsia="Times New Roman" w:hAnsi="Times New Roman"/>
                <w:sz w:val="17"/>
                <w:szCs w:val="17"/>
                <w:color w:val="auto"/>
                <w:w w:val="99"/>
              </w:rPr>
              <w:t>4,963,635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19"/>
        </w:trPr>
        <w:tc>
          <w:tcPr>
            <w:tcW w:w="6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(4,183,252)</w:t>
            </w:r>
          </w:p>
        </w:tc>
        <w:tc>
          <w:tcPr>
            <w:tcW w:w="1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Cancelled/Forfeited/Expired</w:t>
            </w:r>
          </w:p>
        </w:tc>
        <w:tc>
          <w:tcPr>
            <w:tcW w:w="2080" w:type="dxa"/>
            <w:vAlign w:val="bottom"/>
            <w:tcBorders>
              <w:bottom w:val="single" w:sz="8" w:color="auto"/>
            </w:tcBorders>
          </w:tcPr>
          <w:p>
            <w:pPr>
              <w:jc w:val="center"/>
              <w:ind w:left="1294"/>
              <w:spacing w:after="0"/>
              <w:rPr>
                <w:sz w:val="20"/>
                <w:szCs w:val="20"/>
                <w:color w:val="auto"/>
              </w:rPr>
            </w:pPr>
            <w:r>
              <w:rPr>
                <w:rFonts w:ascii="Times New Roman" w:cs="Times New Roman" w:eastAsia="Times New Roman" w:hAnsi="Times New Roman"/>
                <w:sz w:val="17"/>
                <w:szCs w:val="17"/>
                <w:color w:val="auto"/>
                <w:w w:val="99"/>
              </w:rPr>
              <w:t>(811,325)</w:t>
            </w:r>
          </w:p>
        </w:tc>
        <w:tc>
          <w:tcPr>
            <w:tcW w:w="140" w:type="dxa"/>
            <w:vAlign w:val="bottom"/>
            <w:tcBorders>
              <w:bottom w:val="single" w:sz="8" w:color="DDDDDD"/>
            </w:tcBorders>
          </w:tcPr>
          <w:p>
            <w:pPr>
              <w:spacing w:after="0"/>
              <w:rPr>
                <w:sz w:val="19"/>
                <w:szCs w:val="19"/>
                <w:color w:val="auto"/>
              </w:rPr>
            </w:pPr>
          </w:p>
        </w:tc>
        <w:tc>
          <w:tcPr>
            <w:tcW w:w="120" w:type="dxa"/>
            <w:vAlign w:val="bottom"/>
            <w:tcBorders>
              <w:bottom w:val="single" w:sz="8" w:color="DDDDDD"/>
            </w:tcBorders>
          </w:tcPr>
          <w:p>
            <w:pPr>
              <w:spacing w:after="0"/>
              <w:rPr>
                <w:sz w:val="19"/>
                <w:szCs w:val="19"/>
                <w:color w:val="auto"/>
              </w:rPr>
            </w:pPr>
          </w:p>
        </w:tc>
        <w:tc>
          <w:tcPr>
            <w:tcW w:w="1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Non-vested at December 31, 2025</w:t>
            </w:r>
          </w:p>
        </w:tc>
        <w:tc>
          <w:tcPr>
            <w:tcW w:w="2080" w:type="dxa"/>
            <w:vAlign w:val="bottom"/>
            <w:tcBorders>
              <w:bottom w:val="single" w:sz="8" w:color="auto"/>
            </w:tcBorders>
            <w:shd w:val="clear" w:color="auto" w:fill="DDDDDD"/>
          </w:tcPr>
          <w:p>
            <w:pPr>
              <w:jc w:val="center"/>
              <w:ind w:left="1274"/>
              <w:spacing w:after="0"/>
              <w:rPr>
                <w:sz w:val="20"/>
                <w:szCs w:val="20"/>
                <w:color w:val="auto"/>
              </w:rPr>
            </w:pPr>
            <w:r>
              <w:rPr>
                <w:rFonts w:ascii="Times New Roman" w:cs="Times New Roman" w:eastAsia="Times New Roman" w:hAnsi="Times New Roman"/>
                <w:sz w:val="17"/>
                <w:szCs w:val="17"/>
                <w:color w:val="auto"/>
                <w:w w:val="99"/>
              </w:rPr>
              <w:t>7,915,966</w:t>
            </w:r>
          </w:p>
        </w:tc>
        <w:tc>
          <w:tcPr>
            <w:tcW w:w="26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0"/>
        </w:trPr>
        <w:tc>
          <w:tcPr>
            <w:tcW w:w="6920" w:type="dxa"/>
            <w:vAlign w:val="bottom"/>
            <w:tcBorders>
              <w:top w:val="single" w:sz="8" w:color="DDDDDD"/>
            </w:tcBorders>
          </w:tcPr>
          <w:p>
            <w:pPr>
              <w:spacing w:after="0" w:line="20" w:lineRule="exact"/>
              <w:rPr>
                <w:sz w:val="1"/>
                <w:szCs w:val="1"/>
                <w:color w:val="auto"/>
              </w:rPr>
            </w:pPr>
          </w:p>
        </w:tc>
        <w:tc>
          <w:tcPr>
            <w:tcW w:w="2080" w:type="dxa"/>
            <w:vAlign w:val="bottom"/>
            <w:tcBorders>
              <w:top w:val="single" w:sz="8" w:color="DDDDDD"/>
              <w:bottom w:val="single" w:sz="8" w:color="auto"/>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98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2025, unrecognized stock-based compensation expense for non-vested RSUs was $7.0 million, which is expected to be recognized over a weighted-average period of 2.0 years. For the years ended December 31, 2025 and 2024, the Company recorded stock-based compensation expense for the RSUs of $6.9 million and $8.8 million, respectively.</w:t>
      </w:r>
    </w:p>
    <w:p>
      <w:pPr>
        <w:spacing w:after="0" w:line="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The Company grants performance-based restricted stock units (“PRSUs”). For the awards with the Company’s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awards with market performance conditions, the vesting of the award is dependent upon the attainment of a target stock price. The Company recognizes stock-based compensation expense for awards with market conditions over the derived service period of the awards. The estimated fair value and derived service period for the awards with market conditions are calculated using a Monte Carlo simulation. Assumptions used in valuing awards with market conditions include the performance period, grant-date stock price, expected volatility, risk-free rate and cost of equity.</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November 2024, a PRSU market condition award of 4,342,391 units was granted to the Company’s Chief Executive Officer that will vest based upon achieving certain target prices for the Company’s common stock. Achievement of the target prices will be determined using the volume weighted average closing price of the Company’s Class A common stock over a 30 trading-day period. Any unvested PRSUs remaining after December 31, 2027 will be forfeited. If service is terminated prior to December 31, 2027, all unvested PRSUs will be forfeited.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key assumptions used in estimating the value of the PRSUs granted in November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Grant Date</w:t>
            </w:r>
          </w:p>
        </w:tc>
        <w:tc>
          <w:tcPr>
            <w:tcW w:w="420" w:type="dxa"/>
            <w:vAlign w:val="bottom"/>
            <w:tcBorders>
              <w:bottom w:val="single" w:sz="8" w:color="DDDDDD"/>
            </w:tcBorders>
          </w:tcPr>
          <w:p>
            <w:pPr>
              <w:spacing w:after="0"/>
              <w:rPr>
                <w:sz w:val="20"/>
                <w:szCs w:val="20"/>
                <w:color w:val="auto"/>
              </w:rPr>
            </w:pPr>
          </w:p>
        </w:tc>
        <w:tc>
          <w:tcPr>
            <w:tcW w:w="3900" w:type="dxa"/>
            <w:vAlign w:val="bottom"/>
            <w:tcBorders>
              <w:bottom w:val="single" w:sz="8" w:color="auto"/>
            </w:tcBorders>
            <w:gridSpan w:val="3"/>
          </w:tcPr>
          <w:p>
            <w:pPr>
              <w:jc w:val="right"/>
              <w:ind w:right="1154"/>
              <w:spacing w:after="0"/>
              <w:rPr>
                <w:sz w:val="20"/>
                <w:szCs w:val="20"/>
                <w:color w:val="auto"/>
              </w:rPr>
            </w:pPr>
            <w:r>
              <w:rPr>
                <w:rFonts w:ascii="Times New Roman" w:cs="Times New Roman" w:eastAsia="Times New Roman" w:hAnsi="Times New Roman"/>
                <w:sz w:val="17"/>
                <w:szCs w:val="17"/>
                <w:b w:val="1"/>
                <w:bCs w:val="1"/>
                <w:color w:val="auto"/>
              </w:rPr>
              <w:t>November 07, 2024</w:t>
            </w:r>
          </w:p>
        </w:tc>
        <w:tc>
          <w:tcPr>
            <w:tcW w:w="0" w:type="dxa"/>
            <w:vAlign w:val="bottom"/>
          </w:tcPr>
          <w:p>
            <w:pPr>
              <w:spacing w:after="0"/>
              <w:rPr>
                <w:sz w:val="1"/>
                <w:szCs w:val="1"/>
                <w:color w:val="auto"/>
              </w:rPr>
            </w:pPr>
          </w:p>
        </w:tc>
      </w:tr>
      <w:tr>
        <w:trPr>
          <w:trHeight w:val="218"/>
        </w:trPr>
        <w:tc>
          <w:tcPr>
            <w:tcW w:w="6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Performance period</w:t>
            </w:r>
          </w:p>
        </w:tc>
        <w:tc>
          <w:tcPr>
            <w:tcW w:w="420" w:type="dxa"/>
            <w:vAlign w:val="bottom"/>
            <w:shd w:val="clear" w:color="auto" w:fill="DDDDDD"/>
          </w:tcPr>
          <w:p>
            <w:pPr>
              <w:spacing w:after="0"/>
              <w:rPr>
                <w:sz w:val="18"/>
                <w:szCs w:val="18"/>
                <w:color w:val="auto"/>
              </w:rPr>
            </w:pPr>
          </w:p>
        </w:tc>
        <w:tc>
          <w:tcPr>
            <w:tcW w:w="3900" w:type="dxa"/>
            <w:vAlign w:val="bottom"/>
            <w:gridSpan w:val="3"/>
            <w:shd w:val="clear" w:color="auto" w:fill="DDDDDD"/>
          </w:tcPr>
          <w:p>
            <w:pPr>
              <w:jc w:val="right"/>
              <w:ind w:right="434"/>
              <w:spacing w:after="0"/>
              <w:rPr>
                <w:sz w:val="20"/>
                <w:szCs w:val="20"/>
                <w:color w:val="auto"/>
              </w:rPr>
            </w:pPr>
            <w:r>
              <w:rPr>
                <w:rFonts w:ascii="Times New Roman" w:cs="Times New Roman" w:eastAsia="Times New Roman" w:hAnsi="Times New Roman"/>
                <w:sz w:val="17"/>
                <w:szCs w:val="17"/>
                <w:color w:val="auto"/>
              </w:rPr>
              <w:t>November 07, 2024 - December 31, 2027</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PRSUs Granted</w:t>
            </w:r>
          </w:p>
        </w:tc>
        <w:tc>
          <w:tcPr>
            <w:tcW w:w="432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auto"/>
              </w:rPr>
              <w:t>4,342,391</w:t>
            </w:r>
          </w:p>
        </w:tc>
        <w:tc>
          <w:tcPr>
            <w:tcW w:w="0" w:type="dxa"/>
            <w:vAlign w:val="bottom"/>
          </w:tcPr>
          <w:p>
            <w:pPr>
              <w:spacing w:after="0"/>
              <w:rPr>
                <w:sz w:val="1"/>
                <w:szCs w:val="1"/>
                <w:color w:val="auto"/>
              </w:rPr>
            </w:pPr>
          </w:p>
        </w:tc>
      </w:tr>
      <w:tr>
        <w:trPr>
          <w:trHeight w:val="219"/>
        </w:trPr>
        <w:tc>
          <w:tcPr>
            <w:tcW w:w="6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Grant Date Stock Price</w:t>
            </w:r>
          </w:p>
        </w:tc>
        <w:tc>
          <w:tcPr>
            <w:tcW w:w="420" w:type="dxa"/>
            <w:vAlign w:val="bottom"/>
            <w:shd w:val="clear" w:color="auto" w:fill="DDDDDD"/>
          </w:tcPr>
          <w:p>
            <w:pPr>
              <w:spacing w:after="0"/>
              <w:rPr>
                <w:sz w:val="19"/>
                <w:szCs w:val="19"/>
                <w:color w:val="auto"/>
              </w:rPr>
            </w:pPr>
          </w:p>
        </w:tc>
        <w:tc>
          <w:tcPr>
            <w:tcW w:w="1660" w:type="dxa"/>
            <w:vAlign w:val="bottom"/>
            <w:shd w:val="clear" w:color="auto" w:fill="DDDDDD"/>
          </w:tcPr>
          <w:p>
            <w:pPr>
              <w:spacing w:after="0"/>
              <w:rPr>
                <w:sz w:val="19"/>
                <w:szCs w:val="19"/>
                <w:color w:val="auto"/>
              </w:rPr>
            </w:pPr>
          </w:p>
        </w:tc>
        <w:tc>
          <w:tcPr>
            <w:tcW w:w="2240" w:type="dxa"/>
            <w:vAlign w:val="bottom"/>
            <w:gridSpan w:val="2"/>
            <w:shd w:val="clear" w:color="auto" w:fill="DDDDDD"/>
          </w:tcPr>
          <w:p>
            <w:pPr>
              <w:jc w:val="center"/>
              <w:ind w:right="1574"/>
              <w:spacing w:after="0"/>
              <w:rPr>
                <w:sz w:val="20"/>
                <w:szCs w:val="20"/>
                <w:color w:val="auto"/>
              </w:rPr>
            </w:pPr>
            <w:r>
              <w:rPr>
                <w:rFonts w:ascii="Times New Roman" w:cs="Times New Roman" w:eastAsia="Times New Roman" w:hAnsi="Times New Roman"/>
                <w:sz w:val="17"/>
                <w:szCs w:val="17"/>
                <w:color w:val="auto"/>
                <w:w w:val="99"/>
              </w:rPr>
              <w:t>$0.77</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 at Valuation Date</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40" w:type="dxa"/>
            <w:vAlign w:val="bottom"/>
            <w:gridSpan w:val="2"/>
          </w:tcPr>
          <w:p>
            <w:pPr>
              <w:jc w:val="center"/>
              <w:ind w:right="1574"/>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19"/>
        </w:trPr>
        <w:tc>
          <w:tcPr>
            <w:tcW w:w="6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Cost of Equity</w:t>
            </w:r>
          </w:p>
        </w:tc>
        <w:tc>
          <w:tcPr>
            <w:tcW w:w="420" w:type="dxa"/>
            <w:vAlign w:val="bottom"/>
            <w:shd w:val="clear" w:color="auto" w:fill="DDDDDD"/>
          </w:tcPr>
          <w:p>
            <w:pPr>
              <w:spacing w:after="0"/>
              <w:rPr>
                <w:sz w:val="19"/>
                <w:szCs w:val="19"/>
                <w:color w:val="auto"/>
              </w:rPr>
            </w:pPr>
          </w:p>
        </w:tc>
        <w:tc>
          <w:tcPr>
            <w:tcW w:w="1660" w:type="dxa"/>
            <w:vAlign w:val="bottom"/>
            <w:shd w:val="clear" w:color="auto" w:fill="DDDDDD"/>
          </w:tcPr>
          <w:p>
            <w:pPr>
              <w:spacing w:after="0"/>
              <w:rPr>
                <w:sz w:val="19"/>
                <w:szCs w:val="19"/>
                <w:color w:val="auto"/>
              </w:rPr>
            </w:pPr>
          </w:p>
        </w:tc>
        <w:tc>
          <w:tcPr>
            <w:tcW w:w="2240" w:type="dxa"/>
            <w:vAlign w:val="bottom"/>
            <w:gridSpan w:val="2"/>
            <w:shd w:val="clear" w:color="auto" w:fill="DDDDDD"/>
          </w:tcPr>
          <w:p>
            <w:pPr>
              <w:jc w:val="center"/>
              <w:ind w:right="1574"/>
              <w:spacing w:after="0"/>
              <w:rPr>
                <w:sz w:val="20"/>
                <w:szCs w:val="20"/>
                <w:color w:val="auto"/>
              </w:rPr>
            </w:pPr>
            <w:r>
              <w:rPr>
                <w:rFonts w:ascii="Times New Roman" w:cs="Times New Roman" w:eastAsia="Times New Roman" w:hAnsi="Times New Roman"/>
                <w:sz w:val="17"/>
                <w:szCs w:val="17"/>
                <w:color w:val="auto"/>
              </w:rPr>
              <w:t>18.00%</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Volatility at Valuation Date</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40" w:type="dxa"/>
            <w:vAlign w:val="bottom"/>
            <w:gridSpan w:val="2"/>
          </w:tcPr>
          <w:p>
            <w:pPr>
              <w:jc w:val="center"/>
              <w:ind w:right="1574"/>
              <w:spacing w:after="0"/>
              <w:rPr>
                <w:sz w:val="20"/>
                <w:szCs w:val="20"/>
                <w:color w:val="auto"/>
              </w:rPr>
            </w:pPr>
            <w:r>
              <w:rPr>
                <w:rFonts w:ascii="Times New Roman" w:cs="Times New Roman" w:eastAsia="Times New Roman" w:hAnsi="Times New Roman"/>
                <w:sz w:val="17"/>
                <w:szCs w:val="17"/>
                <w:color w:val="auto"/>
              </w:rPr>
              <w:t>85.61%</w:t>
            </w:r>
          </w:p>
        </w:tc>
        <w:tc>
          <w:tcPr>
            <w:tcW w:w="0" w:type="dxa"/>
            <w:vAlign w:val="bottom"/>
          </w:tcPr>
          <w:p>
            <w:pPr>
              <w:spacing w:after="0"/>
              <w:rPr>
                <w:sz w:val="1"/>
                <w:szCs w:val="1"/>
                <w:color w:val="auto"/>
              </w:rPr>
            </w:pPr>
          </w:p>
        </w:tc>
      </w:tr>
      <w:tr>
        <w:trPr>
          <w:trHeight w:val="372"/>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the PRSU activity for the year ended December 31, 2025 is as follows:</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920" w:type="dxa"/>
            <w:vAlign w:val="bottom"/>
          </w:tcPr>
          <w:p>
            <w:pPr>
              <w:spacing w:after="0"/>
              <w:rPr>
                <w:sz w:val="24"/>
                <w:szCs w:val="24"/>
                <w:color w:val="auto"/>
              </w:rPr>
            </w:pPr>
          </w:p>
        </w:tc>
        <w:tc>
          <w:tcPr>
            <w:tcW w:w="2080" w:type="dxa"/>
            <w:vAlign w:val="bottom"/>
            <w:gridSpan w:val="2"/>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Number of PRSUs</w:t>
            </w:r>
          </w:p>
        </w:tc>
        <w:tc>
          <w:tcPr>
            <w:tcW w:w="140" w:type="dxa"/>
            <w:vAlign w:val="bottom"/>
          </w:tcPr>
          <w:p>
            <w:pPr>
              <w:spacing w:after="0"/>
              <w:rPr>
                <w:sz w:val="24"/>
                <w:szCs w:val="24"/>
                <w:color w:val="auto"/>
              </w:rPr>
            </w:pPr>
          </w:p>
        </w:tc>
        <w:tc>
          <w:tcPr>
            <w:tcW w:w="210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3"/>
        </w:trPr>
        <w:tc>
          <w:tcPr>
            <w:tcW w:w="6920" w:type="dxa"/>
            <w:vAlign w:val="bottom"/>
            <w:tcBorders>
              <w:bottom w:val="single" w:sz="8" w:color="DDDDDD"/>
            </w:tcBorders>
          </w:tcPr>
          <w:p>
            <w:pPr>
              <w:spacing w:after="0"/>
              <w:rPr>
                <w:sz w:val="20"/>
                <w:szCs w:val="20"/>
                <w:color w:val="auto"/>
              </w:rPr>
            </w:pPr>
          </w:p>
        </w:tc>
        <w:tc>
          <w:tcPr>
            <w:tcW w:w="208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DDDDDD"/>
            </w:tcBorders>
          </w:tcPr>
          <w:p>
            <w:pPr>
              <w:spacing w:after="0"/>
              <w:rPr>
                <w:sz w:val="20"/>
                <w:szCs w:val="20"/>
                <w:color w:val="auto"/>
              </w:rPr>
            </w:pPr>
          </w:p>
        </w:tc>
        <w:tc>
          <w:tcPr>
            <w:tcW w:w="21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8"/>
        </w:trPr>
        <w:tc>
          <w:tcPr>
            <w:tcW w:w="6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20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4,342,391</w:t>
            </w:r>
          </w:p>
        </w:tc>
        <w:tc>
          <w:tcPr>
            <w:tcW w:w="140" w:type="dxa"/>
            <w:vAlign w:val="bottom"/>
            <w:shd w:val="clear" w:color="auto" w:fill="DDDDDD"/>
          </w:tcPr>
          <w:p>
            <w:pPr>
              <w:spacing w:after="0"/>
              <w:rPr>
                <w:sz w:val="18"/>
                <w:szCs w:val="18"/>
                <w:color w:val="auto"/>
              </w:rPr>
            </w:pP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420" w:type="dxa"/>
            <w:vAlign w:val="bottom"/>
          </w:tcPr>
          <w:p>
            <w:pPr>
              <w:spacing w:after="0"/>
              <w:rPr>
                <w:sz w:val="19"/>
                <w:szCs w:val="19"/>
                <w:color w:val="auto"/>
              </w:rPr>
            </w:pPr>
          </w:p>
        </w:tc>
        <w:tc>
          <w:tcPr>
            <w:tcW w:w="16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20" w:type="dxa"/>
            <w:vAlign w:val="bottom"/>
            <w:shd w:val="clear" w:color="auto" w:fill="DDDDDD"/>
          </w:tcPr>
          <w:p>
            <w:pPr>
              <w:spacing w:after="0"/>
              <w:rPr>
                <w:sz w:val="19"/>
                <w:szCs w:val="19"/>
                <w:color w:val="auto"/>
              </w:rPr>
            </w:pPr>
          </w:p>
        </w:tc>
        <w:tc>
          <w:tcPr>
            <w:tcW w:w="1660" w:type="dxa"/>
            <w:vAlign w:val="bottom"/>
            <w:shd w:val="clear" w:color="auto" w:fill="DDDDDD"/>
          </w:tcPr>
          <w:p>
            <w:pPr>
              <w:ind w:left="14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DDDDDD"/>
          </w:tcPr>
          <w:p>
            <w:pPr>
              <w:spacing w:after="0"/>
              <w:rPr>
                <w:sz w:val="19"/>
                <w:szCs w:val="19"/>
                <w:color w:val="auto"/>
              </w:rPr>
            </w:pP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Cancelled/Forfeited/Expired</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DDDDDD"/>
            </w:tcBorders>
          </w:tcPr>
          <w:p>
            <w:pPr>
              <w:spacing w:after="0"/>
              <w:rPr>
                <w:sz w:val="19"/>
                <w:szCs w:val="19"/>
                <w:color w:val="auto"/>
              </w:rPr>
            </w:pPr>
          </w:p>
        </w:tc>
        <w:tc>
          <w:tcPr>
            <w:tcW w:w="2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Non-vested at December 31, 2025</w:t>
            </w:r>
          </w:p>
        </w:tc>
        <w:tc>
          <w:tcPr>
            <w:tcW w:w="208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4,342,391</w:t>
            </w:r>
          </w:p>
        </w:tc>
        <w:tc>
          <w:tcPr>
            <w:tcW w:w="224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0" w:type="dxa"/>
            <w:vAlign w:val="bottom"/>
          </w:tcPr>
          <w:p>
            <w:pPr>
              <w:spacing w:after="0"/>
              <w:rPr>
                <w:sz w:val="1"/>
                <w:szCs w:val="1"/>
                <w:color w:val="auto"/>
              </w:rPr>
            </w:pPr>
          </w:p>
        </w:tc>
      </w:tr>
      <w:tr>
        <w:trPr>
          <w:trHeight w:val="20"/>
        </w:trPr>
        <w:tc>
          <w:tcPr>
            <w:tcW w:w="692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660" w:type="dxa"/>
            <w:vAlign w:val="bottom"/>
            <w:tcBorders>
              <w:top w:val="single" w:sz="8" w:color="DDDDDD"/>
              <w:bottom w:val="single" w:sz="8" w:color="auto"/>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10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As of December 31, 2025, the unrecognized stock-based compensation expense for non-vested PRSUs was $0.6 million, which is expected to be recognized over a weighted-average period of 0.7 years. For the year ended December 31, 2025,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584835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584835</wp:posOffset>
            </wp:positionV>
            <wp:extent cx="3365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1240"/>
          </w:cols>
          <w:pgMar w:left="500" w:top="608" w:right="500" w:bottom="146"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recorded stock-based compensation expense of $0.9 million related to the PRSUs. For the year ended December 31, 2024, the Company recorded stock-based compensation credit of $0.2 million related to the PRSUs.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cost related to the RSUs, PRSUs and Class P Units in the following expense categories on the consolidated statements of operations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6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20" w:type="dxa"/>
            <w:vAlign w:val="bottom"/>
            <w:tcBorders>
              <w:bottom w:val="single" w:sz="8" w:color="auto"/>
            </w:tcBorders>
          </w:tcPr>
          <w:p>
            <w:pPr>
              <w:spacing w:after="0"/>
              <w:rPr>
                <w:sz w:val="20"/>
                <w:szCs w:val="20"/>
                <w:color w:val="auto"/>
              </w:rPr>
            </w:pPr>
          </w:p>
        </w:tc>
      </w:tr>
      <w:tr>
        <w:trPr>
          <w:trHeight w:val="218"/>
        </w:trPr>
        <w:tc>
          <w:tcPr>
            <w:tcW w:w="6960" w:type="dxa"/>
            <w:vAlign w:val="bottom"/>
            <w:tcBorders>
              <w:bottom w:val="single" w:sz="8" w:color="DDDDDD"/>
            </w:tcBorders>
          </w:tcPr>
          <w:p>
            <w:pPr>
              <w:spacing w:after="0"/>
              <w:rPr>
                <w:sz w:val="18"/>
                <w:szCs w:val="18"/>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bottom w:val="single" w:sz="8" w:color="auto"/>
            </w:tcBorders>
          </w:tcPr>
          <w:p>
            <w:pPr>
              <w:spacing w:after="0"/>
              <w:rPr>
                <w:sz w:val="18"/>
                <w:szCs w:val="18"/>
                <w:color w:val="auto"/>
              </w:rPr>
            </w:pPr>
          </w:p>
        </w:tc>
      </w:tr>
      <w:tr>
        <w:trPr>
          <w:trHeight w:val="212"/>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440" w:type="dxa"/>
            <w:vAlign w:val="bottom"/>
            <w:shd w:val="clear" w:color="auto" w:fill="DDDDDD"/>
          </w:tcPr>
          <w:p>
            <w:pPr>
              <w:jc w:val="right"/>
              <w:ind w:right="123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8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117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1,439</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3,516</w:t>
            </w:r>
          </w:p>
        </w:tc>
      </w:tr>
      <w:tr>
        <w:trPr>
          <w:trHeight w:val="219"/>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40" w:type="dxa"/>
            <w:vAlign w:val="bottom"/>
            <w:tcBorders>
              <w:bottom w:val="single" w:sz="8" w:color="auto"/>
            </w:tcBorders>
            <w:shd w:val="clear" w:color="auto" w:fill="DDDDDD"/>
          </w:tcPr>
          <w:p>
            <w:pPr>
              <w:spacing w:after="0"/>
              <w:rPr>
                <w:sz w:val="19"/>
                <w:szCs w:val="19"/>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4,949</w:t>
            </w:r>
          </w:p>
        </w:tc>
        <w:tc>
          <w:tcPr>
            <w:tcW w:w="80" w:type="dxa"/>
            <w:vAlign w:val="bottom"/>
            <w:shd w:val="clear" w:color="auto" w:fill="DDDDDD"/>
          </w:tcPr>
          <w:p>
            <w:pPr>
              <w:spacing w:after="0"/>
              <w:rPr>
                <w:sz w:val="19"/>
                <w:szCs w:val="19"/>
                <w:color w:val="auto"/>
              </w:rPr>
            </w:pPr>
          </w:p>
        </w:tc>
        <w:tc>
          <w:tcPr>
            <w:tcW w:w="138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4,266</w:t>
            </w:r>
          </w:p>
        </w:tc>
      </w:tr>
      <w:tr>
        <w:trPr>
          <w:trHeight w:val="212"/>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9,221</w:t>
            </w:r>
          </w:p>
        </w:tc>
      </w:tr>
      <w:tr>
        <w:trPr>
          <w:trHeight w:val="219"/>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Amount capitalized to software development</w:t>
            </w:r>
          </w:p>
        </w:tc>
        <w:tc>
          <w:tcPr>
            <w:tcW w:w="1440" w:type="dxa"/>
            <w:vAlign w:val="bottom"/>
            <w:tcBorders>
              <w:bottom w:val="single" w:sz="8" w:color="auto"/>
            </w:tcBorders>
            <w:shd w:val="clear" w:color="auto" w:fill="DDDDDD"/>
          </w:tcPr>
          <w:p>
            <w:pPr>
              <w:spacing w:after="0"/>
              <w:rPr>
                <w:sz w:val="19"/>
                <w:szCs w:val="19"/>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80" w:type="dxa"/>
            <w:vAlign w:val="bottom"/>
            <w:shd w:val="clear" w:color="auto" w:fill="DDDDDD"/>
          </w:tcPr>
          <w:p>
            <w:pPr>
              <w:spacing w:after="0"/>
              <w:rPr>
                <w:sz w:val="19"/>
                <w:szCs w:val="19"/>
                <w:color w:val="auto"/>
              </w:rPr>
            </w:pPr>
          </w:p>
        </w:tc>
        <w:tc>
          <w:tcPr>
            <w:tcW w:w="138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1,066</w:t>
            </w:r>
          </w:p>
        </w:tc>
      </w:tr>
      <w:tr>
        <w:trPr>
          <w:trHeight w:val="212"/>
        </w:trPr>
        <w:tc>
          <w:tcPr>
            <w:tcW w:w="6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cost</w:t>
            </w:r>
          </w:p>
        </w:tc>
        <w:tc>
          <w:tcPr>
            <w:tcW w:w="1440" w:type="dxa"/>
            <w:vAlign w:val="bottom"/>
            <w:tcBorders>
              <w:bottom w:val="single" w:sz="8" w:color="auto"/>
            </w:tcBorders>
          </w:tcPr>
          <w:p>
            <w:pPr>
              <w:jc w:val="right"/>
              <w:ind w:right="123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8,487</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10,287</w:t>
            </w:r>
          </w:p>
        </w:tc>
      </w:tr>
      <w:tr>
        <w:trPr>
          <w:trHeight w:val="20"/>
        </w:trPr>
        <w:tc>
          <w:tcPr>
            <w:tcW w:w="69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14.</w:t>
        <w:tab/>
        <w:t>Earnings Per Share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Basic income per share of Class A Common Stock is computed by dividing net earnings attributable to WM Technology, Inc. by the weighted-average number of shares of Class A Common Stock outstanding during the period. Diluted income per share of Class A Common Stock adjusts basic net income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computation of income per share attributable to WM Technology, Inc. and weighted-average shares of the Company’s Class A Common Stock outstanding are as follows for the years ended December 31, 2025 and 2024 (amounts in thousands, except for share and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0" w:type="dxa"/>
            <w:vAlign w:val="bottom"/>
          </w:tcPr>
          <w:p>
            <w:pPr>
              <w:spacing w:after="0"/>
              <w:rPr>
                <w:sz w:val="1"/>
                <w:szCs w:val="1"/>
                <w:color w:val="auto"/>
              </w:rPr>
            </w:pPr>
          </w:p>
        </w:tc>
      </w:tr>
      <w:tr>
        <w:trPr>
          <w:trHeight w:val="218"/>
        </w:trPr>
        <w:tc>
          <w:tcPr>
            <w:tcW w:w="6980" w:type="dxa"/>
            <w:vAlign w:val="bottom"/>
            <w:tcBorders>
              <w:bottom w:val="single" w:sz="8" w:color="DDDDDD"/>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DDDDDD"/>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9"/>
        </w:trPr>
        <w:tc>
          <w:tcPr>
            <w:tcW w:w="69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480" w:type="dxa"/>
            <w:vAlign w:val="bottom"/>
            <w:shd w:val="clear" w:color="auto" w:fill="DDDDDD"/>
          </w:tcPr>
          <w:p>
            <w:pPr>
              <w:spacing w:after="0"/>
              <w:rPr>
                <w:sz w:val="17"/>
                <w:szCs w:val="17"/>
                <w:color w:val="auto"/>
              </w:rPr>
            </w:pPr>
          </w:p>
        </w:tc>
        <w:tc>
          <w:tcPr>
            <w:tcW w:w="16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0" w:type="dxa"/>
            <w:vAlign w:val="bottom"/>
          </w:tcPr>
          <w:p>
            <w:pPr>
              <w:spacing w:after="0"/>
              <w:rPr>
                <w:sz w:val="1"/>
                <w:szCs w:val="1"/>
                <w:color w:val="auto"/>
              </w:rPr>
            </w:pPr>
          </w:p>
        </w:tc>
      </w:tr>
      <w:tr>
        <w:trPr>
          <w:trHeight w:val="219"/>
        </w:trPr>
        <w:tc>
          <w:tcPr>
            <w:tcW w:w="69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 after the Business Combination</w:t>
            </w:r>
          </w:p>
        </w:tc>
        <w:tc>
          <w:tcPr>
            <w:tcW w:w="480" w:type="dxa"/>
            <w:vAlign w:val="bottom"/>
            <w:tcBorders>
              <w:bottom w:val="single" w:sz="8" w:color="auto"/>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0" w:type="dxa"/>
            <w:vAlign w:val="bottom"/>
          </w:tcPr>
          <w:p>
            <w:pPr>
              <w:spacing w:after="0"/>
              <w:rPr>
                <w:sz w:val="1"/>
                <w:szCs w:val="1"/>
                <w:color w:val="auto"/>
              </w:rPr>
            </w:pPr>
          </w:p>
        </w:tc>
      </w:tr>
      <w:tr>
        <w:trPr>
          <w:trHeight w:val="212"/>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WM Technology, Inc. Class A Common Stock - basic and diluted</w:t>
            </w: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DDDDDD"/>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980" w:type="dxa"/>
            <w:vAlign w:val="bottom"/>
            <w:shd w:val="clear" w:color="auto" w:fill="DDDDDD"/>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480" w:type="dxa"/>
            <w:vAlign w:val="bottom"/>
            <w:shd w:val="clear" w:color="auto" w:fill="DDDDDD"/>
          </w:tcPr>
          <w:p>
            <w:pPr>
              <w:spacing w:after="0"/>
              <w:rPr>
                <w:sz w:val="16"/>
                <w:szCs w:val="16"/>
                <w:color w:val="auto"/>
              </w:rPr>
            </w:pPr>
          </w:p>
        </w:tc>
        <w:tc>
          <w:tcPr>
            <w:tcW w:w="16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16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of Class A Common Stock outstanding - basic</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106,572,365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96,254,679</w:t>
            </w:r>
          </w:p>
        </w:tc>
        <w:tc>
          <w:tcPr>
            <w:tcW w:w="0" w:type="dxa"/>
            <w:vAlign w:val="bottom"/>
          </w:tcPr>
          <w:p>
            <w:pPr>
              <w:spacing w:after="0"/>
              <w:rPr>
                <w:sz w:val="1"/>
                <w:szCs w:val="1"/>
                <w:color w:val="auto"/>
              </w:rPr>
            </w:pPr>
          </w:p>
        </w:tc>
      </w:tr>
      <w:tr>
        <w:trPr>
          <w:trHeight w:val="219"/>
        </w:trPr>
        <w:tc>
          <w:tcPr>
            <w:tcW w:w="69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Weighted average effect of dilutive securities:</w:t>
            </w:r>
          </w:p>
        </w:tc>
        <w:tc>
          <w:tcPr>
            <w:tcW w:w="480" w:type="dxa"/>
            <w:vAlign w:val="bottom"/>
            <w:shd w:val="clear" w:color="auto" w:fill="DDDDDD"/>
          </w:tcPr>
          <w:p>
            <w:pPr>
              <w:spacing w:after="0"/>
              <w:rPr>
                <w:sz w:val="19"/>
                <w:szCs w:val="19"/>
                <w:color w:val="auto"/>
              </w:rPr>
            </w:pPr>
          </w:p>
        </w:tc>
        <w:tc>
          <w:tcPr>
            <w:tcW w:w="16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6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units¹</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1,644,948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847,767</w:t>
            </w:r>
          </w:p>
        </w:tc>
        <w:tc>
          <w:tcPr>
            <w:tcW w:w="0" w:type="dxa"/>
            <w:vAlign w:val="bottom"/>
          </w:tcPr>
          <w:p>
            <w:pPr>
              <w:spacing w:after="0"/>
              <w:rPr>
                <w:sz w:val="1"/>
                <w:szCs w:val="1"/>
                <w:color w:val="auto"/>
              </w:rPr>
            </w:pPr>
          </w:p>
        </w:tc>
      </w:tr>
      <w:tr>
        <w:trPr>
          <w:trHeight w:val="219"/>
        </w:trPr>
        <w:tc>
          <w:tcPr>
            <w:tcW w:w="69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Performance-based restricted stock units</w:t>
            </w:r>
          </w:p>
        </w:tc>
        <w:tc>
          <w:tcPr>
            <w:tcW w:w="480" w:type="dxa"/>
            <w:vAlign w:val="bottom"/>
            <w:shd w:val="clear" w:color="auto" w:fill="DDDDDD"/>
          </w:tcPr>
          <w:p>
            <w:pPr>
              <w:spacing w:after="0"/>
              <w:rPr>
                <w:sz w:val="19"/>
                <w:szCs w:val="19"/>
                <w:color w:val="auto"/>
              </w:rPr>
            </w:pPr>
          </w:p>
        </w:tc>
        <w:tc>
          <w:tcPr>
            <w:tcW w:w="170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DDDDDD"/>
          </w:tcPr>
          <w:p>
            <w:pPr>
              <w:spacing w:after="0"/>
              <w:rPr>
                <w:sz w:val="19"/>
                <w:szCs w:val="19"/>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0" w:type="dxa"/>
            <w:vAlign w:val="bottom"/>
          </w:tcPr>
          <w:p>
            <w:pPr>
              <w:spacing w:after="0"/>
              <w:rPr>
                <w:sz w:val="1"/>
                <w:szCs w:val="1"/>
                <w:color w:val="auto"/>
              </w:rPr>
            </w:pPr>
          </w:p>
        </w:tc>
      </w:tr>
      <w:tr>
        <w:trPr>
          <w:trHeight w:val="212"/>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 average shares of Class A Common Stock outstanding - diluted</w:t>
            </w: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108,217,313</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97,103,304</w:t>
            </w:r>
          </w:p>
        </w:tc>
        <w:tc>
          <w:tcPr>
            <w:tcW w:w="0" w:type="dxa"/>
            <w:vAlign w:val="bottom"/>
          </w:tcPr>
          <w:p>
            <w:pPr>
              <w:spacing w:after="0"/>
              <w:rPr>
                <w:sz w:val="1"/>
                <w:szCs w:val="1"/>
                <w:color w:val="auto"/>
              </w:rPr>
            </w:pPr>
          </w:p>
        </w:tc>
      </w:tr>
      <w:tr>
        <w:trPr>
          <w:trHeight w:val="20"/>
        </w:trPr>
        <w:tc>
          <w:tcPr>
            <w:tcW w:w="6980" w:type="dxa"/>
            <w:vAlign w:val="bottom"/>
            <w:tcBorders>
              <w:bottom w:val="single" w:sz="8" w:color="DDDDDD"/>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16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 of Class A Common Stock:</w:t>
            </w: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Net income per share of Class A common Stock - basic</w:t>
            </w:r>
          </w:p>
        </w:tc>
        <w:tc>
          <w:tcPr>
            <w:tcW w:w="480" w:type="dxa"/>
            <w:vAlign w:val="bottom"/>
            <w:tcBorders>
              <w:bottom w:val="single" w:sz="8" w:color="auto"/>
            </w:tcBorders>
            <w:shd w:val="clear" w:color="auto" w:fill="DDDDDD"/>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tcBorders>
              <w:bottom w:val="single" w:sz="8" w:color="DDDDDD"/>
            </w:tcBorders>
            <w:shd w:val="clear" w:color="auto" w:fill="DDDDDD"/>
          </w:tcPr>
          <w:p>
            <w:pPr>
              <w:spacing w:after="0"/>
              <w:rPr>
                <w:sz w:val="20"/>
                <w:szCs w:val="20"/>
                <w:color w:val="auto"/>
              </w:rPr>
            </w:pPr>
          </w:p>
        </w:tc>
        <w:tc>
          <w:tcPr>
            <w:tcW w:w="480" w:type="dxa"/>
            <w:vAlign w:val="bottom"/>
            <w:tcBorders>
              <w:bottom w:val="single" w:sz="8" w:color="auto"/>
            </w:tcBorders>
            <w:shd w:val="clear" w:color="auto" w:fill="DDDDDD"/>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20"/>
        </w:trPr>
        <w:tc>
          <w:tcPr>
            <w:tcW w:w="698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6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6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Net income per share of Class A common Stock - diluted</w:t>
            </w:r>
          </w:p>
        </w:tc>
        <w:tc>
          <w:tcPr>
            <w:tcW w:w="480" w:type="dxa"/>
            <w:vAlign w:val="bottom"/>
            <w:tcBorders>
              <w:bottom w:val="single" w:sz="8" w:color="auto"/>
            </w:tcBorders>
          </w:tcPr>
          <w:p>
            <w:pPr>
              <w:jc w:val="right"/>
              <w:ind w:right="2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0.02</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2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___________________________________</w:t>
            </w: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9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¹ Calculated using the treasury stock method.</w:t>
            </w: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Shares of the Class V Common Stock do not participate in the earnings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528320</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528320</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1240"/>
          </w:cols>
          <w:pgMar w:left="500" w:top="608" w:right="500" w:bottom="146" w:gutter="0" w:footer="0" w:header="0"/>
          <w:type w:val="continuous"/>
        </w:sectPr>
      </w:pPr>
    </w:p>
    <w:bookmarkStart w:id="109" w:name="page110"/>
    <w:bookmarkEnd w:id="109"/>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 w:right="20"/>
        <w:spacing w:after="0" w:line="287" w:lineRule="auto"/>
        <w:rPr>
          <w:sz w:val="20"/>
          <w:szCs w:val="20"/>
          <w:color w:val="auto"/>
        </w:rPr>
      </w:pPr>
      <w:r>
        <w:rPr>
          <w:rFonts w:ascii="Times New Roman" w:cs="Times New Roman" w:eastAsia="Times New Roman" w:hAnsi="Times New Roman"/>
          <w:sz w:val="17"/>
          <w:szCs w:val="17"/>
          <w:color w:val="auto"/>
        </w:rPr>
        <w:t>potentially dilutive shares of Class A common stock under application of the if-converted method and are included in the computation of diluted earnings per share, except when the effect would be anti-dilutive.</w:t>
      </w:r>
    </w:p>
    <w:p>
      <w:pPr>
        <w:spacing w:after="0" w:line="48"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The Company excluded the following securities from its computation of diluted shares outstanding for the periods presented, as their effect would have been anti-dilutive:</w:t>
      </w:r>
    </w:p>
    <w:p>
      <w:pPr>
        <w:spacing w:after="0" w:line="83" w:lineRule="exact"/>
        <w:rPr>
          <w:sz w:val="20"/>
          <w:szCs w:val="20"/>
          <w:color w:val="auto"/>
        </w:rPr>
      </w:pPr>
    </w:p>
    <w:p>
      <w:pPr>
        <w:ind w:left="8126"/>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2"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6960" w:type="dxa"/>
            <w:vAlign w:val="bottom"/>
            <w:tcBorders>
              <w:bottom w:val="single" w:sz="8" w:color="DDDDDD"/>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DDDDDD"/>
            </w:tcBorders>
          </w:tcPr>
          <w:p>
            <w:pPr>
              <w:spacing w:after="0"/>
              <w:rPr>
                <w:sz w:val="19"/>
                <w:szCs w:val="19"/>
                <w:color w:val="auto"/>
              </w:rPr>
            </w:pPr>
          </w:p>
        </w:tc>
        <w:tc>
          <w:tcPr>
            <w:tcW w:w="210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Class V Shares</w:t>
            </w:r>
          </w:p>
        </w:tc>
        <w:tc>
          <w:tcPr>
            <w:tcW w:w="1240" w:type="dxa"/>
            <w:vAlign w:val="bottom"/>
            <w:shd w:val="clear" w:color="auto" w:fill="DDDDDD"/>
          </w:tcPr>
          <w:p>
            <w:pPr>
              <w:spacing w:after="0"/>
              <w:rPr>
                <w:sz w:val="18"/>
                <w:szCs w:val="18"/>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9"/>
              </w:rPr>
              <w:t>47,852,652</w:t>
            </w:r>
          </w:p>
        </w:tc>
        <w:tc>
          <w:tcPr>
            <w:tcW w:w="80" w:type="dxa"/>
            <w:vAlign w:val="bottom"/>
            <w:shd w:val="clear" w:color="auto" w:fill="DDDDDD"/>
          </w:tcPr>
          <w:p>
            <w:pPr>
              <w:spacing w:after="0"/>
              <w:rPr>
                <w:sz w:val="18"/>
                <w:szCs w:val="18"/>
                <w:color w:val="auto"/>
              </w:rPr>
            </w:pP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54,319,542</w:t>
            </w:r>
          </w:p>
        </w:tc>
      </w:tr>
      <w:tr>
        <w:trPr>
          <w:trHeight w:val="21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P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13,803,732</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14,403,732</w:t>
            </w:r>
          </w:p>
        </w:tc>
      </w:tr>
      <w:tr>
        <w:trPr>
          <w:trHeight w:val="219"/>
        </w:trPr>
        <w:tc>
          <w:tcPr>
            <w:tcW w:w="820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RSUs outstanding</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4,387,977</w:t>
            </w:r>
          </w:p>
        </w:tc>
        <w:tc>
          <w:tcPr>
            <w:tcW w:w="80" w:type="dxa"/>
            <w:vAlign w:val="bottom"/>
            <w:shd w:val="clear" w:color="auto" w:fill="DDDDDD"/>
          </w:tcPr>
          <w:p>
            <w:pPr>
              <w:spacing w:after="0"/>
              <w:rPr>
                <w:sz w:val="19"/>
                <w:szCs w:val="19"/>
                <w:color w:val="auto"/>
              </w:rPr>
            </w:pP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6,504,918</w:t>
            </w:r>
          </w:p>
        </w:tc>
      </w:tr>
      <w:tr>
        <w:trPr>
          <w:trHeight w:val="21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PRSUs outstanding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4,342,391</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4,342,391</w:t>
            </w:r>
          </w:p>
        </w:tc>
      </w:tr>
      <w:tr>
        <w:trPr>
          <w:trHeight w:val="219"/>
        </w:trPr>
        <w:tc>
          <w:tcPr>
            <w:tcW w:w="820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9"/>
              </w:rPr>
              <w:t>12,499,973</w:t>
            </w:r>
          </w:p>
        </w:tc>
        <w:tc>
          <w:tcPr>
            <w:tcW w:w="80" w:type="dxa"/>
            <w:vAlign w:val="bottom"/>
            <w:shd w:val="clear" w:color="auto" w:fill="DDDDDD"/>
          </w:tcPr>
          <w:p>
            <w:pPr>
              <w:spacing w:after="0"/>
              <w:rPr>
                <w:sz w:val="19"/>
                <w:szCs w:val="19"/>
                <w:color w:val="auto"/>
              </w:rPr>
            </w:pPr>
          </w:p>
        </w:tc>
        <w:tc>
          <w:tcPr>
            <w:tcW w:w="2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12,499,973</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r>
    </w:tbl>
    <w:p>
      <w:pPr>
        <w:spacing w:after="0" w:line="157" w:lineRule="exact"/>
        <w:rPr>
          <w:sz w:val="20"/>
          <w:szCs w:val="20"/>
          <w:color w:val="auto"/>
        </w:rPr>
      </w:pPr>
    </w:p>
    <w:p>
      <w:pPr>
        <w:ind w:left="426" w:hanging="426"/>
        <w:spacing w:after="0"/>
        <w:tabs>
          <w:tab w:leader="none" w:pos="426"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68"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68" w:lineRule="exact"/>
        <w:rPr>
          <w:sz w:val="20"/>
          <w:szCs w:val="20"/>
          <w:color w:val="auto"/>
        </w:rPr>
      </w:pPr>
    </w:p>
    <w:tbl>
      <w:tblPr>
        <w:tblLayout w:type="fixed"/>
        <w:tblInd w:w="6" w:type="dxa"/>
        <w:tblCellMar>
          <w:top w:w="0" w:type="dxa"/>
          <w:left w:w="0" w:type="dxa"/>
          <w:bottom w:w="0" w:type="dxa"/>
          <w:right w:w="0" w:type="dxa"/>
        </w:tblCellMar>
      </w:tblPr>
      <w:tr>
        <w:trPr>
          <w:trHeight w:val="227"/>
        </w:trPr>
        <w:tc>
          <w:tcPr>
            <w:tcW w:w="6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 Provision</w:t>
            </w:r>
          </w:p>
        </w:tc>
        <w:tc>
          <w:tcPr>
            <w:tcW w:w="1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09"/>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income before taxes are as follows (in thousands):</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4"/>
        </w:trPr>
        <w:tc>
          <w:tcPr>
            <w:tcW w:w="6960" w:type="dxa"/>
            <w:vAlign w:val="bottom"/>
          </w:tcPr>
          <w:p>
            <w:pPr>
              <w:spacing w:after="0"/>
              <w:rPr>
                <w:sz w:val="24"/>
                <w:szCs w:val="24"/>
                <w:color w:val="auto"/>
              </w:rPr>
            </w:pPr>
          </w:p>
        </w:tc>
        <w:tc>
          <w:tcPr>
            <w:tcW w:w="3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20" w:type="dxa"/>
            <w:vAlign w:val="bottom"/>
            <w:tcBorders>
              <w:bottom w:val="single" w:sz="8" w:color="auto"/>
            </w:tcBorders>
          </w:tcPr>
          <w:p>
            <w:pPr>
              <w:spacing w:after="0"/>
              <w:rPr>
                <w:sz w:val="24"/>
                <w:szCs w:val="24"/>
                <w:color w:val="auto"/>
              </w:rPr>
            </w:pPr>
          </w:p>
        </w:tc>
      </w:tr>
      <w:tr>
        <w:trPr>
          <w:trHeight w:val="218"/>
        </w:trPr>
        <w:tc>
          <w:tcPr>
            <w:tcW w:w="6960" w:type="dxa"/>
            <w:vAlign w:val="bottom"/>
            <w:tcBorders>
              <w:bottom w:val="single" w:sz="8" w:color="DDDDDD"/>
            </w:tcBorders>
          </w:tcPr>
          <w:p>
            <w:pPr>
              <w:spacing w:after="0"/>
              <w:rPr>
                <w:sz w:val="18"/>
                <w:szCs w:val="18"/>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bottom w:val="single" w:sz="8" w:color="auto"/>
            </w:tcBorders>
          </w:tcPr>
          <w:p>
            <w:pPr>
              <w:spacing w:after="0"/>
              <w:rPr>
                <w:sz w:val="18"/>
                <w:szCs w:val="18"/>
                <w:color w:val="auto"/>
              </w:rPr>
            </w:pPr>
          </w:p>
        </w:tc>
      </w:tr>
      <w:tr>
        <w:trPr>
          <w:trHeight w:val="212"/>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1440" w:type="dxa"/>
            <w:vAlign w:val="bottom"/>
            <w:shd w:val="clear" w:color="auto" w:fill="DDDDDD"/>
          </w:tcPr>
          <w:p>
            <w:pPr>
              <w:jc w:val="right"/>
              <w:ind w:right="123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3,338</w:t>
            </w:r>
          </w:p>
        </w:tc>
        <w:tc>
          <w:tcPr>
            <w:tcW w:w="8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117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12,279</w:t>
            </w:r>
          </w:p>
        </w:tc>
      </w:tr>
      <w:tr>
        <w:trPr>
          <w:trHeight w:val="219"/>
        </w:trPr>
        <w:tc>
          <w:tcPr>
            <w:tcW w:w="696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DDDDDD"/>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7"/>
        </w:trPr>
        <w:tc>
          <w:tcPr>
            <w:tcW w:w="69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40" w:type="dxa"/>
            <w:vAlign w:val="bottom"/>
            <w:tcBorders>
              <w:bottom w:val="single" w:sz="8" w:color="auto"/>
            </w:tcBorders>
            <w:shd w:val="clear" w:color="auto" w:fill="DDDDDD"/>
          </w:tcPr>
          <w:p>
            <w:pPr>
              <w:spacing w:after="0"/>
              <w:rPr>
                <w:sz w:val="20"/>
                <w:szCs w:val="20"/>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80" w:type="dxa"/>
            <w:vAlign w:val="bottom"/>
            <w:tcBorders>
              <w:bottom w:val="single" w:sz="8" w:color="DDDDDD"/>
            </w:tcBorders>
            <w:shd w:val="clear" w:color="auto" w:fill="DDDDDD"/>
          </w:tcPr>
          <w:p>
            <w:pPr>
              <w:spacing w:after="0"/>
              <w:rPr>
                <w:sz w:val="20"/>
                <w:szCs w:val="20"/>
                <w:color w:val="auto"/>
              </w:rPr>
            </w:pPr>
          </w:p>
        </w:tc>
        <w:tc>
          <w:tcPr>
            <w:tcW w:w="1380" w:type="dxa"/>
            <w:vAlign w:val="bottom"/>
            <w:tcBorders>
              <w:bottom w:val="single" w:sz="8" w:color="auto"/>
            </w:tcBorders>
            <w:shd w:val="clear" w:color="auto" w:fill="DDDDDD"/>
          </w:tcPr>
          <w:p>
            <w:pPr>
              <w:spacing w:after="0"/>
              <w:rPr>
                <w:sz w:val="20"/>
                <w:szCs w:val="20"/>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12,233</w:t>
            </w:r>
          </w:p>
        </w:tc>
      </w:tr>
      <w:tr>
        <w:trPr>
          <w:trHeight w:val="20"/>
        </w:trPr>
        <w:tc>
          <w:tcPr>
            <w:tcW w:w="6960" w:type="dxa"/>
            <w:vAlign w:val="bottom"/>
            <w:tcBorders>
              <w:top w:val="single" w:sz="8" w:color="DDDDDD"/>
            </w:tcBorders>
          </w:tcPr>
          <w:p>
            <w:pPr>
              <w:spacing w:after="0" w:line="20" w:lineRule="exact"/>
              <w:rPr>
                <w:sz w:val="1"/>
                <w:szCs w:val="1"/>
                <w:color w:val="auto"/>
              </w:rPr>
            </w:pPr>
          </w:p>
        </w:tc>
        <w:tc>
          <w:tcPr>
            <w:tcW w:w="1440" w:type="dxa"/>
            <w:vAlign w:val="bottom"/>
            <w:tcBorders>
              <w:top w:val="single" w:sz="8" w:color="DDDDDD"/>
              <w:bottom w:val="single" w:sz="8" w:color="auto"/>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380" w:type="dxa"/>
            <w:vAlign w:val="bottom"/>
            <w:tcBorders>
              <w:top w:val="single" w:sz="8" w:color="DDDDDD"/>
              <w:bottom w:val="single" w:sz="8" w:color="auto"/>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components of the provision for income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561340</wp:posOffset>
            </wp:positionV>
            <wp:extent cx="3365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561340</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1246"/>
          </w:cols>
          <w:pgMar w:left="494" w:top="608" w:right="500" w:bottom="146" w:gutter="0" w:footer="0" w:header="0"/>
          <w:type w:val="continuous"/>
        </w:sectPr>
      </w:pPr>
    </w:p>
    <w:bookmarkStart w:id="110" w:name="page111"/>
    <w:bookmarkEnd w:id="110"/>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6" w:type="dxa"/>
        <w:tblCellMar>
          <w:top w:w="0" w:type="dxa"/>
          <w:left w:w="0" w:type="dxa"/>
          <w:bottom w:w="0" w:type="dxa"/>
          <w:right w:w="0" w:type="dxa"/>
        </w:tblCellMar>
      </w:tblPr>
      <w:tr>
        <w:trPr>
          <w:trHeight w:val="233"/>
        </w:trPr>
        <w:tc>
          <w:tcPr>
            <w:tcW w:w="6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8"/>
        </w:trPr>
        <w:tc>
          <w:tcPr>
            <w:tcW w:w="6960" w:type="dxa"/>
            <w:vAlign w:val="bottom"/>
            <w:tcBorders>
              <w:bottom w:val="single" w:sz="8" w:color="DDDDDD"/>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DDDDDD"/>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50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69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500" w:type="dxa"/>
            <w:vAlign w:val="bottom"/>
            <w:shd w:val="clear" w:color="auto" w:fill="DDDDDD"/>
          </w:tcPr>
          <w:p>
            <w:pPr>
              <w:spacing w:after="0"/>
              <w:rPr>
                <w:sz w:val="19"/>
                <w:szCs w:val="19"/>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6960" w:type="dxa"/>
            <w:vAlign w:val="bottom"/>
            <w:tcBorders>
              <w:bottom w:val="single" w:sz="8" w:color="DDDDDD"/>
            </w:tcBorders>
          </w:tcPr>
          <w:p>
            <w:pPr>
              <w:ind w:left="120"/>
              <w:spacing w:after="0"/>
              <w:rPr>
                <w:sz w:val="20"/>
                <w:szCs w:val="20"/>
                <w:color w:val="auto"/>
              </w:rPr>
            </w:pPr>
            <w:r>
              <w:rPr>
                <w:rFonts w:ascii="Times New Roman" w:cs="Times New Roman" w:eastAsia="Times New Roman" w:hAnsi="Times New Roman"/>
                <w:sz w:val="17"/>
                <w:szCs w:val="17"/>
                <w:color w:val="auto"/>
              </w:rPr>
              <w:t>Foreign</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DDDDDD"/>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96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9"/>
        </w:trPr>
        <w:tc>
          <w:tcPr>
            <w:tcW w:w="69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500" w:type="dxa"/>
            <w:vAlign w:val="bottom"/>
            <w:shd w:val="clear" w:color="auto" w:fill="DDDDDD"/>
          </w:tcPr>
          <w:p>
            <w:pPr>
              <w:spacing w:after="0"/>
              <w:rPr>
                <w:sz w:val="19"/>
                <w:szCs w:val="19"/>
                <w:color w:val="auto"/>
              </w:rPr>
            </w:pPr>
          </w:p>
        </w:tc>
        <w:tc>
          <w:tcPr>
            <w:tcW w:w="168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DDDDDD"/>
          </w:tcPr>
          <w:p>
            <w:pPr>
              <w:spacing w:after="0"/>
              <w:rPr>
                <w:sz w:val="19"/>
                <w:szCs w:val="19"/>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5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Foreign</w:t>
            </w:r>
          </w:p>
        </w:tc>
        <w:tc>
          <w:tcPr>
            <w:tcW w:w="500" w:type="dxa"/>
            <w:vAlign w:val="bottom"/>
            <w:shd w:val="clear" w:color="auto" w:fill="DDDDDD"/>
          </w:tcPr>
          <w:p>
            <w:pPr>
              <w:spacing w:after="0"/>
              <w:rPr>
                <w:sz w:val="19"/>
                <w:szCs w:val="19"/>
                <w:color w:val="auto"/>
              </w:rPr>
            </w:pPr>
          </w:p>
        </w:tc>
        <w:tc>
          <w:tcPr>
            <w:tcW w:w="168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DDDDDD"/>
          </w:tcPr>
          <w:p>
            <w:pPr>
              <w:spacing w:after="0"/>
              <w:rPr>
                <w:sz w:val="19"/>
                <w:szCs w:val="19"/>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960" w:type="dxa"/>
            <w:vAlign w:val="bottom"/>
            <w:tcBorders>
              <w:bottom w:val="single" w:sz="8" w:color="DDDDDD"/>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DDDDDD"/>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9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00" w:type="dxa"/>
            <w:vAlign w:val="bottom"/>
            <w:tcBorders>
              <w:bottom w:val="single" w:sz="8" w:color="auto"/>
            </w:tcBorders>
            <w:shd w:val="clear" w:color="auto" w:fill="DDDDDD"/>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Borders>
              <w:bottom w:val="single" w:sz="8" w:color="DDDDDD"/>
            </w:tcBorders>
            <w:shd w:val="clear" w:color="auto" w:fill="DDDDDD"/>
          </w:tcPr>
          <w:p>
            <w:pPr>
              <w:spacing w:after="0"/>
              <w:rPr>
                <w:sz w:val="20"/>
                <w:szCs w:val="20"/>
                <w:color w:val="auto"/>
              </w:rPr>
            </w:pPr>
          </w:p>
        </w:tc>
        <w:tc>
          <w:tcPr>
            <w:tcW w:w="500" w:type="dxa"/>
            <w:vAlign w:val="bottom"/>
            <w:tcBorders>
              <w:bottom w:val="single" w:sz="8" w:color="auto"/>
            </w:tcBorders>
            <w:shd w:val="clear" w:color="auto" w:fill="DDDDDD"/>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
        </w:trPr>
        <w:tc>
          <w:tcPr>
            <w:tcW w:w="696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6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600" w:type="dxa"/>
            <w:vAlign w:val="bottom"/>
            <w:tcBorders>
              <w:top w:val="single" w:sz="8" w:color="DDDDDD"/>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6"/>
        <w:spacing w:after="0" w:line="287" w:lineRule="auto"/>
        <w:rPr>
          <w:sz w:val="20"/>
          <w:szCs w:val="20"/>
          <w:color w:val="auto"/>
        </w:rPr>
      </w:pPr>
      <w:r>
        <w:rPr>
          <w:rFonts w:ascii="Times New Roman" w:cs="Times New Roman" w:eastAsia="Times New Roman" w:hAnsi="Times New Roman"/>
          <w:sz w:val="17"/>
          <w:szCs w:val="17"/>
          <w:color w:val="auto"/>
        </w:rPr>
        <w:t>The change in the Company’s income tax provision during the years ended December 31, 2025 and 2024 were due to the continuation of recording a full valuation allowance on our deferred tax assets and continued remeasurement of the related TRA liability.</w:t>
      </w:r>
    </w:p>
    <w:p>
      <w:pPr>
        <w:spacing w:after="0" w:line="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following reconciles the differences between income taxes computed at the federal statutory rate and the provision for income taxes, under newly adopted</w:t>
      </w:r>
    </w:p>
    <w:p>
      <w:pPr>
        <w:spacing w:after="0" w:line="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which we adopted for the year ended 2025 on a retrospective basis (in thousands):</w:t>
      </w:r>
    </w:p>
    <w:p>
      <w:pPr>
        <w:spacing w:after="0" w:line="132" w:lineRule="exact"/>
        <w:rPr>
          <w:sz w:val="20"/>
          <w:szCs w:val="20"/>
          <w:color w:val="auto"/>
        </w:rPr>
      </w:pPr>
    </w:p>
    <w:tbl>
      <w:tblPr>
        <w:tblLayout w:type="fixed"/>
        <w:tblInd w:w="6" w:type="dxa"/>
        <w:tblCellMar>
          <w:top w:w="0" w:type="dxa"/>
          <w:left w:w="0" w:type="dxa"/>
          <w:bottom w:w="0" w:type="dxa"/>
          <w:right w:w="0" w:type="dxa"/>
        </w:tblCellMar>
      </w:tblPr>
      <w:tr>
        <w:trPr>
          <w:trHeight w:val="233"/>
        </w:trPr>
        <w:tc>
          <w:tcPr>
            <w:tcW w:w="47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18"/>
        </w:trPr>
        <w:tc>
          <w:tcPr>
            <w:tcW w:w="4740" w:type="dxa"/>
            <w:vAlign w:val="bottom"/>
            <w:tcBorders>
              <w:bottom w:val="single" w:sz="8" w:color="DDDDDD"/>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Borders>
              <w:bottom w:val="single" w:sz="8" w:color="auto"/>
            </w:tcBorders>
          </w:tcPr>
          <w:p>
            <w:pPr>
              <w:spacing w:after="0"/>
              <w:rPr>
                <w:sz w:val="18"/>
                <w:szCs w:val="18"/>
                <w:color w:val="auto"/>
              </w:rPr>
            </w:pPr>
          </w:p>
        </w:tc>
      </w:tr>
      <w:tr>
        <w:trPr>
          <w:trHeight w:val="212"/>
        </w:trPr>
        <w:tc>
          <w:tcPr>
            <w:tcW w:w="47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Federal statutory rate</w:t>
            </w:r>
          </w:p>
        </w:tc>
        <w:tc>
          <w:tcPr>
            <w:tcW w:w="520" w:type="dxa"/>
            <w:vAlign w:val="bottom"/>
            <w:shd w:val="clear" w:color="auto" w:fill="DDDDDD"/>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960" w:type="dxa"/>
            <w:vAlign w:val="bottom"/>
            <w:shd w:val="clear" w:color="auto" w:fill="DDDDDD"/>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10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4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State blended statutory rate</w:t>
            </w:r>
            <w:r>
              <w:rPr>
                <w:rFonts w:ascii="Times New Roman" w:cs="Times New Roman" w:eastAsia="Times New Roman" w:hAnsi="Times New Roman"/>
                <w:sz w:val="22"/>
                <w:szCs w:val="22"/>
                <w:color w:val="auto"/>
                <w:vertAlign w:val="superscript"/>
              </w:rPr>
              <w:t>(1)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19"/>
        </w:trPr>
        <w:tc>
          <w:tcPr>
            <w:tcW w:w="47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Income taxed to owners of non-controlling interests</w:t>
            </w:r>
          </w:p>
        </w:tc>
        <w:tc>
          <w:tcPr>
            <w:tcW w:w="52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6"/>
              </w:rPr>
              <w:t>(1,219)</w:t>
            </w:r>
          </w:p>
        </w:tc>
        <w:tc>
          <w:tcPr>
            <w:tcW w:w="1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impact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spacing w:after="0"/>
              <w:rPr>
                <w:sz w:val="19"/>
                <w:szCs w:val="19"/>
                <w:color w:val="auto"/>
              </w:rPr>
            </w:pPr>
          </w:p>
        </w:tc>
        <w:tc>
          <w:tcPr>
            <w:tcW w:w="1240" w:type="dxa"/>
            <w:vAlign w:val="bottom"/>
            <w:gridSpan w:val="3"/>
          </w:tcPr>
          <w:p>
            <w:pPr>
              <w:jc w:val="right"/>
              <w:ind w:right="7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47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520" w:type="dxa"/>
            <w:vAlign w:val="bottom"/>
            <w:shd w:val="clear" w:color="auto" w:fill="DDDDDD"/>
          </w:tcPr>
          <w:p>
            <w:pPr>
              <w:spacing w:after="0"/>
              <w:rPr>
                <w:sz w:val="19"/>
                <w:szCs w:val="19"/>
                <w:color w:val="auto"/>
              </w:rPr>
            </w:pPr>
          </w:p>
        </w:tc>
        <w:tc>
          <w:tcPr>
            <w:tcW w:w="1500" w:type="dxa"/>
            <w:vAlign w:val="bottom"/>
            <w:gridSpan w:val="4"/>
            <w:shd w:val="clear" w:color="auto" w:fill="DDDDDD"/>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11.7 %</w:t>
            </w: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19"/>
        </w:trPr>
        <w:tc>
          <w:tcPr>
            <w:tcW w:w="47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52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96"/>
              </w:rPr>
              <w:t>(1,298)</w:t>
            </w:r>
          </w:p>
        </w:tc>
        <w:tc>
          <w:tcPr>
            <w:tcW w:w="1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Meals and entertainment</w:t>
            </w:r>
          </w:p>
        </w:tc>
        <w:tc>
          <w:tcPr>
            <w:tcW w:w="520" w:type="dxa"/>
            <w:vAlign w:val="bottom"/>
          </w:tcPr>
          <w:p>
            <w:pPr>
              <w:spacing w:after="0"/>
              <w:rPr>
                <w:sz w:val="19"/>
                <w:szCs w:val="19"/>
                <w:color w:val="auto"/>
              </w:rPr>
            </w:pPr>
          </w:p>
        </w:tc>
        <w:tc>
          <w:tcPr>
            <w:tcW w:w="1500" w:type="dxa"/>
            <w:vAlign w:val="bottom"/>
            <w:gridSpan w:val="4"/>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19"/>
        </w:trPr>
        <w:tc>
          <w:tcPr>
            <w:tcW w:w="47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Executive compensation</w:t>
            </w:r>
          </w:p>
        </w:tc>
        <w:tc>
          <w:tcPr>
            <w:tcW w:w="52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(3,045)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19"/>
        </w:trPr>
        <w:tc>
          <w:tcPr>
            <w:tcW w:w="47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Tax receivable agreement revaluation</w:t>
            </w:r>
          </w:p>
        </w:tc>
        <w:tc>
          <w:tcPr>
            <w:tcW w:w="52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Fines and penalties</w:t>
            </w:r>
          </w:p>
        </w:tc>
        <w:tc>
          <w:tcPr>
            <w:tcW w:w="520" w:type="dxa"/>
            <w:vAlign w:val="bottom"/>
          </w:tcPr>
          <w:p>
            <w:pPr>
              <w:spacing w:after="0"/>
              <w:rPr>
                <w:sz w:val="19"/>
                <w:szCs w:val="19"/>
                <w:color w:val="auto"/>
              </w:rPr>
            </w:pPr>
          </w:p>
        </w:tc>
        <w:tc>
          <w:tcPr>
            <w:tcW w:w="1500" w:type="dxa"/>
            <w:vAlign w:val="bottom"/>
            <w:gridSpan w:val="4"/>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37"/>
        </w:trPr>
        <w:tc>
          <w:tcPr>
            <w:tcW w:w="474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20" w:type="dxa"/>
            <w:vAlign w:val="bottom"/>
            <w:tcBorders>
              <w:top w:val="single" w:sz="8" w:color="auto"/>
              <w:bottom w:val="single" w:sz="8" w:color="auto"/>
            </w:tcBorders>
            <w:shd w:val="clear" w:color="auto" w:fill="DDDDDD"/>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80" w:type="dxa"/>
            <w:vAlign w:val="bottom"/>
            <w:tcBorders>
              <w:top w:val="single" w:sz="8" w:color="DDDDDD"/>
              <w:bottom w:val="single" w:sz="8" w:color="DDDDDD"/>
            </w:tcBorders>
            <w:shd w:val="clear" w:color="auto" w:fill="DDDDDD"/>
          </w:tcPr>
          <w:p>
            <w:pPr>
              <w:spacing w:after="0"/>
              <w:rPr>
                <w:sz w:val="20"/>
                <w:szCs w:val="20"/>
                <w:color w:val="auto"/>
              </w:rPr>
            </w:pPr>
          </w:p>
        </w:tc>
        <w:tc>
          <w:tcPr>
            <w:tcW w:w="440" w:type="dxa"/>
            <w:vAlign w:val="bottom"/>
            <w:tcBorders>
              <w:top w:val="single" w:sz="8" w:color="auto"/>
              <w:bottom w:val="single" w:sz="8" w:color="auto"/>
            </w:tcBorders>
            <w:shd w:val="clear" w:color="auto" w:fill="DDDDDD"/>
          </w:tcPr>
          <w:p>
            <w:pPr>
              <w:spacing w:after="0"/>
              <w:rPr>
                <w:sz w:val="20"/>
                <w:szCs w:val="20"/>
                <w:color w:val="auto"/>
              </w:rPr>
            </w:pPr>
          </w:p>
        </w:tc>
        <w:tc>
          <w:tcPr>
            <w:tcW w:w="1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960" w:type="dxa"/>
            <w:vAlign w:val="bottom"/>
            <w:tcBorders>
              <w:top w:val="single" w:sz="8" w:color="auto"/>
              <w:bottom w:val="single" w:sz="8" w:color="auto"/>
            </w:tcBorders>
            <w:shd w:val="clear" w:color="auto" w:fill="DDDDDD"/>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top w:val="single" w:sz="8" w:color="DDDDDD"/>
              <w:bottom w:val="single" w:sz="8" w:color="DDDDDD"/>
            </w:tcBorders>
            <w:shd w:val="clear" w:color="auto" w:fill="DDDDDD"/>
          </w:tcPr>
          <w:p>
            <w:pPr>
              <w:spacing w:after="0"/>
              <w:rPr>
                <w:sz w:val="20"/>
                <w:szCs w:val="20"/>
                <w:color w:val="auto"/>
              </w:rPr>
            </w:pPr>
          </w:p>
        </w:tc>
        <w:tc>
          <w:tcPr>
            <w:tcW w:w="620" w:type="dxa"/>
            <w:vAlign w:val="bottom"/>
            <w:tcBorders>
              <w:top w:val="single" w:sz="8" w:color="auto"/>
              <w:bottom w:val="single" w:sz="8" w:color="auto"/>
            </w:tcBorders>
            <w:shd w:val="clear" w:color="auto" w:fill="DDDDDD"/>
          </w:tcPr>
          <w:p>
            <w:pPr>
              <w:spacing w:after="0"/>
              <w:rPr>
                <w:sz w:val="20"/>
                <w:szCs w:val="20"/>
                <w:color w:val="auto"/>
              </w:rPr>
            </w:pPr>
          </w:p>
        </w:tc>
        <w:tc>
          <w:tcPr>
            <w:tcW w:w="10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0"/>
        </w:trPr>
        <w:tc>
          <w:tcPr>
            <w:tcW w:w="474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4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1020" w:type="dxa"/>
            <w:vAlign w:val="bottom"/>
            <w:tcBorders>
              <w:top w:val="single" w:sz="8" w:color="DDDDDD"/>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66" w:hanging="166"/>
        <w:spacing w:after="0"/>
        <w:tabs>
          <w:tab w:leader="none" w:pos="166" w:val="left"/>
        </w:tabs>
        <w:numPr>
          <w:ilvl w:val="0"/>
          <w:numId w:val="6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State taxes in California comprise the majority of the state and local taxes for each of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543560</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543560</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1246"/>
          </w:cols>
          <w:pgMar w:left="494" w:top="608" w:right="500" w:bottom="146"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Income Taxes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Deferred tax assets and liabilities reflect the net tax effects of net operating loss and tax credit carryforwards and temporary differences between the carrying amount of assets and liabilities for financial reporting and the amounts used for tax purposes.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significant components of the net deferred tax assets were as follows (in thousands):</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51"/>
        </w:trPr>
        <w:tc>
          <w:tcPr>
            <w:tcW w:w="174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20" w:type="dxa"/>
            <w:vAlign w:val="bottom"/>
          </w:tcPr>
          <w:p>
            <w:pPr>
              <w:spacing w:after="0"/>
              <w:rPr>
                <w:sz w:val="21"/>
                <w:szCs w:val="21"/>
                <w:color w:val="auto"/>
              </w:rPr>
            </w:pPr>
          </w:p>
        </w:tc>
        <w:tc>
          <w:tcPr>
            <w:tcW w:w="198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05"/>
        </w:trPr>
        <w:tc>
          <w:tcPr>
            <w:tcW w:w="1740" w:type="dxa"/>
            <w:vAlign w:val="bottom"/>
            <w:tcBorders>
              <w:top w:val="single" w:sz="8" w:color="DDDDDD"/>
            </w:tcBorders>
            <w:shd w:val="clear" w:color="auto" w:fill="DDDDDD"/>
          </w:tcPr>
          <w:p>
            <w:pPr>
              <w:ind w:left="20"/>
              <w:spacing w:after="0" w:line="192" w:lineRule="exact"/>
              <w:rPr>
                <w:sz w:val="20"/>
                <w:szCs w:val="20"/>
                <w:color w:val="auto"/>
              </w:rPr>
            </w:pPr>
            <w:r>
              <w:rPr>
                <w:rFonts w:ascii="Times New Roman" w:cs="Times New Roman" w:eastAsia="Times New Roman" w:hAnsi="Times New Roman"/>
                <w:sz w:val="17"/>
                <w:szCs w:val="17"/>
                <w:color w:val="auto"/>
                <w:highlight w:val="lightGray"/>
              </w:rPr>
              <w:t>Deferred tax assets</w:t>
            </w:r>
          </w:p>
        </w:tc>
        <w:tc>
          <w:tcPr>
            <w:tcW w:w="522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198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1980" w:type="dxa"/>
            <w:vAlign w:val="bottom"/>
            <w:tcBorders>
              <w:top w:val="single" w:sz="8" w:color="auto"/>
            </w:tcBorders>
            <w:shd w:val="clear" w:color="auto" w:fill="DDDDDD"/>
          </w:tcPr>
          <w:p>
            <w:pPr>
              <w:spacing w:after="0"/>
              <w:rPr>
                <w:sz w:val="17"/>
                <w:szCs w:val="17"/>
                <w:color w:val="auto"/>
              </w:rPr>
            </w:pPr>
          </w:p>
        </w:tc>
      </w:tr>
      <w:tr>
        <w:trPr>
          <w:trHeight w:val="219"/>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Investment in partnership</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109,435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120,258</w:t>
            </w:r>
          </w:p>
        </w:tc>
      </w:tr>
      <w:tr>
        <w:trPr>
          <w:trHeight w:val="219"/>
        </w:trPr>
        <w:tc>
          <w:tcPr>
            <w:tcW w:w="696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highlight w:val="lightGray"/>
              </w:rPr>
              <w:t>Tax receivable agreement</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36,631</w:t>
            </w: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36,908</w:t>
            </w:r>
          </w:p>
        </w:tc>
      </w:tr>
      <w:tr>
        <w:trPr>
          <w:trHeight w:val="219"/>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operating loss carryovers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20,973</w:t>
            </w:r>
          </w:p>
        </w:tc>
      </w:tr>
      <w:tr>
        <w:trPr>
          <w:trHeight w:val="219"/>
        </w:trPr>
        <w:tc>
          <w:tcPr>
            <w:tcW w:w="17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highlight w:val="lightGray"/>
              </w:rPr>
              <w:t>Tax credit carryovers</w:t>
            </w:r>
          </w:p>
        </w:tc>
        <w:tc>
          <w:tcPr>
            <w:tcW w:w="52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7,001</w:t>
            </w: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5,303</w:t>
            </w:r>
          </w:p>
        </w:tc>
      </w:tr>
      <w:tr>
        <w:trPr>
          <w:trHeight w:val="219"/>
        </w:trPr>
        <w:tc>
          <w:tcPr>
            <w:tcW w:w="696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80" w:type="dxa"/>
            <w:vAlign w:val="bottom"/>
            <w:tcBorders>
              <w:bottom w:val="single" w:sz="8" w:color="DDDDD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212"/>
        </w:trPr>
        <w:tc>
          <w:tcPr>
            <w:tcW w:w="17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7"/>
                <w:szCs w:val="17"/>
                <w:color w:val="auto"/>
                <w:highlight w:val="lightGray"/>
                <w:w w:val="98"/>
              </w:rPr>
              <w:t>Total deferred tax asset</w:t>
            </w:r>
          </w:p>
        </w:tc>
        <w:tc>
          <w:tcPr>
            <w:tcW w:w="52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185,903</w:t>
            </w:r>
          </w:p>
        </w:tc>
        <w:tc>
          <w:tcPr>
            <w:tcW w:w="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183,976</w:t>
            </w:r>
          </w:p>
        </w:tc>
      </w:tr>
      <w:tr>
        <w:trPr>
          <w:trHeight w:val="219"/>
        </w:trPr>
        <w:tc>
          <w:tcPr>
            <w:tcW w:w="696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(185,903)</w:t>
            </w:r>
          </w:p>
        </w:tc>
        <w:tc>
          <w:tcPr>
            <w:tcW w:w="80" w:type="dxa"/>
            <w:vAlign w:val="bottom"/>
            <w:tcBorders>
              <w:bottom w:val="single" w:sz="8" w:color="DDDDD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(183,976)</w:t>
            </w:r>
          </w:p>
        </w:tc>
      </w:tr>
      <w:tr>
        <w:trPr>
          <w:trHeight w:val="231"/>
        </w:trPr>
        <w:tc>
          <w:tcPr>
            <w:tcW w:w="17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highlight w:val="lightGray"/>
              </w:rPr>
              <w:t>Net deferred tax asset</w:t>
            </w:r>
          </w:p>
        </w:tc>
        <w:tc>
          <w:tcPr>
            <w:tcW w:w="522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w:t>
            </w:r>
          </w:p>
        </w:tc>
        <w:tc>
          <w:tcPr>
            <w:tcW w:w="1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w:t>
            </w:r>
          </w:p>
        </w:tc>
        <w:tc>
          <w:tcPr>
            <w:tcW w:w="8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w:t>
            </w:r>
          </w:p>
        </w:tc>
        <w:tc>
          <w:tcPr>
            <w:tcW w:w="1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rPr>
              <w:t>—</w:t>
            </w:r>
          </w:p>
        </w:tc>
      </w:tr>
      <w:tr>
        <w:trPr>
          <w:trHeight w:val="20"/>
        </w:trPr>
        <w:tc>
          <w:tcPr>
            <w:tcW w:w="1740" w:type="dxa"/>
            <w:vAlign w:val="bottom"/>
            <w:tcBorders>
              <w:top w:val="single" w:sz="8" w:color="DDDDDD"/>
            </w:tcBorders>
          </w:tcPr>
          <w:p>
            <w:pPr>
              <w:spacing w:after="0" w:line="20" w:lineRule="exact"/>
              <w:rPr>
                <w:sz w:val="1"/>
                <w:szCs w:val="1"/>
                <w:color w:val="auto"/>
              </w:rPr>
            </w:pPr>
          </w:p>
        </w:tc>
        <w:tc>
          <w:tcPr>
            <w:tcW w:w="522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9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980" w:type="dxa"/>
            <w:vAlign w:val="bottom"/>
            <w:tcBorders>
              <w:top w:val="single" w:sz="8" w:color="DDDDDD"/>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valuation allowance increased $1.9 million and decreased $2.7 million for the years ended December 31, 2025 and 2024, respectively. Realization of deferred tax assets is dependent on future earning, if any, the timing of which are uncertain. Accordingly, the net deferred tax assets have been fully offset by a valuation allowance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the Company determined during the fourth quarter of 2022 that a full valuation allowance was required against its net deferred tax assets.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2023 and fluctuation in both historical book operating results and future expectations. For the years ended December 31, 2025 and 2024, management conducted a similar analysis, and determined that a full valuation allowance was still required based on a more likely than not standard. Payment with respect to the TRA liability was not probable, resulting from the full valuation allowance. As of December 31, 2025 and 2024, the TRA liability was $2.7 million and $4.4 million, respectively.</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will continue to evaluate the realization of the TRA tax attributes, and in the future, management may conclude that it is more likely than not that the Company will be able to utilize the deferred tax assets that are subject to the TRA, and therefore that the TRA liability is probable of payment. If the TRA liability is reinstated, the payments would be substantial. Assuming a reinstatement of the TRA liability, there are several assumptions that would be relevant in the ultimate determination of the amount of our TRA liability, such as, no material changes in relevant tax law, that there are no future redemptions or exchanges to Class A Units and that we earn sufficient taxable income to realize all tax benefits that are subject to the TRA. Under these assumptions, the tax savings associated with acquisitions of Legacy WMH common units in the Business Combination and subsequent exchanges as of December 31, 2025, equal approximately $165.0 million, determined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7113905</wp:posOffset>
            </wp:positionH>
            <wp:positionV relativeFrom="paragraph">
              <wp:posOffset>602615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602615</wp:posOffset>
            </wp:positionV>
            <wp:extent cx="3365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0"/>
          </w:cols>
          <w:pgMar w:left="500"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1240"/>
          </w:cols>
          <w:pgMar w:left="500" w:top="608" w:right="500" w:bottom="146" w:gutter="0" w:footer="0" w:header="0"/>
          <w:type w:val="continuous"/>
        </w:sectPr>
      </w:pPr>
    </w:p>
    <w:bookmarkStart w:id="112" w:name="page113"/>
    <w:bookmarkEnd w:id="112"/>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of December 31, 2025. Under this scenario, we would be required to pay certain Class A Unit holders approximately 85% of such amount, or $138.9 million.</w:t>
      </w:r>
    </w:p>
    <w:p>
      <w:pPr>
        <w:spacing w:after="0" w:line="114" w:lineRule="exact"/>
        <w:rPr>
          <w:sz w:val="20"/>
          <w:szCs w:val="20"/>
          <w:color w:val="auto"/>
        </w:rPr>
      </w:pPr>
    </w:p>
    <w:p>
      <w:pPr>
        <w:jc w:val="both"/>
        <w:ind w:left="6"/>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had federal and state net operating loss (“NOL”) carryforwards of approximately $121.0 million and $109.5 million, respectively, available to reduce future taxable income, if any. The federal NOLs carry forward indefinitely and the state NOLs will begin to expire in 2041.</w:t>
      </w:r>
    </w:p>
    <w:p>
      <w:pPr>
        <w:spacing w:after="0" w:line="48" w:lineRule="exact"/>
        <w:rPr>
          <w:sz w:val="20"/>
          <w:szCs w:val="20"/>
          <w:color w:val="auto"/>
        </w:rPr>
      </w:pPr>
    </w:p>
    <w:p>
      <w:pPr>
        <w:jc w:val="both"/>
        <w:ind w:left="6" w:right="20"/>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had federal and California research and development (“R&amp;D”) tax credit carryforwards of $6.1 million and $3.0 million, respectively, available to reduce future tax. Federal R&amp;D credits begin to expire in 2041 and California R&amp;D credits carry forward indefinitely.</w:t>
      </w:r>
    </w:p>
    <w:p>
      <w:pPr>
        <w:spacing w:after="0" w:line="48"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7"/>
          <w:szCs w:val="17"/>
          <w:color w:val="auto"/>
        </w:rPr>
        <w:t>Utilization of the Company's NOL carryforwards and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5%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could result in a change of control as defined by Section 382.</w:t>
      </w:r>
    </w:p>
    <w:p>
      <w:pPr>
        <w:spacing w:after="0" w:line="76"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7"/>
          <w:szCs w:val="17"/>
          <w:color w:val="auto"/>
        </w:rPr>
        <w:t>On July 4, 2025, President Trump signed into law legislation formally titled “An Act to Provide for Reconciliation Pursuant to Title II of H. Con. Res. 14”), commonly referred to as the One Big Beautiful Bill Act (“OBBBA”). The OBBBA includes significant tax law changes, primarily extending or modifying various provisions originally enacted under the 2017 Tax Cuts and Jobs Act.</w:t>
      </w:r>
    </w:p>
    <w:p>
      <w:pPr>
        <w:spacing w:after="0" w:line="62"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The OBBBA includes business tax provisions that are relevant to the Company such as the restoration of immediate expensing of domestic research and experimental expenditures incurred in tax years beginning after 2024, accelerated deduction of certain capitalized domestic research and experimental expenditures incurred in prior tax years and the permanent reinstatement of 100% bonus depreciation for qualified property placed in service after January 19, 2025. As result of the OBBBA, the Company benefits from accelerating deductions of previously capitalized domestic research and development costs such that it does not have any significant income taxes. The Company has recognized the effects of the OBBBA in the third quarter of 2025.</w:t>
      </w:r>
    </w:p>
    <w:p>
      <w:pPr>
        <w:spacing w:after="0" w:line="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Unrecognized Tax Benefits</w:t>
      </w:r>
    </w:p>
    <w:p>
      <w:pPr>
        <w:spacing w:after="0" w:line="114" w:lineRule="exact"/>
        <w:rPr>
          <w:sz w:val="20"/>
          <w:szCs w:val="20"/>
          <w:color w:val="auto"/>
        </w:rPr>
      </w:pPr>
    </w:p>
    <w:p>
      <w:pPr>
        <w:jc w:val="both"/>
        <w:ind w:left="6" w:right="20"/>
        <w:spacing w:after="0" w:line="272" w:lineRule="auto"/>
        <w:rPr>
          <w:sz w:val="20"/>
          <w:szCs w:val="20"/>
          <w:color w:val="auto"/>
        </w:rPr>
      </w:pPr>
      <w:r>
        <w:rPr>
          <w:rFonts w:ascii="Times New Roman" w:cs="Times New Roman" w:eastAsia="Times New Roman" w:hAnsi="Times New Roman"/>
          <w:sz w:val="17"/>
          <w:szCs w:val="17"/>
          <w:color w:val="auto"/>
        </w:rPr>
        <w:t xml:space="preserve">The Company follows the provisions of FASB ASC 740-10, </w:t>
      </w:r>
      <w:r>
        <w:rPr>
          <w:rFonts w:ascii="Times New Roman" w:cs="Times New Roman" w:eastAsia="Times New Roman" w:hAnsi="Times New Roman"/>
          <w:sz w:val="17"/>
          <w:szCs w:val="17"/>
          <w:i w:val="1"/>
          <w:iCs w:val="1"/>
          <w:color w:val="auto"/>
        </w:rPr>
        <w:t>Accounting for Uncertainty in Income Taxes</w:t>
      </w:r>
      <w:r>
        <w:rPr>
          <w:rFonts w:ascii="Times New Roman" w:cs="Times New Roman" w:eastAsia="Times New Roman" w:hAnsi="Times New Roman"/>
          <w:sz w:val="17"/>
          <w:szCs w:val="17"/>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61"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The Company recognizes both accrued interest and penalties related to unrecognized tax benefits in income tax expense. The Company has not recorded any interest and penalties on any unrecognized tax benefits since its inception. Tax years 2021 through 2024 remain open to examination by major taxing jurisdictions to which the Company is subject, which is primarily in the United States (U.S.), as carryforward attributes generated in prior years may still be adjusted upon examination by the Internal Revenue Service (IRS) or state tax authorities if they have or will be used in a future period. The Company files income tax returns in the U.S. federal and various state jurisdictions. There are currently no federal or state audits in progress by the IRS or any other jurisdictions for any tax years.</w:t>
      </w:r>
    </w:p>
    <w:p>
      <w:pPr>
        <w:spacing w:after="0" w:line="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following is a tabular reconciliation of the total amounts of unrecognized tax benefits (in thousands):</w:t>
      </w:r>
    </w:p>
    <w:p>
      <w:pPr>
        <w:spacing w:after="0" w:line="46" w:lineRule="exact"/>
        <w:rPr>
          <w:sz w:val="20"/>
          <w:szCs w:val="20"/>
          <w:color w:val="auto"/>
        </w:rPr>
      </w:pPr>
    </w:p>
    <w:tbl>
      <w:tblPr>
        <w:tblLayout w:type="fixed"/>
        <w:tblInd w:w="6" w:type="dxa"/>
        <w:tblCellMar>
          <w:top w:w="0" w:type="dxa"/>
          <w:left w:w="0" w:type="dxa"/>
          <w:bottom w:w="0" w:type="dxa"/>
          <w:right w:w="0" w:type="dxa"/>
        </w:tblCellMar>
      </w:tblPr>
      <w:tr>
        <w:trPr>
          <w:trHeight w:val="233"/>
        </w:trPr>
        <w:tc>
          <w:tcPr>
            <w:tcW w:w="6960" w:type="dxa"/>
            <w:vAlign w:val="bottom"/>
            <w:tcBorders>
              <w:bottom w:val="single" w:sz="8" w:color="DDDDDD"/>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8"/>
        </w:trPr>
        <w:tc>
          <w:tcPr>
            <w:tcW w:w="6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beginning of year</w:t>
            </w:r>
          </w:p>
        </w:tc>
        <w:tc>
          <w:tcPr>
            <w:tcW w:w="24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1,024</w:t>
            </w: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Additions/reductions related to prior year tax provisions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69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Additions/reductions related to current year tax provisions</w:t>
            </w:r>
          </w:p>
        </w:tc>
        <w:tc>
          <w:tcPr>
            <w:tcW w:w="240" w:type="dxa"/>
            <w:vAlign w:val="bottom"/>
            <w:tcBorders>
              <w:bottom w:val="single" w:sz="8" w:color="auto"/>
            </w:tcBorders>
            <w:shd w:val="clear" w:color="auto" w:fill="DDDDDD"/>
          </w:tcPr>
          <w:p>
            <w:pPr>
              <w:spacing w:after="0"/>
              <w:rPr>
                <w:sz w:val="19"/>
                <w:szCs w:val="19"/>
                <w:color w:val="auto"/>
              </w:rPr>
            </w:pPr>
          </w:p>
        </w:tc>
        <w:tc>
          <w:tcPr>
            <w:tcW w:w="1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80" w:type="dxa"/>
            <w:vAlign w:val="bottom"/>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1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12"/>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end of year</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w:t>
            </w:r>
          </w:p>
        </w:tc>
      </w:tr>
      <w:tr>
        <w:trPr>
          <w:trHeight w:val="20"/>
        </w:trPr>
        <w:tc>
          <w:tcPr>
            <w:tcW w:w="6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6" w:hanging="426"/>
        <w:spacing w:after="0"/>
        <w:tabs>
          <w:tab w:leader="none" w:pos="426"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18"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During the second quarter of 2022, the Company entered into a sublease agreement with an affiliate of the Chief Executive Officer. The sublease commenced on June 1, 2022, and expired on October 31, 2024. The monthly base rent, after the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519430</wp:posOffset>
            </wp:positionV>
            <wp:extent cx="3365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519430</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608"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1246"/>
          </w:cols>
          <w:pgMar w:left="494" w:top="608" w:right="500" w:bottom="146" w:gutter="0" w:footer="0" w:header="0"/>
          <w:type w:val="continuous"/>
        </w:sectPr>
      </w:pPr>
    </w:p>
    <w:bookmarkStart w:id="113" w:name="page114"/>
    <w:bookmarkEnd w:id="113"/>
    <w:p>
      <w:pPr>
        <w:spacing w:after="0" w:line="200" w:lineRule="exact"/>
        <w:rPr>
          <w:sz w:val="20"/>
          <w:szCs w:val="20"/>
          <w:color w:val="auto"/>
        </w:rPr>
      </w:pPr>
    </w:p>
    <w:p>
      <w:pPr>
        <w:spacing w:after="0" w:line="339" w:lineRule="exact"/>
        <w:rPr>
          <w:sz w:val="20"/>
          <w:szCs w:val="20"/>
          <w:color w:val="auto"/>
        </w:rPr>
      </w:pPr>
    </w:p>
    <w:p>
      <w:pPr>
        <w:jc w:val="both"/>
        <w:ind w:left="6" w:right="20"/>
        <w:spacing w:after="0" w:line="270" w:lineRule="auto"/>
        <w:rPr>
          <w:sz w:val="20"/>
          <w:szCs w:val="20"/>
          <w:color w:val="auto"/>
        </w:rPr>
      </w:pPr>
      <w:r>
        <w:rPr>
          <w:rFonts w:ascii="Times New Roman" w:cs="Times New Roman" w:eastAsia="Times New Roman" w:hAnsi="Times New Roman"/>
          <w:sz w:val="17"/>
          <w:szCs w:val="17"/>
          <w:color w:val="auto"/>
        </w:rPr>
        <w:t>abatement period for the first four months, was $69,000. As of December 31, 2025 and 2024, there was no outstanding rent receivable. For the years ended December 31, 2025 and 2024, income on the sublease from the related party transactions were nil and $0.6 million, respectively. The income on sublease is netted with rent expense and included in general and administrative expenses on the consolidated statements of operations.</w:t>
      </w:r>
    </w:p>
    <w:p>
      <w:pPr>
        <w:spacing w:after="0" w:line="62"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and maturing on December 31, 2025. In an event of default, the outstanding principal amount shall bear interest for the entire period during which the principal balance is unpaid at a rate which is equal to 10% per annum. As of December 31, 2025 and 2024, the remaining balance of the promissory note receivable was $0.1 million and $0.4 million, respectively and included in prepaid expenses and other current assets on the consolidated balance sheets. For the years ended December 31, 2025 and 2024, interest income on the promissory note were less than $0.1 million, which is included in other income (expense), net on the consolidated statement of operations.</w:t>
      </w:r>
    </w:p>
    <w:p>
      <w:pPr>
        <w:spacing w:after="0" w:line="72"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and 2024, the Company reimbursed $0.4 million and $0.2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58" w:lineRule="exact"/>
        <w:rPr>
          <w:sz w:val="20"/>
          <w:szCs w:val="20"/>
          <w:color w:val="auto"/>
        </w:rPr>
      </w:pPr>
    </w:p>
    <w:p>
      <w:pPr>
        <w:ind w:left="426" w:hanging="426"/>
        <w:spacing w:after="0"/>
        <w:tabs>
          <w:tab w:leader="none" w:pos="426"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1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Nasdaq Delisting Notice</w:t>
      </w:r>
    </w:p>
    <w:p>
      <w:pPr>
        <w:spacing w:after="0" w:line="120"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7"/>
          <w:szCs w:val="17"/>
          <w:color w:val="auto"/>
        </w:rPr>
        <w:t>On February 4, 2026, the Company received a letter from the Listing Qualifications Department of The Nasdaq Stock Market LLC (“Nasdaq”) notifying the Company that, for the last 30 consecutive business days, the closing bid price for the Company’s Class A common stock, par value $0.0001 per share (the “Common Stock”), was below $1.00 per share, which is the minimum closing bid price required for continued listing on the Nasdaq Global Market pursuant to Nasdaq Listing Rule 5450(a)(1) (the “Notice”). This Notice is a notice of deficiency, not delisting, and has no immediate effect on the listing of the Company’s Common Stock, and the Company’s Common Stock will continue to trade on The Nasdaq Global Select Market under the symbol “MAPS” at this time, subject to the Company’s compliance with the other Nasdaq listing requirements.</w:t>
      </w:r>
    </w:p>
    <w:p>
      <w:pPr>
        <w:spacing w:after="0" w:line="70"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7"/>
          <w:szCs w:val="17"/>
          <w:color w:val="auto"/>
        </w:rPr>
        <w:t>In accordance with Nasdaq Listing Rule 5810(c)(3)(A), the Company is provided a compliance period of 180 calendar days from the date of the Notice, or until August 3, 2026, to regain compliance with the minimum closing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spacing w:after="0" w:line="72"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7"/>
          <w:szCs w:val="17"/>
          <w:color w:val="auto"/>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by effecting a reverse stock split, if necessary. If the Company does not regain compliance within the allotted compliance periods, including any extensions that may be granted by Nasdaq, the Company’s stock will be subject to delisting. The Company would have the right to appeal a determination to delist the Company’s Common Stock, and the Company’s Common Stock would remain listed on the Nasdaq Global Select Market until the completion of the appeal process.</w:t>
      </w:r>
    </w:p>
    <w:p>
      <w:pPr>
        <w:spacing w:after="0" w:line="76"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7"/>
          <w:szCs w:val="17"/>
          <w:color w:val="auto"/>
        </w:rPr>
        <w:t>The Company intends to monitor the closing bid price of its stock and assess potential actions to regain compliance. While the Company plans to review all available options, there can be no assurance that the Company will regain compliance with the minimum bid price requirement during the 180-day compliance period, secure a second 180-day period to regain compliance, or maintain compliance with the other Nasdaq listing requirements.</w:t>
      </w:r>
    </w:p>
    <w:p>
      <w:pPr>
        <w:spacing w:after="0" w:line="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Legal Settlement In Principle</w:t>
      </w:r>
    </w:p>
    <w:p>
      <w:pPr>
        <w:spacing w:after="0" w:line="120" w:lineRule="exact"/>
        <w:rPr>
          <w:sz w:val="20"/>
          <w:szCs w:val="20"/>
          <w:color w:val="auto"/>
        </w:rPr>
      </w:pPr>
    </w:p>
    <w:p>
      <w:pPr>
        <w:jc w:val="both"/>
        <w:ind w:left="6"/>
        <w:spacing w:after="0" w:line="270" w:lineRule="auto"/>
        <w:rPr>
          <w:sz w:val="20"/>
          <w:szCs w:val="20"/>
          <w:color w:val="auto"/>
        </w:rPr>
      </w:pPr>
      <w:r>
        <w:rPr>
          <w:rFonts w:ascii="Times New Roman" w:cs="Times New Roman" w:eastAsia="Times New Roman" w:hAnsi="Times New Roman"/>
          <w:sz w:val="17"/>
          <w:szCs w:val="17"/>
          <w:color w:val="auto"/>
        </w:rPr>
        <w:t xml:space="preserve">On February 12, 2026, The Company reached an agreement in principle to fully settle all pending claims in the action for a putative shareholder class action complaint, captioned </w:t>
      </w:r>
      <w:r>
        <w:rPr>
          <w:rFonts w:ascii="Times New Roman" w:cs="Times New Roman" w:eastAsia="Times New Roman" w:hAnsi="Times New Roman"/>
          <w:sz w:val="17"/>
          <w:szCs w:val="17"/>
          <w:i w:val="1"/>
          <w:iCs w:val="1"/>
          <w:color w:val="auto"/>
        </w:rPr>
        <w:t>Seret Ishak v. WM Technology, Inc. et al</w:t>
      </w:r>
      <w:r>
        <w:rPr>
          <w:rFonts w:ascii="Times New Roman" w:cs="Times New Roman" w:eastAsia="Times New Roman" w:hAnsi="Times New Roman"/>
          <w:sz w:val="17"/>
          <w:szCs w:val="17"/>
          <w:color w:val="auto"/>
        </w:rPr>
        <w:t>., Case No. 2:24-cv-08959. The settlement remains subject to approval by the court and certain other conditions and contingencies out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528320</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528320</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2240" w:h="15840" w:orient="portrait"/>
          <w:cols w:equalWidth="0" w:num="1">
            <w:col w:w="11246"/>
          </w:cols>
          <w:pgMar w:left="494" w:top="1440"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1246"/>
          </w:cols>
          <w:pgMar w:left="494" w:top="1440" w:right="500" w:bottom="146" w:gutter="0" w:footer="0" w:header="0"/>
          <w:type w:val="continuous"/>
        </w:sectPr>
      </w:pPr>
    </w:p>
    <w:bookmarkStart w:id="114" w:name="page115"/>
    <w:bookmarkEnd w:id="114"/>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control. The Company recorded an accrued liability of $2.8 million related to this preliminary settlement agreement, representing management's reasonable estimate of its settlement obligation. This liability is included in accounts payable and accrued expenses as of December 31, 2025 in the consolidated balance sheets, with the corresponding expense recognized for the year ended December 31, 2025 in general and administrative expense in the consolidated statement of operations. For additional information, see Note 6, “Commitments and Contingencies.”</w:t>
      </w:r>
    </w:p>
    <w:p>
      <w:pPr>
        <w:sectPr>
          <w:pgSz w:w="12240" w:h="15840" w:orient="portrait"/>
          <w:cols w:equalWidth="0" w:num="1">
            <w:col w:w="11240"/>
          </w:cols>
          <w:pgMar w:left="500" w:top="1440" w:right="500"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1240"/>
          </w:cols>
          <w:pgMar w:left="500" w:top="1440" w:right="500" w:bottom="146" w:gutter="0" w:footer="0" w:header="0"/>
          <w:type w:val="continuous"/>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1809115" cy="3848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09115"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Conversion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January 29, </w:t>
      </w:r>
      <w:r>
        <w:rPr>
          <w:rFonts w:ascii="Times New Roman" w:cs="Times New Roman" w:eastAsia="Times New Roman" w:hAnsi="Times New Roman"/>
          <w:sz w:val="20"/>
          <w:szCs w:val="20"/>
          <w:color w:val="auto"/>
        </w:rPr>
        <w:t>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Doug Francis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WM Technology, Inc.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Dear </w:t>
      </w:r>
      <w:r>
        <w:rPr>
          <w:rFonts w:ascii="Times New Roman" w:cs="Times New Roman" w:eastAsia="Times New Roman" w:hAnsi="Times New Roman"/>
          <w:sz w:val="20"/>
          <w:szCs w:val="20"/>
          <w:color w:val="auto"/>
        </w:rPr>
        <w:t>Doug,</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In order facilitate the employment of Susan Echard (“Echard”) by WM Technology, Inc. (the “Company”) effective as of January 30, 2026 (the “Effective Date”), the Company agrees to provide to SeatonHill Partners, LP (“SeatonHill”) the following compensation (the “Recruitment Compensation”): a recruitment fee of $341,550 to be invoiced on the Effective Date and due within 30 days of the Effective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consideration for the Recruitment Compensation paid by the Company to SeatonHill, SeatonHill hereby:</w:t>
      </w:r>
    </w:p>
    <w:p>
      <w:pPr>
        <w:spacing w:after="0" w:line="107" w:lineRule="exact"/>
        <w:rPr>
          <w:sz w:val="20"/>
          <w:szCs w:val="20"/>
          <w:color w:val="auto"/>
        </w:rPr>
      </w:pPr>
    </w:p>
    <w:p>
      <w:pPr>
        <w:jc w:val="both"/>
        <w:ind w:left="620" w:hanging="316"/>
        <w:spacing w:after="0" w:line="256" w:lineRule="auto"/>
        <w:tabs>
          <w:tab w:leader="none" w:pos="61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Releases the Company from any and all liabilities associated with its hiring of Echard under terms of Exhibit A, Section 4 of the Executive Services Agreement (the “ESA”) dated as of July 16, 2023 between the Company and SeatonHill and represents and warrants that no provision of any agreement between SeatonHill and Echard shall interfere in any way with Echard’s duties as a employee of the Company.</w:t>
      </w:r>
    </w:p>
    <w:p>
      <w:pPr>
        <w:spacing w:after="0" w:line="65" w:lineRule="exact"/>
        <w:rPr>
          <w:rFonts w:ascii="Times New Roman" w:cs="Times New Roman" w:eastAsia="Times New Roman" w:hAnsi="Times New Roman"/>
          <w:sz w:val="19"/>
          <w:szCs w:val="19"/>
          <w:color w:val="auto"/>
        </w:rPr>
      </w:pPr>
    </w:p>
    <w:p>
      <w:pPr>
        <w:jc w:val="both"/>
        <w:ind w:left="620" w:hanging="316"/>
        <w:spacing w:after="0" w:line="262" w:lineRule="auto"/>
        <w:tabs>
          <w:tab w:leader="none" w:pos="61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Releases Echard from her obligations under Section 10.8(c) of the Agreement of Limited Partnership of SeatonHill Partners, LP (the “Partnership Agreement”) between Echard and SeatonHill to the extent that her recruitment and employment by the Company would otherwise result in her non-compliance with the Partnership Agreement.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agree that the ESA will be terminated effective close of business January 31, 2026.</w:t>
      </w: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2240" w:h="15840" w:orient="portrait"/>
          <w:cols w:equalWidth="0" w:num="1">
            <w:col w:w="11240"/>
          </w:cols>
          <w:pgMar w:left="500" w:top="535" w:right="50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SeatonHill Partners, LP</w:t>
            </w: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Accepted and agreed:</w:t>
            </w:r>
          </w:p>
        </w:tc>
        <w:tc>
          <w:tcPr>
            <w:tcW w:w="0" w:type="dxa"/>
            <w:vAlign w:val="bottom"/>
          </w:tcPr>
          <w:p>
            <w:pPr>
              <w:spacing w:after="0"/>
              <w:rPr>
                <w:sz w:val="1"/>
                <w:szCs w:val="1"/>
                <w:color w:val="auto"/>
              </w:rPr>
            </w:pPr>
          </w:p>
        </w:tc>
      </w:tr>
      <w:tr>
        <w:trPr>
          <w:trHeight w:val="24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By: SeatonHill Partners,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WM Technology, Inc.</w:t>
            </w:r>
          </w:p>
        </w:tc>
        <w:tc>
          <w:tcPr>
            <w:tcW w:w="0" w:type="dxa"/>
            <w:vAlign w:val="bottom"/>
          </w:tcPr>
          <w:p>
            <w:pPr>
              <w:spacing w:after="0"/>
              <w:rPr>
                <w:sz w:val="1"/>
                <w:szCs w:val="1"/>
                <w:color w:val="auto"/>
              </w:rPr>
            </w:pPr>
          </w:p>
        </w:tc>
      </w:tr>
      <w:tr>
        <w:trPr>
          <w:trHeight w:val="24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Its: General Partner</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2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J. Gregory Coffey</w:t>
            </w:r>
          </w:p>
        </w:tc>
        <w:tc>
          <w:tcPr>
            <w:tcW w:w="1300" w:type="dxa"/>
            <w:vAlign w:val="bottom"/>
          </w:tcPr>
          <w:p>
            <w:pPr>
              <w:spacing w:after="0"/>
              <w:rPr>
                <w:sz w:val="24"/>
                <w:szCs w:val="24"/>
                <w:color w:val="auto"/>
              </w:rPr>
            </w:pPr>
          </w:p>
        </w:tc>
        <w:tc>
          <w:tcPr>
            <w:tcW w:w="2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/s/ Doug Francis</w:t>
            </w:r>
          </w:p>
        </w:tc>
        <w:tc>
          <w:tcPr>
            <w:tcW w:w="0" w:type="dxa"/>
            <w:vAlign w:val="bottom"/>
          </w:tcPr>
          <w:p>
            <w:pPr>
              <w:spacing w:after="0"/>
              <w:rPr>
                <w:sz w:val="1"/>
                <w:szCs w:val="1"/>
                <w:color w:val="auto"/>
              </w:rPr>
            </w:pPr>
          </w:p>
        </w:tc>
      </w:tr>
      <w:tr>
        <w:trPr>
          <w:trHeight w:val="28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J. Gregory Coffey</w:t>
            </w: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Doug Francis</w:t>
            </w:r>
          </w:p>
        </w:tc>
        <w:tc>
          <w:tcPr>
            <w:tcW w:w="0" w:type="dxa"/>
            <w:vAlign w:val="bottom"/>
          </w:tcPr>
          <w:p>
            <w:pPr>
              <w:spacing w:after="0"/>
              <w:rPr>
                <w:sz w:val="1"/>
                <w:szCs w:val="1"/>
                <w:color w:val="auto"/>
              </w:rPr>
            </w:pPr>
          </w:p>
        </w:tc>
      </w:tr>
      <w:tr>
        <w:trPr>
          <w:trHeight w:val="193"/>
        </w:trPr>
        <w:tc>
          <w:tcPr>
            <w:tcW w:w="380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9"/>
                <w:szCs w:val="19"/>
                <w:color w:val="auto"/>
              </w:rPr>
              <w:t>President and Chief Executive</w:t>
            </w:r>
          </w:p>
        </w:tc>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Chief Executive Officer</w:t>
            </w:r>
          </w:p>
        </w:tc>
        <w:tc>
          <w:tcPr>
            <w:tcW w:w="0" w:type="dxa"/>
            <w:vAlign w:val="bottom"/>
          </w:tcPr>
          <w:p>
            <w:pPr>
              <w:spacing w:after="0"/>
              <w:rPr>
                <w:sz w:val="1"/>
                <w:szCs w:val="1"/>
                <w:color w:val="auto"/>
              </w:rPr>
            </w:pPr>
          </w:p>
        </w:tc>
      </w:tr>
      <w:tr>
        <w:trPr>
          <w:trHeight w:val="24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Officer</w:t>
            </w:r>
          </w:p>
        </w:tc>
        <w:tc>
          <w:tcPr>
            <w:tcW w:w="2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60"/>
        </w:trPr>
        <w:tc>
          <w:tcPr>
            <w:tcW w:w="2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9"/>
                <w:szCs w:val="19"/>
                <w:b w:val="1"/>
                <w:bCs w:val="1"/>
                <w:color w:val="auto"/>
              </w:rPr>
              <w:t>Susan Echard</w:t>
            </w:r>
          </w:p>
        </w:tc>
        <w:tc>
          <w:tcPr>
            <w:tcW w:w="0" w:type="dxa"/>
            <w:vAlign w:val="bottom"/>
          </w:tcPr>
          <w:p>
            <w:pPr>
              <w:spacing w:after="0"/>
              <w:rPr>
                <w:sz w:val="1"/>
                <w:szCs w:val="1"/>
                <w:color w:val="auto"/>
              </w:rPr>
            </w:pPr>
          </w:p>
        </w:tc>
      </w:tr>
      <w:tr>
        <w:trPr>
          <w:trHeight w:val="485"/>
        </w:trPr>
        <w:tc>
          <w:tcPr>
            <w:tcW w:w="2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/s/ Susan Echard</w:t>
            </w: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Susan Echard</w:t>
            </w:r>
          </w:p>
        </w:tc>
        <w:tc>
          <w:tcPr>
            <w:tcW w:w="0" w:type="dxa"/>
            <w:vAlign w:val="bottom"/>
          </w:tcPr>
          <w:p>
            <w:pPr>
              <w:spacing w:after="0"/>
              <w:rPr>
                <w:sz w:val="1"/>
                <w:szCs w:val="1"/>
                <w:color w:val="auto"/>
              </w:rPr>
            </w:pPr>
          </w:p>
        </w:tc>
      </w:tr>
    </w:tbl>
    <w:p>
      <w:pPr>
        <w:sectPr>
          <w:pgSz w:w="12240" w:h="15840" w:orient="portrait"/>
          <w:cols w:equalWidth="0" w:num="1">
            <w:col w:w="11240"/>
          </w:cols>
          <w:pgMar w:left="500" w:top="535" w:right="50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9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Legal Name</w:t>
            </w:r>
          </w:p>
        </w:tc>
        <w:tc>
          <w:tcPr>
            <w:tcW w:w="52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Holding Company,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Weedmaps Spain, S.L.U.</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Spain</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Weedmaps Germany GmbH</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Ghost Management Group,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GMG Holdco, Inc.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Weedmaps Media,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Discovery Opco,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Enterprise,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Marketplace,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Canada Holdings, Inc.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Museum,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Teal,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Retail,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Grow One Software (Canada), Inc.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Transport Logistics Holding Company,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Loyalty,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In-Store Solutions,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Canncurrent,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Deliver Green,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Livery Desk,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WM Headie, LLC</w:t>
            </w:r>
          </w:p>
        </w:tc>
        <w:tc>
          <w:tcPr>
            <w:tcW w:w="52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2240" w:h="15840" w:orient="portrait"/>
          <w:cols w:equalWidth="0" w:num="1">
            <w:col w:w="10140"/>
          </w:cols>
          <w:pgMar w:left="1420" w:top="483" w:right="680" w:bottom="1440" w:gutter="0" w:footer="0" w:header="0"/>
        </w:sectPr>
      </w:pPr>
    </w:p>
    <w:bookmarkStart w:id="118" w:name="page119"/>
    <w:bookmarkEnd w:id="118"/>
    <w:p>
      <w:pPr>
        <w:ind w:left="1016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Statements on Form S-3 (No. 333-257774, and No. 333-261466) and Form S-8 (No. 333-285958, No. 333-259072, No. 333-267744, No. 333-270647 and No. 333-281087) of WM Technology, Inc. (the “Company”) of our report dated March 12, 2026, relating to the consolidated financial statements of the Company and the effectiveness of internal control over financial reporting of the Company (which report expresses an unqualified opinion on the consolidated financial statements and an adverse opinion on the effectiveness of internal control over financial reporting due to material weaknesses), appearing in this Annual Report on Form 10-K of the Company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Baker Tilly US,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Irvine, California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12, 2026</w:t>
      </w:r>
    </w:p>
    <w:p>
      <w:pPr>
        <w:sectPr>
          <w:pgSz w:w="12240" w:h="15840" w:orient="portrait"/>
          <w:cols w:equalWidth="0" w:num="1">
            <w:col w:w="11240"/>
          </w:cols>
          <w:pgMar w:left="500" w:top="483" w:right="500" w:bottom="1440" w:gutter="0" w:footer="0" w:header="0"/>
        </w:sectPr>
      </w:pPr>
    </w:p>
    <w:bookmarkStart w:id="119" w:name="page120"/>
    <w:bookmarkEnd w:id="119"/>
    <w:p>
      <w:pPr>
        <w:spacing w:after="0" w:line="97" w:lineRule="exact"/>
        <w:rPr>
          <w:sz w:val="20"/>
          <w:szCs w:val="20"/>
          <w:color w:val="auto"/>
        </w:rPr>
      </w:pPr>
    </w:p>
    <w:p>
      <w:pPr>
        <w:ind w:left="10166"/>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ind w:left="4926"/>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ind w:left="3766"/>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13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I, Douglas Francis, certify that:</w:t>
      </w:r>
    </w:p>
    <w:p>
      <w:pPr>
        <w:spacing w:after="0" w:line="1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153"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sz w:val="20"/>
          <w:szCs w:val="20"/>
          <w:color w:val="auto"/>
        </w:rPr>
      </w:pPr>
    </w:p>
    <w:p>
      <w:pPr>
        <w:ind w:left="6" w:right="260"/>
        <w:spacing w:after="0" w:line="270"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sz w:val="20"/>
          <w:szCs w:val="20"/>
          <w:color w:val="auto"/>
        </w:rPr>
      </w:pPr>
    </w:p>
    <w:p>
      <w:pPr>
        <w:jc w:val="both"/>
        <w:ind w:left="306" w:hanging="306"/>
        <w:spacing w:after="0" w:line="270" w:lineRule="auto"/>
        <w:tabs>
          <w:tab w:leader="none" w:pos="30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7"/>
          <w:szCs w:val="17"/>
          <w:color w:val="auto"/>
        </w:rPr>
      </w:pPr>
    </w:p>
    <w:p>
      <w:pPr>
        <w:ind w:left="306" w:right="300" w:hanging="306"/>
        <w:spacing w:after="0" w:line="270" w:lineRule="auto"/>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306" w:right="320" w:hanging="306"/>
        <w:spacing w:after="0" w:line="287" w:lineRule="auto"/>
        <w:tabs>
          <w:tab w:leader="none" w:pos="30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jc w:val="both"/>
        <w:ind w:left="306" w:right="20" w:hanging="306"/>
        <w:spacing w:after="0" w:line="270" w:lineRule="auto"/>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sz w:val="20"/>
          <w:szCs w:val="20"/>
          <w:color w:val="auto"/>
        </w:rPr>
      </w:pPr>
    </w:p>
    <w:p>
      <w:pPr>
        <w:ind w:left="306" w:right="20" w:hanging="306"/>
        <w:spacing w:after="0" w:line="287" w:lineRule="auto"/>
        <w:tabs>
          <w:tab w:leader="none" w:pos="41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7"/>
          <w:szCs w:val="17"/>
          <w:color w:val="auto"/>
        </w:rPr>
      </w:pPr>
    </w:p>
    <w:p>
      <w:pPr>
        <w:ind w:left="306" w:hanging="306"/>
        <w:spacing w:after="0" w:line="287" w:lineRule="auto"/>
        <w:tabs>
          <w:tab w:leader="none" w:pos="51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86"/>
        <w:spacing w:after="0"/>
        <w:tabs>
          <w:tab w:leader="none" w:pos="825" w:val="left"/>
          <w:tab w:leader="none" w:pos="6865" w:val="left"/>
          <w:tab w:leader="none" w:pos="7585"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12,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116205</wp:posOffset>
            </wp:positionV>
            <wp:extent cx="23247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566"/>
        <w:spacing w:after="0"/>
        <w:rPr>
          <w:sz w:val="20"/>
          <w:szCs w:val="20"/>
          <w:color w:val="auto"/>
        </w:rPr>
      </w:pPr>
      <w:r>
        <w:rPr>
          <w:rFonts w:ascii="Times New Roman" w:cs="Times New Roman" w:eastAsia="Times New Roman" w:hAnsi="Times New Roman"/>
          <w:sz w:val="17"/>
          <w:szCs w:val="17"/>
          <w:color w:val="auto"/>
        </w:rPr>
        <w:t>Douglas Francis</w:t>
      </w:r>
    </w:p>
    <w:p>
      <w:pPr>
        <w:spacing w:after="0" w:line="165" w:lineRule="exact"/>
        <w:rPr>
          <w:sz w:val="20"/>
          <w:szCs w:val="20"/>
          <w:color w:val="auto"/>
        </w:rPr>
      </w:pPr>
    </w:p>
    <w:p>
      <w:pPr>
        <w:ind w:left="7566"/>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74" w:lineRule="exact"/>
        <w:rPr>
          <w:sz w:val="20"/>
          <w:szCs w:val="20"/>
          <w:color w:val="auto"/>
        </w:rPr>
      </w:pPr>
    </w:p>
    <w:p>
      <w:pPr>
        <w:ind w:left="7566"/>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2240" w:h="15840" w:orient="portrait"/>
          <w:cols w:equalWidth="0" w:num="1">
            <w:col w:w="11246"/>
          </w:cols>
          <w:pgMar w:left="494" w:top="1440" w:right="500" w:bottom="1440" w:gutter="0" w:footer="0" w:header="0"/>
        </w:sectPr>
      </w:pPr>
    </w:p>
    <w:bookmarkStart w:id="120" w:name="page121"/>
    <w:bookmarkEnd w:id="120"/>
    <w:p>
      <w:pPr>
        <w:spacing w:after="0" w:line="97" w:lineRule="exact"/>
        <w:rPr>
          <w:sz w:val="20"/>
          <w:szCs w:val="20"/>
          <w:color w:val="auto"/>
        </w:rPr>
      </w:pPr>
    </w:p>
    <w:p>
      <w:pPr>
        <w:ind w:left="10166"/>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3" w:lineRule="exact"/>
        <w:rPr>
          <w:sz w:val="20"/>
          <w:szCs w:val="20"/>
          <w:color w:val="auto"/>
        </w:rPr>
      </w:pPr>
    </w:p>
    <w:p>
      <w:pPr>
        <w:ind w:left="4926"/>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ind w:left="3766"/>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13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I, Susan Echard, certify that:</w:t>
      </w:r>
    </w:p>
    <w:p>
      <w:pPr>
        <w:spacing w:after="0" w:line="1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153"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sz w:val="20"/>
          <w:szCs w:val="20"/>
          <w:color w:val="auto"/>
        </w:rPr>
      </w:pPr>
    </w:p>
    <w:p>
      <w:pPr>
        <w:ind w:left="6" w:right="260"/>
        <w:spacing w:after="0" w:line="270"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sz w:val="20"/>
          <w:szCs w:val="20"/>
          <w:color w:val="auto"/>
        </w:rPr>
      </w:pPr>
    </w:p>
    <w:p>
      <w:pPr>
        <w:jc w:val="both"/>
        <w:ind w:left="306" w:hanging="306"/>
        <w:spacing w:after="0" w:line="270" w:lineRule="auto"/>
        <w:tabs>
          <w:tab w:leader="none" w:pos="303"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7"/>
          <w:szCs w:val="17"/>
          <w:color w:val="auto"/>
        </w:rPr>
      </w:pPr>
    </w:p>
    <w:p>
      <w:pPr>
        <w:ind w:left="306" w:right="300" w:hanging="306"/>
        <w:spacing w:after="0" w:line="270" w:lineRule="auto"/>
        <w:tabs>
          <w:tab w:leader="none" w:pos="3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306" w:right="320" w:hanging="306"/>
        <w:spacing w:after="0" w:line="287" w:lineRule="auto"/>
        <w:tabs>
          <w:tab w:leader="none" w:pos="303"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jc w:val="both"/>
        <w:ind w:left="306" w:right="20" w:hanging="306"/>
        <w:spacing w:after="0" w:line="270" w:lineRule="auto"/>
        <w:tabs>
          <w:tab w:leader="none" w:pos="3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sz w:val="20"/>
          <w:szCs w:val="20"/>
          <w:color w:val="auto"/>
        </w:rPr>
      </w:pPr>
    </w:p>
    <w:p>
      <w:pPr>
        <w:ind w:left="6"/>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sz w:val="20"/>
          <w:szCs w:val="20"/>
          <w:color w:val="auto"/>
        </w:rPr>
      </w:pPr>
    </w:p>
    <w:p>
      <w:pPr>
        <w:ind w:left="306" w:right="20" w:hanging="306"/>
        <w:spacing w:after="0" w:line="287" w:lineRule="auto"/>
        <w:tabs>
          <w:tab w:leader="none" w:pos="47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7"/>
          <w:szCs w:val="17"/>
          <w:color w:val="auto"/>
        </w:rPr>
      </w:pPr>
    </w:p>
    <w:p>
      <w:pPr>
        <w:ind w:left="306" w:hanging="306"/>
        <w:spacing w:after="0" w:line="287" w:lineRule="auto"/>
        <w:tabs>
          <w:tab w:leader="none" w:pos="51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106"/>
        <w:spacing w:after="0"/>
        <w:tabs>
          <w:tab w:leader="none" w:pos="845" w:val="left"/>
          <w:tab w:leader="none" w:pos="6885" w:val="left"/>
          <w:tab w:leader="none" w:pos="7605"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12,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115570</wp:posOffset>
            </wp:positionV>
            <wp:extent cx="23247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626"/>
        <w:spacing w:after="0"/>
        <w:rPr>
          <w:sz w:val="20"/>
          <w:szCs w:val="20"/>
          <w:color w:val="auto"/>
        </w:rPr>
      </w:pPr>
      <w:r>
        <w:rPr>
          <w:rFonts w:ascii="Times New Roman" w:cs="Times New Roman" w:eastAsia="Times New Roman" w:hAnsi="Times New Roman"/>
          <w:sz w:val="17"/>
          <w:szCs w:val="17"/>
          <w:color w:val="auto"/>
        </w:rPr>
        <w:t>Susan Echard</w:t>
      </w:r>
    </w:p>
    <w:p>
      <w:pPr>
        <w:spacing w:after="0" w:line="165" w:lineRule="exact"/>
        <w:rPr>
          <w:sz w:val="20"/>
          <w:szCs w:val="20"/>
          <w:color w:val="auto"/>
        </w:rPr>
      </w:pPr>
    </w:p>
    <w:p>
      <w:pPr>
        <w:ind w:left="7626"/>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74" w:lineRule="exact"/>
        <w:rPr>
          <w:sz w:val="20"/>
          <w:szCs w:val="20"/>
          <w:color w:val="auto"/>
        </w:rPr>
      </w:pPr>
    </w:p>
    <w:p>
      <w:pPr>
        <w:ind w:left="7626"/>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626"/>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ectPr>
          <w:pgSz w:w="12240" w:h="15840" w:orient="portrait"/>
          <w:cols w:equalWidth="0" w:num="1">
            <w:col w:w="11246"/>
          </w:cols>
          <w:pgMar w:left="494" w:top="1440" w:right="500" w:bottom="1440" w:gutter="0" w:footer="0" w:header="0"/>
        </w:sectPr>
      </w:pPr>
    </w:p>
    <w:bookmarkStart w:id="121" w:name="page122"/>
    <w:bookmarkEnd w:id="121"/>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Douglas Francis, the Chief Executive Officer of WM Technology, Inc., certify, pursuant to 18 U.S.C. Section 1350, as adopted pursuant to Section 906 of the Sarbanes-Oxley Act of 2002, that the Annual Report on Form 10-K of WM Technology, Inc. for the annual period ended December 31, 2025, fully complies with the requirements of Section 13(a) or 15(d) of the Securities Exchange Act of 1934 and that the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00"/>
        <w:spacing w:after="0"/>
        <w:tabs>
          <w:tab w:leader="none" w:pos="840" w:val="left"/>
          <w:tab w:leader="none" w:pos="6860" w:val="left"/>
          <w:tab w:leader="none" w:pos="75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12,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66040</wp:posOffset>
            </wp:positionV>
            <wp:extent cx="23247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color w:val="auto"/>
        </w:rPr>
        <w:t>Douglas Francis</w:t>
      </w:r>
    </w:p>
    <w:p>
      <w:pPr>
        <w:spacing w:after="0" w:line="10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Susan Echard, the Chief Financial Officer of WM Technology, Inc., certify, pursuant to 18 U.S.C. Section 1350, as adopted pursuant to Section 906 of the Sarbanes-Oxley Act of 2002, that the Annual Report on Form 10-K of WM Technology, Inc. for the annual period ended December 31, 2025, fully complies with the requirements of Section 13(a) or 15(d) of the Securities Exchange Act of 1934, and that the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00"/>
        <w:spacing w:after="0"/>
        <w:tabs>
          <w:tab w:leader="none" w:pos="840" w:val="left"/>
          <w:tab w:leader="none" w:pos="6880" w:val="left"/>
          <w:tab w:leader="none" w:pos="76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12,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66040</wp:posOffset>
            </wp:positionV>
            <wp:extent cx="23247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Susan Echard</w:t>
      </w:r>
    </w:p>
    <w:p>
      <w:pPr>
        <w:spacing w:after="0" w:line="10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pacing w:after="0" w:line="200" w:lineRule="exact"/>
        <w:rPr>
          <w:sz w:val="20"/>
          <w:szCs w:val="20"/>
          <w:color w:val="auto"/>
        </w:rPr>
      </w:pPr>
    </w:p>
    <w:p>
      <w:pPr>
        <w:spacing w:after="0" w:line="374" w:lineRule="exact"/>
        <w:rPr>
          <w:sz w:val="20"/>
          <w:szCs w:val="20"/>
          <w:color w:val="auto"/>
        </w:rPr>
      </w:pPr>
    </w:p>
    <w:p>
      <w:pPr>
        <w:jc w:val="both"/>
        <w:ind w:left="60"/>
        <w:spacing w:after="0" w:line="264" w:lineRule="auto"/>
        <w:rPr>
          <w:sz w:val="20"/>
          <w:szCs w:val="20"/>
          <w:color w:val="auto"/>
        </w:rPr>
      </w:pPr>
      <w:r>
        <w:rPr>
          <w:rFonts w:ascii="Times New Roman" w:cs="Times New Roman" w:eastAsia="Times New Roman" w:hAnsi="Times New Roman"/>
          <w:sz w:val="17"/>
          <w:szCs w:val="17"/>
          <w:color w:val="auto"/>
        </w:rPr>
        <w:t>This certification accompanies the Annual Report on Form 10-K of WM Technology, Inc. for the annual period ended December 31, 2025, is not deemed filed with the Securities and Exchange Commission and is not to be incorporated by reference into any filing of WM Technology, Inc. under the Securities Act of 1933, as amended, or the Securities Exchange Act of 1934, as amended (whether made before or after the date of such Annual Report on Form 10-K), irrespective of any general incorporation language contained in such filing.</w:t>
      </w:r>
    </w:p>
    <w:p>
      <w:pPr>
        <w:sectPr>
          <w:pgSz w:w="12240" w:h="15840" w:orient="portrait"/>
          <w:cols w:equalWidth="0" w:num="1">
            <w:col w:w="11240"/>
          </w:cols>
          <w:pgMar w:left="500" w:top="1440" w:right="500" w:bottom="1440" w:gutter="0" w:footer="0" w:header="0"/>
        </w:sectPr>
      </w:pPr>
    </w:p>
    <w:bookmarkStart w:id="122" w:name="page123"/>
    <w:bookmarkEnd w:id="122"/>
    <w:p>
      <w:pPr>
        <w:jc w:val="both"/>
        <w:spacing w:after="0" w:line="264" w:lineRule="auto"/>
        <w:rPr>
          <w:sz w:val="20"/>
          <w:szCs w:val="20"/>
          <w:color w:val="auto"/>
        </w:rPr>
      </w:pPr>
    </w:p>
    <w:p>
      <w:pPr>
        <w:sectPr>
          <w:pgSz w:w="12240" w:h="15840" w:orient="portrait"/>
          <w:cols w:equalWidth="1" w:num="1" w:space="0"/>
          <w:pgMar w:left="1440" w:top="1440" w:right="1440" w:bottom="875"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660"/>
        <w:spacing w:after="0"/>
        <w:rPr>
          <w:sz w:val="20"/>
          <w:szCs w:val="20"/>
          <w:color w:val="auto"/>
        </w:rPr>
      </w:pPr>
      <w:r>
        <w:rPr>
          <w:rFonts w:ascii="Arial" w:cs="Arial" w:eastAsia="Arial" w:hAnsi="Arial"/>
          <w:sz w:val="15"/>
          <w:szCs w:val="15"/>
          <w:color w:val="auto"/>
        </w:rPr>
        <w:t>BR92971A-0426-10K</w:t>
      </w:r>
    </w:p>
    <w:sectPr>
      <w:pgSz w:w="12240" w:h="15840" w:orient="portrait"/>
      <w:cols w:equalWidth="0" w:num="1">
        <w:col w:w="10180"/>
      </w:cols>
      <w:pgMar w:left="1440" w:top="1440" w:right="62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lowerRoman"/>
      <w:start w:val="2"/>
    </w:lvl>
  </w:abstractNum>
  <w:abstractNum w:abstractNumId="7">
    <w:nsid w:val="153EA438"/>
    <w:multiLevelType w:val="hybridMultilevel"/>
    <w:lvl w:ilvl="0">
      <w:lvlJc w:val="left"/>
      <w:lvlText w:val="(%1)"/>
      <w:numFmt w:val="lowerRoman"/>
      <w:start w:val="4"/>
    </w:lvl>
  </w:abstractNum>
  <w:abstractNum w:abstractNumId="8">
    <w:nsid w:val="3855585C"/>
    <w:multiLevelType w:val="hybridMultilevel"/>
    <w:lvl w:ilvl="0">
      <w:lvlJc w:val="left"/>
      <w:lvlText w:val="(%1)"/>
      <w:numFmt w:val="lowerRoman"/>
      <w:start w:val="2"/>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lvl w:ilvl="1">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lowerRoman"/>
      <w:start w:val="2"/>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2"/>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decimal"/>
      <w:start w:val="104"/>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decimal"/>
      <w:start w:val="2"/>
    </w:lvl>
  </w:abstractNum>
  <w:abstractNum w:abstractNumId="48">
    <w:nsid w:val="3F6AB60F"/>
    <w:multiLevelType w:val="hybridMultilevel"/>
    <w:lvl w:ilvl="0">
      <w:lvlJc w:val="left"/>
      <w:lvlText w:val="•"/>
      <w:numFmt w:val="bullet"/>
      <w:start w:val="1"/>
    </w:lvl>
    <w:lvl w:ilvl="1">
      <w:lvlJc w:val="left"/>
      <w:lvlText w:val="◦"/>
      <w:numFmt w:val="bullet"/>
      <w:start w:val="1"/>
    </w:lvl>
  </w:abstractNum>
  <w:abstractNum w:abstractNumId="49">
    <w:nsid w:val="61574095"/>
    <w:multiLevelType w:val="hybridMultilevel"/>
    <w:lvl w:ilvl="0">
      <w:lvlJc w:val="left"/>
      <w:lvlText w:val="•"/>
      <w:numFmt w:val="bullet"/>
      <w:start w:val="1"/>
    </w:lvl>
    <w:lvl w:ilvl="1">
      <w:lvlJc w:val="left"/>
      <w:lvlText w:val="◦"/>
      <w:numFmt w:val="bullet"/>
      <w:start w:val="1"/>
    </w:lvl>
  </w:abstractNum>
  <w:abstractNum w:abstractNumId="50">
    <w:nsid w:val="7E0C57B1"/>
    <w:multiLevelType w:val="hybridMultilevel"/>
    <w:lvl w:ilvl="0">
      <w:lvlJc w:val="left"/>
      <w:lvlText w:val="%1."/>
      <w:numFmt w:val="decimal"/>
      <w:start w:val="2"/>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lvl w:ilvl="1">
      <w:lvlJc w:val="left"/>
      <w:lvlText w:val="◦"/>
      <w:numFmt w:val="bullet"/>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4"/>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8"/>
    </w:lvl>
  </w:abstractNum>
  <w:abstractNum w:abstractNumId="59">
    <w:nsid w:val="1F48EAA1"/>
    <w:multiLevelType w:val="hybridMultilevel"/>
    <w:lvl w:ilvl="0">
      <w:lvlJc w:val="left"/>
      <w:lvlText w:val="%1."/>
      <w:numFmt w:val="decimal"/>
      <w:start w:val="9"/>
    </w:lvl>
  </w:abstractNum>
  <w:abstractNum w:abstractNumId="60">
    <w:nsid w:val="1381823A"/>
    <w:multiLevelType w:val="hybridMultilevel"/>
    <w:lvl w:ilvl="0">
      <w:lvlJc w:val="left"/>
      <w:lvlText w:val="%1."/>
      <w:numFmt w:val="decimal"/>
      <w:start w:val="10"/>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1"/>
    </w:lvl>
  </w:abstractNum>
  <w:abstractNum w:abstractNumId="63">
    <w:nsid w:val="6590700B"/>
    <w:multiLevelType w:val="hybridMultilevel"/>
    <w:lvl w:ilvl="0">
      <w:lvlJc w:val="left"/>
      <w:lvlText w:val="%1."/>
      <w:numFmt w:val="decimal"/>
      <w:start w:val="12"/>
    </w:lvl>
  </w:abstractNum>
  <w:abstractNum w:abstractNumId="64">
    <w:nsid w:val="15014ACB"/>
    <w:multiLevelType w:val="hybridMultilevel"/>
    <w:lvl w:ilvl="0">
      <w:lvlJc w:val="left"/>
      <w:lvlText w:val="%1."/>
      <w:numFmt w:val="decimal"/>
      <w:start w:val="13"/>
    </w:lvl>
  </w:abstractNum>
  <w:abstractNum w:abstractNumId="65">
    <w:nsid w:val="5F5E7FD0"/>
    <w:multiLevelType w:val="hybridMultilevel"/>
    <w:lvl w:ilvl="0">
      <w:lvlJc w:val="left"/>
      <w:lvlText w:val="%1."/>
      <w:numFmt w:val="decimal"/>
      <w:start w:val="15"/>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6"/>
    </w:lvl>
  </w:abstractNum>
  <w:abstractNum w:abstractNumId="68">
    <w:nsid w:val="6B94764"/>
    <w:multiLevelType w:val="hybridMultilevel"/>
    <w:lvl w:ilvl="0">
      <w:lvlJc w:val="left"/>
      <w:lvlText w:val="%1."/>
      <w:numFmt w:val="decimal"/>
      <w:start w:val="17"/>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2026-04-28T15:55:58Z</dcterms:created>
  <dcterms:modified xsi:type="dcterms:W3CDTF">2026-04-28T15:55:58Z</dcterms:modified>
</cp:coreProperties>
</file>