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25, 2019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SILVER SPIKE ACQUISITION CORP.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0"/>
              </w:rPr>
              <w:t>Cayman Islands</w:t>
            </w:r>
          </w:p>
        </w:tc>
        <w:tc>
          <w:tcPr>
            <w:tcW w:w="28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0"/>
              </w:rPr>
              <w:t>001-39021</w:t>
            </w:r>
          </w:p>
        </w:tc>
        <w:tc>
          <w:tcPr>
            <w:tcW w:w="1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rPr>
              <w:t>N/A</w:t>
            </w:r>
          </w:p>
        </w:tc>
      </w:tr>
      <w:tr>
        <w:trPr>
          <w:trHeight w:val="195"/>
        </w:trPr>
        <w:tc>
          <w:tcPr>
            <w:tcW w:w="3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w:t>
            </w:r>
          </w:p>
        </w:tc>
        <w:tc>
          <w:tcPr>
            <w:tcW w:w="1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gridSpan w:val="3"/>
          </w:tcPr>
          <w:p>
            <w:pPr>
              <w:jc w:val="center"/>
              <w:ind w:right="820"/>
              <w:spacing w:after="0" w:line="195" w:lineRule="exact"/>
              <w:rPr>
                <w:sz w:val="20"/>
                <w:szCs w:val="20"/>
                <w:color w:val="auto"/>
              </w:rPr>
            </w:pPr>
            <w:r>
              <w:rPr>
                <w:rFonts w:ascii="Arial" w:cs="Arial" w:eastAsia="Arial" w:hAnsi="Arial"/>
                <w:sz w:val="18"/>
                <w:szCs w:val="18"/>
                <w:color w:val="auto"/>
                <w:w w:val="91"/>
              </w:rPr>
              <w:t>(Commission</w:t>
            </w:r>
          </w:p>
        </w:tc>
        <w:tc>
          <w:tcPr>
            <w:tcW w:w="1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4840" w:type="dxa"/>
            <w:vAlign w:val="bottom"/>
            <w:gridSpan w:val="3"/>
          </w:tcPr>
          <w:p>
            <w:pPr>
              <w:jc w:val="center"/>
              <w:ind w:right="940"/>
              <w:spacing w:after="0"/>
              <w:rPr>
                <w:sz w:val="20"/>
                <w:szCs w:val="20"/>
                <w:color w:val="auto"/>
              </w:rPr>
            </w:pPr>
            <w:r>
              <w:rPr>
                <w:rFonts w:ascii="Arial" w:cs="Arial" w:eastAsia="Arial" w:hAnsi="Arial"/>
                <w:sz w:val="18"/>
                <w:szCs w:val="18"/>
                <w:color w:val="auto"/>
                <w:w w:val="93"/>
              </w:rPr>
              <w:t>of incorporation)</w:t>
            </w:r>
          </w:p>
        </w:tc>
        <w:tc>
          <w:tcPr>
            <w:tcW w:w="2940" w:type="dxa"/>
            <w:vAlign w:val="bottom"/>
            <w:gridSpan w:val="4"/>
          </w:tcPr>
          <w:p>
            <w:pPr>
              <w:jc w:val="center"/>
              <w:ind w:right="940"/>
              <w:spacing w:after="0"/>
              <w:rPr>
                <w:sz w:val="20"/>
                <w:szCs w:val="20"/>
                <w:color w:val="auto"/>
              </w:rPr>
            </w:pPr>
            <w:r>
              <w:rPr>
                <w:rFonts w:ascii="Arial" w:cs="Arial" w:eastAsia="Arial" w:hAnsi="Arial"/>
                <w:sz w:val="18"/>
                <w:szCs w:val="18"/>
                <w:color w:val="auto"/>
                <w:w w:val="92"/>
              </w:rPr>
              <w:t>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41"/>
        </w:trPr>
        <w:tc>
          <w:tcPr>
            <w:tcW w:w="484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9"/>
              </w:rPr>
              <w:t>1114 6th Ave, 41st Floor</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4"/>
        </w:trPr>
        <w:tc>
          <w:tcPr>
            <w:tcW w:w="48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3"/>
              </w:rPr>
              <w:t>New York, New York</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b w:val="1"/>
                <w:bCs w:val="1"/>
                <w:color w:val="auto"/>
              </w:rPr>
              <w:t>10036</w:t>
            </w:r>
          </w:p>
        </w:tc>
      </w:tr>
      <w:tr>
        <w:trPr>
          <w:trHeight w:val="224"/>
        </w:trPr>
        <w:tc>
          <w:tcPr>
            <w:tcW w:w="4840" w:type="dxa"/>
            <w:vAlign w:val="bottom"/>
            <w:gridSpan w:val="3"/>
          </w:tcPr>
          <w:p>
            <w:pPr>
              <w:jc w:val="center"/>
              <w:ind w:left="810"/>
              <w:spacing w:after="0"/>
              <w:rPr>
                <w:sz w:val="20"/>
                <w:szCs w:val="20"/>
                <w:color w:val="auto"/>
              </w:rPr>
            </w:pPr>
            <w:r>
              <w:rPr>
                <w:rFonts w:ascii="Arial" w:cs="Arial" w:eastAsia="Arial" w:hAnsi="Arial"/>
                <w:sz w:val="18"/>
                <w:szCs w:val="18"/>
                <w:color w:val="auto"/>
                <w:w w:val="92"/>
              </w:rPr>
              <w:t>(Address of Principal Executive Offices)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+1 212-905-4923</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39"/>
        </w:trPr>
        <w:tc>
          <w:tcPr>
            <w:tcW w:w="4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4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Class A ordinary shares, par value $0.0001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SSPK</w:t>
            </w:r>
          </w:p>
        </w:tc>
        <w:tc>
          <w:tcPr>
            <w:tcW w:w="12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02"/>
        </w:trPr>
        <w:tc>
          <w:tcPr>
            <w:tcW w:w="4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Redeemable warrants, each whole warrant exercisable for</w:t>
            </w:r>
          </w:p>
        </w:tc>
        <w:tc>
          <w:tcPr>
            <w:tcW w:w="35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SSPKW</w:t>
            </w:r>
          </w:p>
        </w:tc>
        <w:tc>
          <w:tcPr>
            <w:tcW w:w="3520" w:type="dxa"/>
            <w:vAlign w:val="bottom"/>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4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one Class A ordinary share at an exercise price of $11.50</w:t>
            </w: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202"/>
        </w:trPr>
        <w:tc>
          <w:tcPr>
            <w:tcW w:w="4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0"/>
              </w:rPr>
              <w:t>Units, each consisting of one Class A ordinary share and</w:t>
            </w:r>
          </w:p>
        </w:tc>
        <w:tc>
          <w:tcPr>
            <w:tcW w:w="35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SSPKU</w:t>
            </w:r>
          </w:p>
        </w:tc>
        <w:tc>
          <w:tcPr>
            <w:tcW w:w="3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4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one-half of one redeemable warrant</w:t>
            </w: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2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described in the prospectus for the initial public offering of Silver Spike Acquisition Corp. (the “Company”), holders of the Company’s units (the “Units”) may elect to separately trade the Class A ordinary shares and warrants included in the Units commencing on September 30, 2019. No fractional warrants will be issued upon separation of the units and only whole warrants will trade. Those Units not separated will continue to trade on the Nasdaq Capital Market under the symbol “SSPKU,” and each of the Class A ordinary shares and warrants that are separated will trade on the Nasdaq Capital Market under the symbols “SSPK” and “SSPKW,” respectively.</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report may include “forward-looking statements” within the meaning of Section 27A of the Securities Act of 1933, as amended, and Section 21E of the Securities Exchange Act of 1934, as amended. All statements other than statements of historical fact included in this report are forward-looking statements. When used in this report, words such as “anticipate,” “believe,” “estimate,” “expect,” “intend” and similar expressions, as they relate to us or our management team, identify forward-looking statements. Such forward-looking statements are based on the beliefs of management, as well as assumptions made by, and information currently available to, the Company’s management. Actual results could differ materially from those contemplated by the forward-looking statements as a result of certain factors detailed in the Company’s filings with the Securities and Exchange Commission (“SEC”). All subsequent written or oral forward-looking statements attributable to us or persons acting on our behalf are qualified in their entirety by this paragraph. Forward-looking statements are subject to numerous conditions, many of which are beyond the control of the Company, including those set forth in the Risk Factors section of the Company’s registration statement and prospectus for the Company’s initial public offering filed with the SEC. Copies of such filings are available on the SEC’s website, www.sec.gov. The Company undertakes no obligation to update these statements for revisions or changes after the date of this release,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25, 2019</w:t>
      </w:r>
    </w:p>
    <w:p>
      <w:pPr>
        <w:spacing w:after="0" w:line="22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SILVER SPIKE ACQUISITION CORP.</w:t>
      </w:r>
    </w:p>
    <w:p>
      <w:pPr>
        <w:spacing w:after="0" w:line="200" w:lineRule="exact"/>
        <w:rPr>
          <w:sz w:val="20"/>
          <w:szCs w:val="20"/>
          <w:color w:val="auto"/>
        </w:rPr>
      </w:pPr>
    </w:p>
    <w:p>
      <w:pPr>
        <w:spacing w:after="0" w:line="241" w:lineRule="exact"/>
        <w:rPr>
          <w:sz w:val="20"/>
          <w:szCs w:val="20"/>
          <w:color w:val="auto"/>
        </w:rPr>
      </w:pPr>
    </w:p>
    <w:p>
      <w:pPr>
        <w:ind w:left="7440"/>
        <w:spacing w:after="0"/>
        <w:tabs>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Gordon</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-130810</wp:posOffset>
            </wp:positionV>
            <wp:extent cx="22726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Executive Officer and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80"/>
      </w:cols>
      <w:pgMar w:left="240" w:top="5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2020-01-08T23:45:48Z</dcterms:created>
  <dcterms:modified xsi:type="dcterms:W3CDTF">2020-01-08T23:45:48Z</dcterms:modified>
</cp:coreProperties>
</file>