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99"/>
        <w:spacing w:after="0"/>
        <w:rPr>
          <w:sz w:val="20"/>
          <w:szCs w:val="20"/>
          <w:color w:val="auto"/>
        </w:rPr>
      </w:pPr>
      <w:r>
        <w:rPr>
          <w:rFonts w:ascii="Arial" w:cs="Arial" w:eastAsia="Arial" w:hAnsi="Arial"/>
          <w:sz w:val="40"/>
          <w:szCs w:val="40"/>
          <w:b w:val="1"/>
          <w:bCs w:val="1"/>
          <w:color w:val="auto"/>
        </w:rPr>
        <w:t>Silver Spike Acquisition Corp.</w:t>
      </w:r>
    </w:p>
    <w:p>
      <w:pPr>
        <w:spacing w:after="0" w:line="3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Class A Ordinary Shares, par value $0.0001 per share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G8136L106</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March 4, 2020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20" w:hanging="201"/>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20" w:hanging="201"/>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20" w:hanging="201"/>
        <w:spacing w:after="0"/>
        <w:tabs>
          <w:tab w:leader="none" w:pos="12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5"/>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(Continued on the Following Pages)</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(Page 1 of 9 Pages)</w:t>
      </w:r>
    </w:p>
    <w:p>
      <w:pPr>
        <w:sectPr>
          <w:pgSz w:w="11900" w:h="16838" w:orient="portrait"/>
          <w:cols w:equalWidth="0" w:num="1">
            <w:col w:w="11060"/>
          </w:cols>
          <w:pgMar w:left="320"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2 of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G8136L106</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LINDEN CAPITAL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4"/>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w w:val="99"/>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Bermuda</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40" w:type="dxa"/>
            <w:vAlign w:val="bottom"/>
            <w:tcBorders>
              <w:left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96"/>
              </w:rPr>
              <w:t>NUMBER OF</w:t>
            </w:r>
          </w:p>
        </w:tc>
        <w:tc>
          <w:tcPr>
            <w:tcW w:w="16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9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1,151,388</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6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93"/>
              </w:rPr>
              <w:t>REPORTING</w:t>
            </w:r>
          </w:p>
        </w:tc>
        <w:tc>
          <w:tcPr>
            <w:tcW w:w="1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6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1,151,388</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4"/>
              </w:rPr>
              <w:t>1,151,388</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3 of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G8136L106</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18"/>
                <w:szCs w:val="18"/>
                <w:color w:val="auto"/>
              </w:rPr>
            </w:pPr>
          </w:p>
        </w:tc>
        <w:tc>
          <w:tcPr>
            <w:tcW w:w="10760" w:type="dxa"/>
            <w:vAlign w:val="bottom"/>
            <w:tcBorders>
              <w:top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7"/>
              </w:rPr>
              <w:t>LINDEN GP LLC</w:t>
            </w: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4"/>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w w:val="99"/>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Delaware</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40" w:type="dxa"/>
            <w:vAlign w:val="bottom"/>
            <w:tcBorders>
              <w:left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96"/>
              </w:rPr>
              <w:t>NUMBER OF</w:t>
            </w:r>
          </w:p>
        </w:tc>
        <w:tc>
          <w:tcPr>
            <w:tcW w:w="16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9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1,151,388</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6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93"/>
              </w:rPr>
              <w:t>REPORTING</w:t>
            </w:r>
          </w:p>
        </w:tc>
        <w:tc>
          <w:tcPr>
            <w:tcW w:w="1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6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1,151,388</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4"/>
              </w:rPr>
              <w:t>1,151,388</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HC</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4 of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G8136L106</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18"/>
                <w:szCs w:val="18"/>
                <w:color w:val="auto"/>
              </w:rPr>
            </w:pPr>
          </w:p>
        </w:tc>
        <w:tc>
          <w:tcPr>
            <w:tcW w:w="10760" w:type="dxa"/>
            <w:vAlign w:val="bottom"/>
            <w:tcBorders>
              <w:top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LINDEN ADVISORS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4"/>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w w:val="99"/>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Delaware</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40" w:type="dxa"/>
            <w:vAlign w:val="bottom"/>
            <w:tcBorders>
              <w:left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96"/>
              </w:rPr>
              <w:t>NUMBER OF</w:t>
            </w:r>
          </w:p>
        </w:tc>
        <w:tc>
          <w:tcPr>
            <w:tcW w:w="16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9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1,300,400</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6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93"/>
              </w:rPr>
              <w:t>REPORTING</w:t>
            </w:r>
          </w:p>
        </w:tc>
        <w:tc>
          <w:tcPr>
            <w:tcW w:w="1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6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1,300,400</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4"/>
              </w:rPr>
              <w:t>1,300,400</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IA, PN</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5 of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G8136L106</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18"/>
                <w:szCs w:val="18"/>
                <w:color w:val="auto"/>
              </w:rPr>
            </w:pPr>
          </w:p>
        </w:tc>
        <w:tc>
          <w:tcPr>
            <w:tcW w:w="10760" w:type="dxa"/>
            <w:vAlign w:val="bottom"/>
            <w:tcBorders>
              <w:top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SIU MIN WONG</w:t>
            </w: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4"/>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w w:val="99"/>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China (Hong Kong) and USA</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40" w:type="dxa"/>
            <w:vAlign w:val="bottom"/>
            <w:tcBorders>
              <w:left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96"/>
              </w:rPr>
              <w:t>NUMBER OF</w:t>
            </w:r>
          </w:p>
        </w:tc>
        <w:tc>
          <w:tcPr>
            <w:tcW w:w="16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9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1,300,400</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6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93"/>
              </w:rPr>
              <w:t>REPORTING</w:t>
            </w:r>
          </w:p>
        </w:tc>
        <w:tc>
          <w:tcPr>
            <w:tcW w:w="1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WITH</w:t>
            </w:r>
          </w:p>
        </w:tc>
        <w:tc>
          <w:tcPr>
            <w:tcW w:w="16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1,300,400</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4"/>
              </w:rPr>
              <w:t>1,300,400</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 HC</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6 of 9</w:t>
      </w:r>
    </w:p>
    <w:p>
      <w:pPr>
        <w:spacing w:after="0" w:line="24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Silver Spike Acquisition Corp. (the “Issuer”).</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1114 6th Ave, 41st Floor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131" w:lineRule="exact"/>
        <w:rPr>
          <w:sz w:val="20"/>
          <w:szCs w:val="20"/>
          <w:color w:val="auto"/>
        </w:rPr>
      </w:pPr>
    </w:p>
    <w:p>
      <w:pPr>
        <w:ind w:left="1460" w:hanging="453"/>
        <w:spacing w:after="0"/>
        <w:tabs>
          <w:tab w:leader="none" w:pos="1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Linden Capital L.P., a Bermuda limited partnership (“Linden Capital”);</w:t>
      </w:r>
    </w:p>
    <w:p>
      <w:pPr>
        <w:spacing w:after="0" w:line="130" w:lineRule="exact"/>
        <w:rPr>
          <w:rFonts w:ascii="Arial" w:cs="Arial" w:eastAsia="Arial" w:hAnsi="Arial"/>
          <w:sz w:val="18"/>
          <w:szCs w:val="18"/>
          <w:b w:val="1"/>
          <w:bCs w:val="1"/>
          <w:color w:val="auto"/>
        </w:rPr>
      </w:pPr>
    </w:p>
    <w:p>
      <w:pPr>
        <w:ind w:left="1460" w:hanging="453"/>
        <w:spacing w:after="0"/>
        <w:tabs>
          <w:tab w:leader="none" w:pos="1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Linden GP LLC, a Delaware limited liability company (“Linden GP”);</w:t>
      </w:r>
    </w:p>
    <w:p>
      <w:pPr>
        <w:spacing w:after="0" w:line="130" w:lineRule="exact"/>
        <w:rPr>
          <w:rFonts w:ascii="Arial" w:cs="Arial" w:eastAsia="Arial" w:hAnsi="Arial"/>
          <w:sz w:val="18"/>
          <w:szCs w:val="18"/>
          <w:b w:val="1"/>
          <w:bCs w:val="1"/>
          <w:color w:val="auto"/>
        </w:rPr>
      </w:pPr>
    </w:p>
    <w:p>
      <w:pPr>
        <w:ind w:left="1460" w:hanging="453"/>
        <w:spacing w:after="0"/>
        <w:tabs>
          <w:tab w:leader="none" w:pos="1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Linden Advisors LP, a Delaware limited partnership (“Linden Advisors”); and</w:t>
      </w:r>
    </w:p>
    <w:p>
      <w:pPr>
        <w:spacing w:after="0" w:line="130" w:lineRule="exact"/>
        <w:rPr>
          <w:rFonts w:ascii="Arial" w:cs="Arial" w:eastAsia="Arial" w:hAnsi="Arial"/>
          <w:sz w:val="18"/>
          <w:szCs w:val="18"/>
          <w:b w:val="1"/>
          <w:bCs w:val="1"/>
          <w:color w:val="auto"/>
        </w:rPr>
      </w:pPr>
    </w:p>
    <w:p>
      <w:pPr>
        <w:ind w:left="1460" w:hanging="453"/>
        <w:spacing w:after="0"/>
        <w:tabs>
          <w:tab w:leader="none" w:pos="1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Siu Min (Joe) Wong (“Mr. Wong”).</w:t>
      </w:r>
    </w:p>
    <w:p>
      <w:pPr>
        <w:spacing w:after="0" w:line="225" w:lineRule="exact"/>
        <w:rPr>
          <w:sz w:val="20"/>
          <w:szCs w:val="20"/>
          <w:color w:val="auto"/>
        </w:rPr>
      </w:pPr>
    </w:p>
    <w:p>
      <w:pPr>
        <w:ind w:right="260" w:firstLine="449"/>
        <w:spacing w:after="0" w:line="287" w:lineRule="auto"/>
        <w:rPr>
          <w:sz w:val="20"/>
          <w:szCs w:val="20"/>
          <w:color w:val="auto"/>
        </w:rPr>
      </w:pPr>
      <w:r>
        <w:rPr>
          <w:rFonts w:ascii="Arial" w:cs="Arial" w:eastAsia="Arial" w:hAnsi="Arial"/>
          <w:sz w:val="16"/>
          <w:szCs w:val="16"/>
          <w:color w:val="auto"/>
        </w:rPr>
        <w:t>This Statement relates to Shares (as defined herein) held for the account of Linden Capital and one or more separately managed accounts (the “Managed Accounts”). Linden GP is the general partner of Linden Capital and, in such capacity, may be deemed to beneficially own the Shares held by Linden Capital. Linden Advisors is the investment manager of Linden Capital and trading advisor or investment advisor for the Managed Accounts.</w:t>
      </w:r>
    </w:p>
    <w:p>
      <w:pPr>
        <w:spacing w:after="0" w:line="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Mr. Wong is the principal owner and controlling person of Linden Advisors and Linden GP. In such capacities, Linden Advisors and Mr. Wong may each be deemed to beneficially own the Shares held by each of Linden Capital and the Managed Accounts.</w:t>
      </w:r>
    </w:p>
    <w:p>
      <w:pPr>
        <w:spacing w:after="0" w:line="33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principal business address for Linden Capital is Victoria Place, 31 Victoria Street, Hamilton HM10, Bermuda. The principal business address for each of Linden Advisors, Linden GP and Mr. Wong is 590 Madison Avenue, 15th Floor, New York, New York 10022.</w:t>
      </w: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35" w:lineRule="exact"/>
        <w:rPr>
          <w:sz w:val="20"/>
          <w:szCs w:val="20"/>
          <w:color w:val="auto"/>
        </w:rPr>
      </w:pPr>
    </w:p>
    <w:p>
      <w:pPr>
        <w:ind w:left="1460" w:hanging="453"/>
        <w:spacing w:after="0"/>
        <w:tabs>
          <w:tab w:leader="none" w:pos="1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Linden Capital is a Bermuda limited partnership.</w:t>
      </w:r>
    </w:p>
    <w:p>
      <w:pPr>
        <w:spacing w:after="0" w:line="130" w:lineRule="exact"/>
        <w:rPr>
          <w:rFonts w:ascii="Arial" w:cs="Arial" w:eastAsia="Arial" w:hAnsi="Arial"/>
          <w:sz w:val="18"/>
          <w:szCs w:val="18"/>
          <w:b w:val="1"/>
          <w:bCs w:val="1"/>
          <w:color w:val="auto"/>
        </w:rPr>
      </w:pPr>
    </w:p>
    <w:p>
      <w:pPr>
        <w:ind w:left="1460" w:hanging="453"/>
        <w:spacing w:after="0"/>
        <w:tabs>
          <w:tab w:leader="none" w:pos="1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Linden GP is a Delaware limited liability company.</w:t>
      </w:r>
    </w:p>
    <w:p>
      <w:pPr>
        <w:spacing w:after="0" w:line="130" w:lineRule="exact"/>
        <w:rPr>
          <w:rFonts w:ascii="Arial" w:cs="Arial" w:eastAsia="Arial" w:hAnsi="Arial"/>
          <w:sz w:val="18"/>
          <w:szCs w:val="18"/>
          <w:b w:val="1"/>
          <w:bCs w:val="1"/>
          <w:color w:val="auto"/>
        </w:rPr>
      </w:pPr>
    </w:p>
    <w:p>
      <w:pPr>
        <w:ind w:left="1460" w:hanging="453"/>
        <w:spacing w:after="0"/>
        <w:tabs>
          <w:tab w:leader="none" w:pos="1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Linden Advisors is a Delaware limited partnership.</w:t>
      </w:r>
    </w:p>
    <w:p>
      <w:pPr>
        <w:spacing w:after="0" w:line="130" w:lineRule="exact"/>
        <w:rPr>
          <w:rFonts w:ascii="Arial" w:cs="Arial" w:eastAsia="Arial" w:hAnsi="Arial"/>
          <w:sz w:val="18"/>
          <w:szCs w:val="18"/>
          <w:b w:val="1"/>
          <w:bCs w:val="1"/>
          <w:color w:val="auto"/>
        </w:rPr>
      </w:pPr>
    </w:p>
    <w:p>
      <w:pPr>
        <w:ind w:left="1460" w:hanging="453"/>
        <w:spacing w:after="0"/>
        <w:tabs>
          <w:tab w:leader="none" w:pos="1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Mr. Wong is a citizen of China (Hong Kong) and the United States.</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A Ordinary Shares, par value $0.0001 per share (the “Shares”).</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 G8136L106</w:t>
      </w:r>
    </w:p>
    <w:p>
      <w:pPr>
        <w:spacing w:after="0" w:line="13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Item 3 is not applicable.</w:t>
      </w:r>
    </w:p>
    <w:p>
      <w:pPr>
        <w:sectPr>
          <w:pgSz w:w="11900" w:h="16838" w:orient="portrait"/>
          <w:cols w:equalWidth="0" w:num="1">
            <w:col w:w="11200"/>
          </w:cols>
          <w:pgMar w:left="320" w:top="274" w:right="379" w:bottom="1440" w:gutter="0" w:footer="0" w:header="0"/>
        </w:sectPr>
      </w:pPr>
    </w:p>
    <w:p>
      <w:pPr>
        <w:spacing w:after="0" w:line="370" w:lineRule="exact"/>
        <w:rPr>
          <w:sz w:val="20"/>
          <w:szCs w:val="20"/>
          <w:color w:val="auto"/>
        </w:rPr>
      </w:pPr>
    </w:p>
    <w:p>
      <w:pPr>
        <w:spacing w:after="0" w:line="408" w:lineRule="auto"/>
        <w:rPr>
          <w:sz w:val="20"/>
          <w:szCs w:val="20"/>
          <w:color w:val="auto"/>
        </w:rPr>
      </w:pPr>
      <w:r>
        <w:rPr>
          <w:rFonts w:ascii="Arial" w:cs="Arial" w:eastAsia="Arial" w:hAnsi="Arial"/>
          <w:sz w:val="17"/>
          <w:szCs w:val="17"/>
          <w:b w:val="1"/>
          <w:bCs w:val="1"/>
          <w:color w:val="auto"/>
        </w:rPr>
        <w:t>Item 4. Item 4(a)</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Beneficially Owned:</w:t>
      </w:r>
    </w:p>
    <w:p>
      <w:pPr>
        <w:spacing w:after="0" w:line="144" w:lineRule="exact"/>
        <w:rPr>
          <w:sz w:val="20"/>
          <w:szCs w:val="20"/>
          <w:color w:val="auto"/>
        </w:rPr>
      </w:pPr>
    </w:p>
    <w:p>
      <w:pPr>
        <w:sectPr>
          <w:pgSz w:w="11900" w:h="16838" w:orient="portrait"/>
          <w:cols w:equalWidth="0" w:num="2">
            <w:col w:w="720" w:space="400"/>
            <w:col w:w="10080"/>
          </w:cols>
          <w:pgMar w:left="320" w:top="274" w:right="379" w:bottom="1440" w:gutter="0" w:footer="0" w:header="0"/>
          <w:type w:val="continuous"/>
        </w:sectPr>
      </w:pPr>
    </w:p>
    <w:p>
      <w:pPr>
        <w:ind w:right="60" w:firstLine="449"/>
        <w:spacing w:after="0" w:line="263" w:lineRule="auto"/>
        <w:rPr>
          <w:sz w:val="20"/>
          <w:szCs w:val="20"/>
          <w:color w:val="auto"/>
        </w:rPr>
      </w:pPr>
      <w:r>
        <w:rPr>
          <w:rFonts w:ascii="Arial" w:cs="Arial" w:eastAsia="Arial" w:hAnsi="Arial"/>
          <w:sz w:val="18"/>
          <w:szCs w:val="18"/>
          <w:color w:val="auto"/>
        </w:rPr>
        <w:t>As of March 4, 2020, each of Linden Advisors and Mr. Wong may be deemed the beneficial owner of 1,300,400 Shares. This amount consists of 1,151,388 Shares held by Linden Capital and 149,012 Shares held by the Managed Accounts. As of March 4, 2020, each of Linden GP and Linden Capital may be deemed the beneficial owner of the 1,151,388 Shares held by Linden Capital.</w:t>
      </w:r>
    </w:p>
    <w:p>
      <w:pPr>
        <w:sectPr>
          <w:pgSz w:w="11900" w:h="16838" w:orient="portrait"/>
          <w:cols w:equalWidth="0" w:num="1">
            <w:col w:w="11200"/>
          </w:cols>
          <w:pgMar w:left="320" w:top="274"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7 of 9</w:t>
      </w:r>
    </w:p>
    <w:p>
      <w:pPr>
        <w:spacing w:after="0" w:line="24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121" w:lineRule="exact"/>
        <w:rPr>
          <w:sz w:val="20"/>
          <w:szCs w:val="20"/>
          <w:color w:val="auto"/>
        </w:rPr>
      </w:pPr>
    </w:p>
    <w:p>
      <w:pPr>
        <w:ind w:right="340" w:firstLine="1011"/>
        <w:spacing w:after="0" w:line="311" w:lineRule="auto"/>
        <w:rPr>
          <w:sz w:val="20"/>
          <w:szCs w:val="20"/>
          <w:color w:val="auto"/>
        </w:rPr>
      </w:pPr>
      <w:r>
        <w:rPr>
          <w:rFonts w:ascii="Arial" w:cs="Arial" w:eastAsia="Arial" w:hAnsi="Arial"/>
          <w:sz w:val="16"/>
          <w:szCs w:val="16"/>
          <w:color w:val="auto"/>
        </w:rPr>
        <w:t>As of March 4, 2020, each of Linden Advisors and Mr. Wong may be deemed the beneficial owner of approximately 5.2% of Shares outstanding, and each of Linden GP and Linden Capital may be deemed the beneficial owner of approximately 4.6% of Shares outstanding. These percentages are based on the 25,000,000 Shares outstanding, as disclosed by Issuer in its Quarterly Report on Form 10-Q filed on November 13, 2019.</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4(c)</w:t>
            </w:r>
          </w:p>
        </w:tc>
        <w:tc>
          <w:tcPr>
            <w:tcW w:w="7480" w:type="dxa"/>
            <w:vAlign w:val="bottom"/>
            <w:gridSpan w:val="4"/>
          </w:tcPr>
          <w:p>
            <w:pPr>
              <w:ind w:left="200"/>
              <w:spacing w:after="0"/>
              <w:rPr>
                <w:sz w:val="20"/>
                <w:szCs w:val="20"/>
                <w:color w:val="auto"/>
              </w:rPr>
            </w:pPr>
            <w:r>
              <w:rPr>
                <w:rFonts w:ascii="Arial" w:cs="Arial" w:eastAsia="Arial" w:hAnsi="Arial"/>
                <w:sz w:val="18"/>
                <w:szCs w:val="18"/>
                <w:b w:val="1"/>
                <w:bCs w:val="1"/>
                <w:color w:val="auto"/>
              </w:rPr>
              <w:t>Number of Shares as to which such person has:</w:t>
            </w:r>
          </w:p>
        </w:tc>
        <w:tc>
          <w:tcPr>
            <w:tcW w:w="2780" w:type="dxa"/>
            <w:vAlign w:val="bottom"/>
          </w:tcPr>
          <w:p>
            <w:pPr>
              <w:spacing w:after="0"/>
              <w:rPr>
                <w:sz w:val="20"/>
                <w:szCs w:val="20"/>
                <w:color w:val="auto"/>
              </w:rPr>
            </w:pPr>
          </w:p>
        </w:tc>
      </w:tr>
      <w:tr>
        <w:trPr>
          <w:trHeight w:val="297"/>
        </w:trPr>
        <w:tc>
          <w:tcPr>
            <w:tcW w:w="8400" w:type="dxa"/>
            <w:vAlign w:val="bottom"/>
            <w:gridSpan w:val="5"/>
          </w:tcPr>
          <w:p>
            <w:pPr>
              <w:spacing w:after="0"/>
              <w:rPr>
                <w:sz w:val="20"/>
                <w:szCs w:val="20"/>
                <w:color w:val="auto"/>
              </w:rPr>
            </w:pPr>
            <w:r>
              <w:rPr>
                <w:rFonts w:ascii="Arial" w:cs="Arial" w:eastAsia="Arial" w:hAnsi="Arial"/>
                <w:sz w:val="18"/>
                <w:szCs w:val="18"/>
                <w:b w:val="1"/>
                <w:bCs w:val="1"/>
                <w:color w:val="auto"/>
              </w:rPr>
              <w:t>As of March 4, 2020:</w:t>
            </w:r>
          </w:p>
        </w:tc>
        <w:tc>
          <w:tcPr>
            <w:tcW w:w="2780" w:type="dxa"/>
            <w:vAlign w:val="bottom"/>
          </w:tcPr>
          <w:p>
            <w:pPr>
              <w:spacing w:after="0"/>
              <w:rPr>
                <w:sz w:val="24"/>
                <w:szCs w:val="24"/>
                <w:color w:val="auto"/>
              </w:rPr>
            </w:pPr>
          </w:p>
        </w:tc>
      </w:tr>
      <w:tr>
        <w:trPr>
          <w:trHeight w:val="20"/>
        </w:trPr>
        <w:tc>
          <w:tcPr>
            <w:tcW w:w="160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304"/>
        </w:trPr>
        <w:tc>
          <w:tcPr>
            <w:tcW w:w="8400" w:type="dxa"/>
            <w:vAlign w:val="bottom"/>
            <w:gridSpan w:val="5"/>
          </w:tcPr>
          <w:p>
            <w:pPr>
              <w:spacing w:after="0"/>
              <w:rPr>
                <w:sz w:val="20"/>
                <w:szCs w:val="20"/>
                <w:color w:val="auto"/>
              </w:rPr>
            </w:pPr>
            <w:r>
              <w:rPr>
                <w:rFonts w:ascii="Arial" w:cs="Arial" w:eastAsia="Arial" w:hAnsi="Arial"/>
                <w:sz w:val="18"/>
                <w:szCs w:val="18"/>
                <w:b w:val="1"/>
                <w:bCs w:val="1"/>
                <w:color w:val="auto"/>
              </w:rPr>
              <w:t>Linden Capital and Linden GP</w:t>
            </w:r>
            <w:r>
              <w:rPr>
                <w:rFonts w:ascii="Arial" w:cs="Arial" w:eastAsia="Arial" w:hAnsi="Arial"/>
                <w:sz w:val="18"/>
                <w:szCs w:val="18"/>
                <w:color w:val="auto"/>
              </w:rPr>
              <w:t>:</w:t>
            </w:r>
          </w:p>
        </w:tc>
        <w:tc>
          <w:tcPr>
            <w:tcW w:w="2780" w:type="dxa"/>
            <w:vAlign w:val="bottom"/>
          </w:tcPr>
          <w:p>
            <w:pPr>
              <w:spacing w:after="0"/>
              <w:rPr>
                <w:sz w:val="24"/>
                <w:szCs w:val="24"/>
                <w:color w:val="auto"/>
              </w:rPr>
            </w:pPr>
          </w:p>
        </w:tc>
      </w:tr>
      <w:tr>
        <w:trPr>
          <w:trHeight w:val="20"/>
        </w:trPr>
        <w:tc>
          <w:tcPr>
            <w:tcW w:w="24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345"/>
        </w:trPr>
        <w:tc>
          <w:tcPr>
            <w:tcW w:w="8400" w:type="dxa"/>
            <w:vAlign w:val="bottom"/>
            <w:gridSpan w:val="5"/>
          </w:tcPr>
          <w:p>
            <w:pPr>
              <w:spacing w:after="0"/>
              <w:rPr>
                <w:sz w:val="20"/>
                <w:szCs w:val="20"/>
                <w:color w:val="auto"/>
              </w:rPr>
            </w:pPr>
            <w:r>
              <w:rPr>
                <w:rFonts w:ascii="Arial" w:cs="Arial" w:eastAsia="Arial" w:hAnsi="Arial"/>
                <w:sz w:val="18"/>
                <w:szCs w:val="18"/>
                <w:color w:val="auto"/>
              </w:rPr>
              <w:t>(i) Sole power to vote or direct the vote:</w:t>
            </w:r>
          </w:p>
        </w:tc>
        <w:tc>
          <w:tcPr>
            <w:tcW w:w="27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24"/>
        </w:trPr>
        <w:tc>
          <w:tcPr>
            <w:tcW w:w="8400" w:type="dxa"/>
            <w:vAlign w:val="bottom"/>
            <w:gridSpan w:val="5"/>
          </w:tcPr>
          <w:p>
            <w:pPr>
              <w:spacing w:after="0"/>
              <w:rPr>
                <w:sz w:val="20"/>
                <w:szCs w:val="20"/>
                <w:color w:val="auto"/>
              </w:rPr>
            </w:pPr>
            <w:r>
              <w:rPr>
                <w:rFonts w:ascii="Arial" w:cs="Arial" w:eastAsia="Arial" w:hAnsi="Arial"/>
                <w:sz w:val="18"/>
                <w:szCs w:val="18"/>
                <w:color w:val="auto"/>
              </w:rPr>
              <w:t>(ii) Shared power to vote or direct the vote:</w:t>
            </w:r>
          </w:p>
        </w:tc>
        <w:tc>
          <w:tcPr>
            <w:tcW w:w="2780" w:type="dxa"/>
            <w:vAlign w:val="bottom"/>
          </w:tcPr>
          <w:p>
            <w:pPr>
              <w:jc w:val="right"/>
              <w:spacing w:after="0"/>
              <w:rPr>
                <w:sz w:val="20"/>
                <w:szCs w:val="20"/>
                <w:color w:val="auto"/>
              </w:rPr>
            </w:pPr>
            <w:r>
              <w:rPr>
                <w:rFonts w:ascii="Arial" w:cs="Arial" w:eastAsia="Arial" w:hAnsi="Arial"/>
                <w:sz w:val="18"/>
                <w:szCs w:val="18"/>
                <w:color w:val="auto"/>
              </w:rPr>
              <w:t>1,151,388</w:t>
            </w:r>
          </w:p>
        </w:tc>
      </w:tr>
      <w:tr>
        <w:trPr>
          <w:trHeight w:val="324"/>
        </w:trPr>
        <w:tc>
          <w:tcPr>
            <w:tcW w:w="8400" w:type="dxa"/>
            <w:vAlign w:val="bottom"/>
            <w:gridSpan w:val="5"/>
          </w:tcPr>
          <w:p>
            <w:pPr>
              <w:spacing w:after="0"/>
              <w:rPr>
                <w:sz w:val="20"/>
                <w:szCs w:val="20"/>
                <w:color w:val="auto"/>
              </w:rPr>
            </w:pPr>
            <w:r>
              <w:rPr>
                <w:rFonts w:ascii="Arial" w:cs="Arial" w:eastAsia="Arial" w:hAnsi="Arial"/>
                <w:sz w:val="18"/>
                <w:szCs w:val="18"/>
                <w:color w:val="auto"/>
              </w:rPr>
              <w:t>(iii) Sole power to dispose or direct the disposition of:</w:t>
            </w:r>
          </w:p>
        </w:tc>
        <w:tc>
          <w:tcPr>
            <w:tcW w:w="27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24"/>
        </w:trPr>
        <w:tc>
          <w:tcPr>
            <w:tcW w:w="8400" w:type="dxa"/>
            <w:vAlign w:val="bottom"/>
            <w:gridSpan w:val="5"/>
          </w:tcPr>
          <w:p>
            <w:pPr>
              <w:spacing w:after="0"/>
              <w:rPr>
                <w:sz w:val="20"/>
                <w:szCs w:val="20"/>
                <w:color w:val="auto"/>
              </w:rPr>
            </w:pPr>
            <w:r>
              <w:rPr>
                <w:rFonts w:ascii="Arial" w:cs="Arial" w:eastAsia="Arial" w:hAnsi="Arial"/>
                <w:sz w:val="18"/>
                <w:szCs w:val="18"/>
                <w:color w:val="auto"/>
              </w:rPr>
              <w:t>(iv) Shared power to dispose or direct the disposition of:</w:t>
            </w:r>
          </w:p>
        </w:tc>
        <w:tc>
          <w:tcPr>
            <w:tcW w:w="2780" w:type="dxa"/>
            <w:vAlign w:val="bottom"/>
          </w:tcPr>
          <w:p>
            <w:pPr>
              <w:jc w:val="right"/>
              <w:spacing w:after="0"/>
              <w:rPr>
                <w:sz w:val="20"/>
                <w:szCs w:val="20"/>
                <w:color w:val="auto"/>
              </w:rPr>
            </w:pPr>
            <w:r>
              <w:rPr>
                <w:rFonts w:ascii="Arial" w:cs="Arial" w:eastAsia="Arial" w:hAnsi="Arial"/>
                <w:sz w:val="18"/>
                <w:szCs w:val="18"/>
                <w:color w:val="auto"/>
              </w:rPr>
              <w:t>1,151,388</w:t>
            </w:r>
          </w:p>
        </w:tc>
      </w:tr>
      <w:tr>
        <w:trPr>
          <w:trHeight w:val="283"/>
        </w:trPr>
        <w:tc>
          <w:tcPr>
            <w:tcW w:w="25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1"/>
              </w:rPr>
              <w:t>Linden Advisors and Mr. Wong:</w:t>
            </w:r>
          </w:p>
        </w:tc>
        <w:tc>
          <w:tcPr>
            <w:tcW w:w="59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45"/>
        </w:trPr>
        <w:tc>
          <w:tcPr>
            <w:tcW w:w="8400" w:type="dxa"/>
            <w:vAlign w:val="bottom"/>
            <w:gridSpan w:val="5"/>
          </w:tcPr>
          <w:p>
            <w:pPr>
              <w:spacing w:after="0"/>
              <w:rPr>
                <w:sz w:val="20"/>
                <w:szCs w:val="20"/>
                <w:color w:val="auto"/>
              </w:rPr>
            </w:pPr>
            <w:r>
              <w:rPr>
                <w:rFonts w:ascii="Arial" w:cs="Arial" w:eastAsia="Arial" w:hAnsi="Arial"/>
                <w:sz w:val="18"/>
                <w:szCs w:val="18"/>
                <w:color w:val="auto"/>
              </w:rPr>
              <w:t>(i) Sole power to vote or direct the vote:</w:t>
            </w:r>
          </w:p>
        </w:tc>
        <w:tc>
          <w:tcPr>
            <w:tcW w:w="27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24"/>
        </w:trPr>
        <w:tc>
          <w:tcPr>
            <w:tcW w:w="8400" w:type="dxa"/>
            <w:vAlign w:val="bottom"/>
            <w:gridSpan w:val="5"/>
          </w:tcPr>
          <w:p>
            <w:pPr>
              <w:spacing w:after="0"/>
              <w:rPr>
                <w:sz w:val="20"/>
                <w:szCs w:val="20"/>
                <w:color w:val="auto"/>
              </w:rPr>
            </w:pPr>
            <w:r>
              <w:rPr>
                <w:rFonts w:ascii="Arial" w:cs="Arial" w:eastAsia="Arial" w:hAnsi="Arial"/>
                <w:sz w:val="18"/>
                <w:szCs w:val="18"/>
                <w:color w:val="auto"/>
              </w:rPr>
              <w:t>(ii) Shared power to vote or direct the vote:</w:t>
            </w:r>
          </w:p>
        </w:tc>
        <w:tc>
          <w:tcPr>
            <w:tcW w:w="2780" w:type="dxa"/>
            <w:vAlign w:val="bottom"/>
          </w:tcPr>
          <w:p>
            <w:pPr>
              <w:jc w:val="right"/>
              <w:spacing w:after="0"/>
              <w:rPr>
                <w:sz w:val="20"/>
                <w:szCs w:val="20"/>
                <w:color w:val="auto"/>
              </w:rPr>
            </w:pPr>
            <w:r>
              <w:rPr>
                <w:rFonts w:ascii="Arial" w:cs="Arial" w:eastAsia="Arial" w:hAnsi="Arial"/>
                <w:sz w:val="18"/>
                <w:szCs w:val="18"/>
                <w:color w:val="auto"/>
              </w:rPr>
              <w:t>1,300,400</w:t>
            </w:r>
          </w:p>
        </w:tc>
      </w:tr>
      <w:tr>
        <w:trPr>
          <w:trHeight w:val="324"/>
        </w:trPr>
        <w:tc>
          <w:tcPr>
            <w:tcW w:w="8400" w:type="dxa"/>
            <w:vAlign w:val="bottom"/>
            <w:gridSpan w:val="5"/>
          </w:tcPr>
          <w:p>
            <w:pPr>
              <w:spacing w:after="0"/>
              <w:rPr>
                <w:sz w:val="20"/>
                <w:szCs w:val="20"/>
                <w:color w:val="auto"/>
              </w:rPr>
            </w:pPr>
            <w:r>
              <w:rPr>
                <w:rFonts w:ascii="Arial" w:cs="Arial" w:eastAsia="Arial" w:hAnsi="Arial"/>
                <w:sz w:val="18"/>
                <w:szCs w:val="18"/>
                <w:color w:val="auto"/>
              </w:rPr>
              <w:t>(iii) Sole power to dispose or direct the disposition of:</w:t>
            </w:r>
          </w:p>
        </w:tc>
        <w:tc>
          <w:tcPr>
            <w:tcW w:w="27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24"/>
        </w:trPr>
        <w:tc>
          <w:tcPr>
            <w:tcW w:w="8400" w:type="dxa"/>
            <w:vAlign w:val="bottom"/>
            <w:gridSpan w:val="5"/>
          </w:tcPr>
          <w:p>
            <w:pPr>
              <w:spacing w:after="0"/>
              <w:rPr>
                <w:sz w:val="20"/>
                <w:szCs w:val="20"/>
                <w:color w:val="auto"/>
              </w:rPr>
            </w:pPr>
            <w:r>
              <w:rPr>
                <w:rFonts w:ascii="Arial" w:cs="Arial" w:eastAsia="Arial" w:hAnsi="Arial"/>
                <w:sz w:val="18"/>
                <w:szCs w:val="18"/>
                <w:color w:val="auto"/>
              </w:rPr>
              <w:t>(iv) Shared power to dispose or direct the disposition of:</w:t>
            </w:r>
          </w:p>
        </w:tc>
        <w:tc>
          <w:tcPr>
            <w:tcW w:w="2780" w:type="dxa"/>
            <w:vAlign w:val="bottom"/>
          </w:tcPr>
          <w:p>
            <w:pPr>
              <w:jc w:val="right"/>
              <w:spacing w:after="0"/>
              <w:rPr>
                <w:sz w:val="20"/>
                <w:szCs w:val="20"/>
                <w:color w:val="auto"/>
              </w:rPr>
            </w:pPr>
            <w:r>
              <w:rPr>
                <w:rFonts w:ascii="Arial" w:cs="Arial" w:eastAsia="Arial" w:hAnsi="Arial"/>
                <w:sz w:val="18"/>
                <w:szCs w:val="18"/>
                <w:color w:val="auto"/>
              </w:rPr>
              <w:t>1,300,400</w:t>
            </w:r>
          </w:p>
        </w:tc>
      </w:tr>
      <w:tr>
        <w:trPr>
          <w:trHeight w:val="581"/>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7480" w:type="dxa"/>
            <w:vAlign w:val="bottom"/>
            <w:gridSpan w:val="4"/>
          </w:tcPr>
          <w:p>
            <w:pPr>
              <w:ind w:left="200"/>
              <w:spacing w:after="0"/>
              <w:rPr>
                <w:sz w:val="20"/>
                <w:szCs w:val="20"/>
                <w:color w:val="auto"/>
              </w:rPr>
            </w:pPr>
            <w:r>
              <w:rPr>
                <w:rFonts w:ascii="Arial" w:cs="Arial" w:eastAsia="Arial" w:hAnsi="Arial"/>
                <w:sz w:val="18"/>
                <w:szCs w:val="18"/>
                <w:b w:val="1"/>
                <w:bCs w:val="1"/>
                <w:color w:val="auto"/>
              </w:rPr>
              <w:t>Ownership of Five Percent or Less of a Class:</w:t>
            </w:r>
          </w:p>
        </w:tc>
        <w:tc>
          <w:tcPr>
            <w:tcW w:w="2780" w:type="dxa"/>
            <w:vAlign w:val="bottom"/>
          </w:tcPr>
          <w:p>
            <w:pPr>
              <w:spacing w:after="0"/>
              <w:rPr>
                <w:sz w:val="24"/>
                <w:szCs w:val="24"/>
                <w:color w:val="auto"/>
              </w:rPr>
            </w:pPr>
          </w:p>
        </w:tc>
      </w:tr>
      <w:tr>
        <w:trPr>
          <w:trHeight w:val="324"/>
        </w:trPr>
        <w:tc>
          <w:tcPr>
            <w:tcW w:w="8400" w:type="dxa"/>
            <w:vAlign w:val="bottom"/>
            <w:gridSpan w:val="5"/>
          </w:tcPr>
          <w:p>
            <w:pPr>
              <w:ind w:left="460"/>
              <w:spacing w:after="0"/>
              <w:rPr>
                <w:sz w:val="20"/>
                <w:szCs w:val="20"/>
                <w:color w:val="auto"/>
              </w:rPr>
            </w:pPr>
            <w:r>
              <w:rPr>
                <w:rFonts w:ascii="Arial" w:cs="Arial" w:eastAsia="Arial" w:hAnsi="Arial"/>
                <w:sz w:val="18"/>
                <w:szCs w:val="18"/>
                <w:color w:val="auto"/>
              </w:rPr>
              <w:t>This Item 5 is not applicable.</w:t>
            </w:r>
          </w:p>
        </w:tc>
        <w:tc>
          <w:tcPr>
            <w:tcW w:w="2780" w:type="dxa"/>
            <w:vAlign w:val="bottom"/>
          </w:tcPr>
          <w:p>
            <w:pPr>
              <w:spacing w:after="0"/>
              <w:rPr>
                <w:sz w:val="24"/>
                <w:szCs w:val="24"/>
                <w:color w:val="auto"/>
              </w:rPr>
            </w:pPr>
          </w:p>
        </w:tc>
      </w:tr>
      <w:tr>
        <w:trPr>
          <w:trHeight w:val="580"/>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480" w:type="dxa"/>
            <w:vAlign w:val="bottom"/>
            <w:gridSpan w:val="4"/>
          </w:tcPr>
          <w:p>
            <w:pPr>
              <w:ind w:left="20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2780" w:type="dxa"/>
            <w:vAlign w:val="bottom"/>
          </w:tcPr>
          <w:p>
            <w:pPr>
              <w:spacing w:after="0"/>
              <w:rPr>
                <w:sz w:val="24"/>
                <w:szCs w:val="24"/>
                <w:color w:val="auto"/>
              </w:rPr>
            </w:pPr>
          </w:p>
        </w:tc>
      </w:tr>
      <w:tr>
        <w:trPr>
          <w:trHeight w:val="324"/>
        </w:trPr>
        <w:tc>
          <w:tcPr>
            <w:tcW w:w="8400" w:type="dxa"/>
            <w:vAlign w:val="bottom"/>
            <w:gridSpan w:val="5"/>
          </w:tcPr>
          <w:p>
            <w:pPr>
              <w:ind w:left="460"/>
              <w:spacing w:after="0"/>
              <w:rPr>
                <w:sz w:val="20"/>
                <w:szCs w:val="20"/>
                <w:color w:val="auto"/>
              </w:rPr>
            </w:pPr>
            <w:r>
              <w:rPr>
                <w:rFonts w:ascii="Arial" w:cs="Arial" w:eastAsia="Arial" w:hAnsi="Arial"/>
                <w:sz w:val="18"/>
                <w:szCs w:val="18"/>
                <w:color w:val="auto"/>
              </w:rPr>
              <w:t>See disclosure in Items 2 and 4 hereof.</w:t>
            </w:r>
          </w:p>
        </w:tc>
        <w:tc>
          <w:tcPr>
            <w:tcW w:w="2780" w:type="dxa"/>
            <w:vAlign w:val="bottom"/>
          </w:tcPr>
          <w:p>
            <w:pPr>
              <w:spacing w:after="0"/>
              <w:rPr>
                <w:sz w:val="24"/>
                <w:szCs w:val="24"/>
                <w:color w:val="auto"/>
              </w:rPr>
            </w:pPr>
          </w:p>
        </w:tc>
      </w:tr>
    </w:tbl>
    <w:p>
      <w:pPr>
        <w:spacing w:after="0" w:line="346" w:lineRule="exact"/>
        <w:rPr>
          <w:sz w:val="20"/>
          <w:szCs w:val="20"/>
          <w:color w:val="auto"/>
        </w:rPr>
      </w:pPr>
    </w:p>
    <w:p>
      <w:pPr>
        <w:ind w:left="1120" w:right="740" w:hanging="1119"/>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disclosure in Item 2 hereof.</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A attached hereto.</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item 9 is not applicable.</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pacing w:after="0" w:line="33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Materials to Be Filed as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A: Joint Filing Statement</w:t>
      </w:r>
    </w:p>
    <w:p>
      <w:pPr>
        <w:sectPr>
          <w:pgSz w:w="11900" w:h="16838" w:orient="portrait"/>
          <w:cols w:equalWidth="0" w:num="1">
            <w:col w:w="11200"/>
          </w:cols>
          <w:pgMar w:left="320" w:top="274"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8 of 9</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After reasonable inquiry and to the best of its knowledge and belief, I certify that the information with respect to it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10, 2019</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LINDEN CAPITAL L.P.</w:t>
      </w:r>
    </w:p>
    <w:p>
      <w:pPr>
        <w:spacing w:after="0" w:line="22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Linden GP LLC, its general partner</w:t>
      </w:r>
    </w:p>
    <w:p>
      <w:pPr>
        <w:spacing w:after="0" w:line="225"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wp:posOffset>
            </wp:positionV>
            <wp:extent cx="25888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Saul Ahn,</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Authorized Signatory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LINDEN GP LLC</w:t>
      </w:r>
    </w:p>
    <w:p>
      <w:pPr>
        <w:spacing w:after="0" w:line="22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14605</wp:posOffset>
            </wp:positionV>
            <wp:extent cx="2872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Saul Ahn,</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Authorized Signatory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LINDEN ADVISORS LP</w:t>
      </w:r>
    </w:p>
    <w:p>
      <w:pPr>
        <w:spacing w:after="0" w:line="22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14605</wp:posOffset>
            </wp:positionV>
            <wp:extent cx="2872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Saul Ahn,</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General Counsel</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SIU MIN WONG</w:t>
      </w:r>
    </w:p>
    <w:p>
      <w:pPr>
        <w:spacing w:after="0" w:line="22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14605</wp:posOffset>
            </wp:positionV>
            <wp:extent cx="28721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72105" cy="8890"/>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Saul Ahn, Attorney-in-Fact for Siu Min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88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00" w:lineRule="exact"/>
        <w:rPr>
          <w:sz w:val="20"/>
          <w:szCs w:val="20"/>
          <w:color w:val="auto"/>
        </w:rPr>
      </w:pPr>
    </w:p>
    <w:p>
      <w:pPr>
        <w:ind w:left="460" w:right="1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Duly authorized under Siu Min Wong’s Power of Attorney, dated June 10, 2019, incorporated herein by reference to Exhibit B of the statement on Schedule 13G filed by Linden Capital L.P. on June 19, 2019 in respect of its holdings in Haymaker Acquisition Corp II.</w:t>
      </w:r>
    </w:p>
    <w:p>
      <w:pPr>
        <w:sectPr>
          <w:pgSz w:w="11900" w:h="16838" w:orient="portrait"/>
          <w:cols w:equalWidth="0" w:num="1">
            <w:col w:w="11100"/>
          </w:cols>
          <w:pgMar w:left="320" w:top="274"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Page 9 of 9</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The undersigned hereby agree that the statement on Schedule 13G with respect to the Class A Ordinary Shares of Silver Spike Acquisition Corp. dated as of March 4, 2020 is, and any further amendments thereto signed by each of the undersigned shall be, filed on behalf of each of us pursuant to and in accordance with the provisions of Rule 13d-1(k) under the Securities Exchange Act of 1934, as amended.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Dated: March 10, 2020</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LINDEN CAPITAL L.P.</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By: Linden GP LLC, its general partner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14605</wp:posOffset>
            </wp:positionV>
            <wp:extent cx="20656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Saul Ahn,</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Authorized Signatory</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LINDEN GP LLC</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14605</wp:posOffset>
            </wp:positionV>
            <wp:extent cx="2297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Saul Ahn,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Authorized Signatory</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LINDEN ADVISORS LP</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14605</wp:posOffset>
            </wp:positionV>
            <wp:extent cx="22974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Saul Ahn,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General Counsel</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SIU MIN WONG</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14605</wp:posOffset>
            </wp:positionV>
            <wp:extent cx="22974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Saul Ahn, Attorney-in-Fact for Siu Min Wong**</w:t>
      </w:r>
    </w:p>
    <w:p>
      <w:pPr>
        <w:spacing w:after="0" w:line="252" w:lineRule="exact"/>
        <w:rPr>
          <w:sz w:val="20"/>
          <w:szCs w:val="20"/>
          <w:color w:val="auto"/>
        </w:rPr>
      </w:pPr>
    </w:p>
    <w:p>
      <w:pPr>
        <w:ind w:left="460" w:right="2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Duly authorized under Siu Min Wong’s Power of Attorney, dated June 10, 2019, incorporated herein by reference to Exhibit B of the statement on Schedule 13G filed by Linden Capital L.P. on June 19, 2019 in respect of its holdings in Haymaker Acquisition Corp II.</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2020-03-10T08:32:20Z</dcterms:created>
  <dcterms:modified xsi:type="dcterms:W3CDTF">2020-03-10T08:32:20Z</dcterms:modified>
</cp:coreProperties>
</file>