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39825"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68300"/>
                    </a:xfrm>
                    <a:prstGeom prst="rect">
                      <a:avLst/>
                    </a:prstGeom>
                    <a:noFill/>
                  </pic:spPr>
                </pic:pic>
              </a:graphicData>
            </a:graphic>
          </wp:anchor>
        </w:drawing>
        <w:t>David Peinsipp</w:t>
      </w:r>
    </w:p>
    <w:p>
      <w:pPr>
        <w:spacing w:after="0" w:line="40" w:lineRule="exact"/>
        <w:rPr>
          <w:sz w:val="24"/>
          <w:szCs w:val="24"/>
          <w:color w:val="auto"/>
        </w:rPr>
      </w:pPr>
    </w:p>
    <w:p>
      <w:pPr>
        <w:ind w:left="160" w:right="9060" w:hanging="4"/>
        <w:spacing w:after="0" w:line="343" w:lineRule="auto"/>
        <w:tabs>
          <w:tab w:leader="none" w:pos="369" w:val="left"/>
        </w:tabs>
        <w:numPr>
          <w:ilvl w:val="0"/>
          <w:numId w:val="1"/>
        </w:numPr>
        <w:rPr>
          <w:rFonts w:ascii="Arial" w:cs="Arial" w:eastAsia="Arial" w:hAnsi="Arial"/>
          <w:sz w:val="19"/>
          <w:szCs w:val="19"/>
          <w:color w:val="auto"/>
        </w:rPr>
      </w:pPr>
      <w:r>
        <w:rPr>
          <w:rFonts w:ascii="Arial" w:cs="Arial" w:eastAsia="Arial" w:hAnsi="Arial"/>
          <w:sz w:val="19"/>
          <w:szCs w:val="19"/>
          <w:color w:val="auto"/>
        </w:rPr>
        <w:t>(415) 693 2177 dpeinsipp@cooley.com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Arial" w:cs="Arial" w:eastAsia="Arial" w:hAnsi="Arial"/>
          <w:sz w:val="20"/>
          <w:szCs w:val="20"/>
          <w:color w:val="auto"/>
        </w:rPr>
        <w:t>November 12, 2024</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Office of Technology</w:t>
      </w:r>
    </w:p>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216" w:lineRule="exact"/>
        <w:rPr>
          <w:sz w:val="24"/>
          <w:szCs w:val="24"/>
          <w:color w:val="auto"/>
        </w:rPr>
      </w:pPr>
    </w:p>
    <w:p>
      <w:pPr>
        <w:jc w:val="both"/>
        <w:spacing w:after="0"/>
        <w:tabs>
          <w:tab w:leader="none" w:pos="1040" w:val="left"/>
        </w:tabs>
        <w:rPr>
          <w:sz w:val="20"/>
          <w:szCs w:val="20"/>
          <w:color w:val="auto"/>
        </w:rPr>
      </w:pPr>
      <w:r>
        <w:rPr>
          <w:rFonts w:ascii="Arial" w:cs="Arial" w:eastAsia="Arial" w:hAnsi="Arial"/>
          <w:sz w:val="20"/>
          <w:szCs w:val="20"/>
          <w:color w:val="auto"/>
        </w:rPr>
        <w:t>Attention:</w:t>
        <w:tab/>
        <w:t>Brittany Ebbertt</w:t>
      </w:r>
    </w:p>
    <w:p>
      <w:pPr>
        <w:spacing w:after="0" w:line="54" w:lineRule="exact"/>
        <w:rPr>
          <w:sz w:val="24"/>
          <w:szCs w:val="24"/>
          <w:color w:val="auto"/>
        </w:rPr>
      </w:pPr>
    </w:p>
    <w:p>
      <w:pPr>
        <w:jc w:val="right"/>
        <w:ind w:right="8840"/>
        <w:spacing w:after="0"/>
        <w:rPr>
          <w:sz w:val="20"/>
          <w:szCs w:val="20"/>
          <w:color w:val="auto"/>
        </w:rPr>
      </w:pPr>
      <w:r>
        <w:rPr>
          <w:rFonts w:ascii="Arial" w:cs="Arial" w:eastAsia="Arial" w:hAnsi="Arial"/>
          <w:sz w:val="20"/>
          <w:szCs w:val="20"/>
          <w:color w:val="auto"/>
        </w:rPr>
        <w:t>Kathleen Collins</w:t>
      </w:r>
    </w:p>
    <w:p>
      <w:pPr>
        <w:spacing w:after="0" w:line="214"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WM Technology, Inc.</w:t>
      </w:r>
    </w:p>
    <w:p>
      <w:pPr>
        <w:spacing w:after="0" w:line="54" w:lineRule="exact"/>
        <w:rPr>
          <w:sz w:val="24"/>
          <w:szCs w:val="24"/>
          <w:color w:val="auto"/>
        </w:rPr>
      </w:pPr>
    </w:p>
    <w:p>
      <w:pPr>
        <w:ind w:left="980"/>
        <w:spacing w:after="0"/>
        <w:rPr>
          <w:sz w:val="20"/>
          <w:szCs w:val="20"/>
          <w:color w:val="auto"/>
        </w:rPr>
      </w:pPr>
      <w:r>
        <w:rPr>
          <w:rFonts w:ascii="Arial" w:cs="Arial" w:eastAsia="Arial" w:hAnsi="Arial"/>
          <w:sz w:val="20"/>
          <w:szCs w:val="20"/>
          <w:b w:val="1"/>
          <w:bCs w:val="1"/>
          <w:color w:val="auto"/>
        </w:rPr>
        <w:t>Form 10-K for the Year Ended December 31, 2023</w:t>
      </w:r>
    </w:p>
    <w:p>
      <w:pPr>
        <w:spacing w:after="0" w:line="43" w:lineRule="exact"/>
        <w:rPr>
          <w:sz w:val="24"/>
          <w:szCs w:val="24"/>
          <w:color w:val="auto"/>
        </w:rPr>
      </w:pPr>
    </w:p>
    <w:p>
      <w:pPr>
        <w:ind w:left="980"/>
        <w:spacing w:after="0"/>
        <w:rPr>
          <w:sz w:val="20"/>
          <w:szCs w:val="20"/>
          <w:color w:val="auto"/>
        </w:rPr>
      </w:pPr>
      <w:r>
        <w:rPr>
          <w:rFonts w:ascii="Arial" w:cs="Arial" w:eastAsia="Arial" w:hAnsi="Arial"/>
          <w:sz w:val="20"/>
          <w:szCs w:val="20"/>
          <w:b w:val="1"/>
          <w:bCs w:val="1"/>
          <w:color w:val="auto"/>
        </w:rPr>
        <w:t>File No. 001-39021</w:t>
      </w:r>
    </w:p>
    <w:p>
      <w:pPr>
        <w:spacing w:after="0" w:line="228"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jc w:val="both"/>
        <w:spacing w:after="0" w:line="293" w:lineRule="auto"/>
        <w:rPr>
          <w:sz w:val="20"/>
          <w:szCs w:val="20"/>
          <w:color w:val="auto"/>
        </w:rPr>
      </w:pPr>
      <w:r>
        <w:rPr>
          <w:rFonts w:ascii="Arial" w:cs="Arial" w:eastAsia="Arial" w:hAnsi="Arial"/>
          <w:sz w:val="20"/>
          <w:szCs w:val="20"/>
          <w:color w:val="auto"/>
        </w:rPr>
        <w:t>On behalf of WM Technology,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the following information is submitted in response to the comments received from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U.S.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by letter dated November 7, 2024 (the “</w:t>
      </w:r>
      <w:r>
        <w:rPr>
          <w:rFonts w:ascii="Arial" w:cs="Arial" w:eastAsia="Arial" w:hAnsi="Arial"/>
          <w:sz w:val="20"/>
          <w:szCs w:val="20"/>
          <w:b w:val="1"/>
          <w:bCs w:val="1"/>
          <w:i w:val="1"/>
          <w:iCs w:val="1"/>
          <w:color w:val="auto"/>
        </w:rPr>
        <w:t>Comment Letter</w:t>
      </w:r>
      <w:r>
        <w:rPr>
          <w:rFonts w:ascii="Arial" w:cs="Arial" w:eastAsia="Arial" w:hAnsi="Arial"/>
          <w:sz w:val="20"/>
          <w:szCs w:val="20"/>
          <w:color w:val="auto"/>
        </w:rPr>
        <w:t>”) regarding the above-referenced Annual Report on Form 10-K, as filed with the Commission on May 24, 2024, and such amendment filed with Commission on August 30, 2024 (the “</w:t>
      </w:r>
      <w:r>
        <w:rPr>
          <w:rFonts w:ascii="Arial" w:cs="Arial" w:eastAsia="Arial" w:hAnsi="Arial"/>
          <w:sz w:val="20"/>
          <w:szCs w:val="20"/>
          <w:b w:val="1"/>
          <w:bCs w:val="1"/>
          <w:i w:val="1"/>
          <w:iCs w:val="1"/>
          <w:color w:val="auto"/>
        </w:rPr>
        <w:t>2023 Form 10-K</w:t>
      </w:r>
      <w:r>
        <w:rPr>
          <w:rFonts w:ascii="Arial" w:cs="Arial" w:eastAsia="Arial" w:hAnsi="Arial"/>
          <w:sz w:val="20"/>
          <w:szCs w:val="20"/>
          <w:color w:val="auto"/>
        </w:rPr>
        <w:t>”) and amends, restates and supplements the Company’s responses submitted to the Commission on October 7, 2024 and October 9, 2024.</w:t>
      </w:r>
    </w:p>
    <w:p>
      <w:pPr>
        <w:spacing w:after="0" w:line="151" w:lineRule="exact"/>
        <w:rPr>
          <w:sz w:val="24"/>
          <w:szCs w:val="24"/>
          <w:color w:val="auto"/>
        </w:rPr>
      </w:pPr>
    </w:p>
    <w:p>
      <w:pPr>
        <w:jc w:val="both"/>
        <w:spacing w:after="0" w:line="305" w:lineRule="auto"/>
        <w:rPr>
          <w:sz w:val="20"/>
          <w:szCs w:val="20"/>
          <w:color w:val="auto"/>
        </w:rPr>
      </w:pPr>
      <w:r>
        <w:rPr>
          <w:rFonts w:ascii="Arial" w:cs="Arial" w:eastAsia="Arial" w:hAnsi="Arial"/>
          <w:sz w:val="20"/>
          <w:szCs w:val="20"/>
          <w:color w:val="auto"/>
        </w:rPr>
        <w:t>For the convenience of the Staff, the numbering of the paragraphs below corresponds to the numbering of the respective comment in the Comment Letter, the text of which we have incorporated into this response letter for convenience in italicized type and which is followed by the Company’s response.</w:t>
      </w:r>
    </w:p>
    <w:p>
      <w:pPr>
        <w:spacing w:after="0" w:line="12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year ended December 31, 2023</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Item 1. General</w:t>
      </w:r>
    </w:p>
    <w:p>
      <w:pPr>
        <w:spacing w:after="0" w:line="229" w:lineRule="exact"/>
        <w:rPr>
          <w:sz w:val="24"/>
          <w:szCs w:val="24"/>
          <w:color w:val="auto"/>
        </w:rPr>
      </w:pPr>
    </w:p>
    <w:p>
      <w:pPr>
        <w:jc w:val="right"/>
        <w:ind w:left="660" w:hanging="652"/>
        <w:spacing w:after="0" w:line="288" w:lineRule="auto"/>
        <w:tabs>
          <w:tab w:leader="none" w:pos="424"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Your response to prior comment 1 states that the restatement did not impact your executive compensation payments and, thus, no recovery was required. This was because the performance-based portion of your executive compensation</w:t>
      </w:r>
    </w:p>
    <w:p>
      <w:pPr>
        <w:spacing w:after="0" w:line="1" w:lineRule="exact"/>
        <w:rPr>
          <w:rFonts w:ascii="Arial" w:cs="Arial" w:eastAsia="Arial" w:hAnsi="Arial"/>
          <w:sz w:val="20"/>
          <w:szCs w:val="20"/>
          <w:color w:val="auto"/>
        </w:rPr>
      </w:pPr>
    </w:p>
    <w:p>
      <w:pPr>
        <w:jc w:val="both"/>
        <w:ind w:left="660"/>
        <w:spacing w:after="0" w:line="297" w:lineRule="auto"/>
        <w:rPr>
          <w:rFonts w:ascii="Arial" w:cs="Arial" w:eastAsia="Arial" w:hAnsi="Arial"/>
          <w:sz w:val="20"/>
          <w:szCs w:val="20"/>
          <w:color w:val="auto"/>
        </w:rPr>
      </w:pPr>
      <w:r>
        <w:rPr>
          <w:rFonts w:ascii="Arial" w:cs="Arial" w:eastAsia="Arial" w:hAnsi="Arial"/>
          <w:sz w:val="20"/>
          <w:szCs w:val="20"/>
          <w:i w:val="1"/>
          <w:iCs w:val="1"/>
          <w:color w:val="auto"/>
        </w:rPr>
        <w:t>payments was calculated and finalized based on financial results provided in your year-end financial statements, which already took into account the adjustments to the first three quarters of 2023 that resulted from the restatement, and the time-based RSUs were not granted on the basis of your performance or financial results. You also indicate you determined that no disclosure was required by Item 402(w) of Regulation S-K as there was no</w:t>
      </w:r>
    </w:p>
    <w:p>
      <w:pPr>
        <w:sectPr>
          <w:pgSz w:w="11900" w:h="16838" w:orient="portrait"/>
          <w:cols w:equalWidth="0" w:num="1">
            <w:col w:w="11240"/>
          </w:cols>
          <w:pgMar w:left="320" w:top="102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Cooley LLP 3 Embarcadero Center 20th Floor San Francisco, CA 94111-4004</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 +1 415 693 2000 f: +1 415 693 2222 cooley.com</w:t>
      </w:r>
    </w:p>
    <w:p>
      <w:pPr>
        <w:sectPr>
          <w:pgSz w:w="11900" w:h="16838" w:orient="portrait"/>
          <w:cols w:equalWidth="0" w:num="1">
            <w:col w:w="11240"/>
          </w:cols>
          <w:pgMar w:left="320" w:top="1022" w:right="33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9825"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68935"/>
                    </a:xfrm>
                    <a:prstGeom prst="rect">
                      <a:avLst/>
                    </a:prstGeom>
                    <a:noFill/>
                  </pic:spPr>
                </pic:pic>
              </a:graphicData>
            </a:graphic>
          </wp:anchor>
        </w:drawing>
        <w:t>U.S. Securities and Exchange Commission</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12, 2024</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spacing w:after="0" w:line="297" w:lineRule="auto"/>
        <w:rPr>
          <w:sz w:val="20"/>
          <w:szCs w:val="20"/>
          <w:color w:val="auto"/>
        </w:rPr>
      </w:pPr>
      <w:r>
        <w:rPr>
          <w:rFonts w:ascii="Arial" w:cs="Arial" w:eastAsia="Arial" w:hAnsi="Arial"/>
          <w:sz w:val="20"/>
          <w:szCs w:val="20"/>
          <w:i w:val="1"/>
          <w:iCs w:val="1"/>
          <w:color w:val="auto"/>
        </w:rPr>
        <w:t>erroneously awarded compensation. However, Item 402(w)(2) of Regulation S-K requires disclosure of a brief explanation as to why application of your recovery policy resulted in no recovery of erroneously awarded compensation when you conclude that recovery is not required pursuant to your recovery policy. Please provide this disclosure in future filings.</w:t>
      </w:r>
    </w:p>
    <w:p>
      <w:pPr>
        <w:spacing w:after="0" w:line="156" w:lineRule="exact"/>
        <w:rPr>
          <w:sz w:val="20"/>
          <w:szCs w:val="20"/>
          <w:color w:val="auto"/>
        </w:rPr>
      </w:pPr>
    </w:p>
    <w:p>
      <w:pPr>
        <w:jc w:val="both"/>
        <w:ind w:left="660"/>
        <w:spacing w:after="0" w:line="302" w:lineRule="auto"/>
        <w:rPr>
          <w:sz w:val="20"/>
          <w:szCs w:val="20"/>
          <w:color w:val="auto"/>
        </w:rPr>
      </w:pPr>
      <w:r>
        <w:rPr>
          <w:rFonts w:ascii="Arial" w:cs="Arial" w:eastAsia="Arial" w:hAnsi="Arial"/>
          <w:sz w:val="20"/>
          <w:szCs w:val="20"/>
          <w:b w:val="1"/>
          <w:bCs w:val="1"/>
          <w:color w:val="auto"/>
        </w:rPr>
        <w:t>Response</w:t>
      </w:r>
      <w:r>
        <w:rPr>
          <w:rFonts w:ascii="Arial" w:cs="Arial" w:eastAsia="Arial" w:hAnsi="Arial"/>
          <w:sz w:val="20"/>
          <w:szCs w:val="20"/>
          <w:color w:val="auto"/>
        </w:rPr>
        <w:t>: The Company respectfully acknowledges the Staff’s comment and in the Company’s Annual Report on Form</w:t>
      </w:r>
      <w:r>
        <w:rPr>
          <w:rFonts w:ascii="Arial" w:cs="Arial" w:eastAsia="Arial" w:hAnsi="Arial"/>
          <w:sz w:val="20"/>
          <w:szCs w:val="20"/>
          <w:b w:val="1"/>
          <w:bCs w:val="1"/>
          <w:color w:val="auto"/>
        </w:rPr>
        <w:t xml:space="preserve"> </w:t>
      </w:r>
      <w:r>
        <w:rPr>
          <w:rFonts w:ascii="Arial" w:cs="Arial" w:eastAsia="Arial" w:hAnsi="Arial"/>
          <w:sz w:val="20"/>
          <w:szCs w:val="20"/>
          <w:color w:val="auto"/>
        </w:rPr>
        <w:t>10-K for the year ended December 31, 2024, as well as future filings, if applicable, the Company will provide a brief explanation as to why application of the Company’s recovery policy resulted in no recovery of erroneously awarded compensation in connection with the restatement of the Company’s financials on the 2023 Form 10-K.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Please contact me at (415) 693-2177 with any questions or further comments regarding our responses to the Staff’s comments.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David Peinsipp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David Peinsipp</w:t>
      </w:r>
    </w:p>
    <w:p>
      <w:pPr>
        <w:spacing w:after="0" w:line="229" w:lineRule="exact"/>
        <w:rPr>
          <w:sz w:val="20"/>
          <w:szCs w:val="20"/>
          <w:color w:val="auto"/>
        </w:rPr>
      </w:pPr>
    </w:p>
    <w:p>
      <w:pPr>
        <w:ind w:left="540" w:hanging="532"/>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Susan Echard, WM Technology, Inc.</w:t>
      </w:r>
    </w:p>
    <w:p>
      <w:pPr>
        <w:spacing w:after="0" w:line="53" w:lineRule="exact"/>
        <w:rPr>
          <w:rFonts w:ascii="Arial" w:cs="Arial" w:eastAsia="Arial" w:hAnsi="Arial"/>
          <w:sz w:val="20"/>
          <w:szCs w:val="20"/>
          <w:color w:val="auto"/>
        </w:rPr>
      </w:pPr>
    </w:p>
    <w:p>
      <w:pPr>
        <w:ind w:left="660" w:right="7500"/>
        <w:spacing w:after="0" w:line="298" w:lineRule="auto"/>
        <w:rPr>
          <w:rFonts w:ascii="Arial" w:cs="Arial" w:eastAsia="Arial" w:hAnsi="Arial"/>
          <w:sz w:val="20"/>
          <w:szCs w:val="20"/>
          <w:color w:val="auto"/>
        </w:rPr>
      </w:pPr>
      <w:r>
        <w:rPr>
          <w:rFonts w:ascii="Arial" w:cs="Arial" w:eastAsia="Arial" w:hAnsi="Arial"/>
          <w:sz w:val="20"/>
          <w:szCs w:val="20"/>
          <w:color w:val="auto"/>
        </w:rPr>
        <w:t>Brian Camire, WM Technology, Inc. Kristin VanderPas, Cooley LLP Peter Byrne, 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+1 415 693 2000 f: +1 415 693 2222 cooley.com</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2024-12-27T23:12:33Z</dcterms:created>
  <dcterms:modified xsi:type="dcterms:W3CDTF">2024-12-27T23:12:33Z</dcterms:modified>
</cp:coreProperties>
</file>