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11/18/2025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90,979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0.842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1,842,862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$0.8241 to $0.8503. The Reporting Person will provide upon request to the SEC, the Issuer or security holder of the Issuer,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Camire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363"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2025-11-20T18:11:25Z</dcterms:created>
  <dcterms:modified xsi:type="dcterms:W3CDTF">2025-11-20T18:11:25Z</dcterms:modified>
</cp:coreProperties>
</file>