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Rellas Nicholas Antone</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03/05/2026</w:t>
            </w:r>
          </w:p>
        </w:tc>
        <w:tc>
          <w:tcPr>
            <w:tcW w:w="1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28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466,309</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466,309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Class A Common Stock underlying restricted stock units ("RSUs"). Each RSU represents the contingent right to receive one share of the Issuer's Class A Common Stock. The RSUs will fully vest in three equal annual installments on the date of the next three annual meeting of stockholders, beginning with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Nicholas A. Rellas,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2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Brian Camire, Attorney-in-</w:t>
      </w:r>
      <w:r>
        <w:rPr>
          <w:sz w:val="20"/>
          <w:szCs w:val="20"/>
          <w:color w:val="auto"/>
        </w:rPr>
        <w:tab/>
      </w:r>
      <w:r>
        <w:rPr>
          <w:rFonts w:ascii="Times New Roman" w:cs="Times New Roman" w:eastAsia="Times New Roman" w:hAnsi="Times New Roman"/>
          <w:sz w:val="17"/>
          <w:szCs w:val="17"/>
          <w:color w:val="0000FF"/>
        </w:rPr>
        <w:t>03/09/2026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3994"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2026-03-09T17:41:13Z</dcterms:created>
  <dcterms:modified xsi:type="dcterms:W3CDTF">2026-03-09T17:41:13Z</dcterms:modified>
</cp:coreProperties>
</file>