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8"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7" w:after="283"/>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5"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August 2, 2023</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WM TECHNOLOGY, INC.</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9042" w:type="dxa"/>
        <w:jc w:val="center"/>
        <w:tblInd w:w="0" w:type="dxa"/>
        <w:tblLayout w:type="fixed"/>
        <w:tblCellMar>
          <w:top w:w="28" w:type="dxa"/>
          <w:left w:w="28" w:type="dxa"/>
          <w:bottom w:w="28" w:type="dxa"/>
          <w:right w:w="28" w:type="dxa"/>
        </w:tblCellMar>
      </w:tblPr>
      <w:tblGrid>
        <w:gridCol w:w="1345"/>
        <w:gridCol w:w="1181"/>
        <w:gridCol w:w="1193"/>
        <w:gridCol w:w="762"/>
        <w:gridCol w:w="762"/>
        <w:gridCol w:w="770"/>
        <w:gridCol w:w="884"/>
        <w:gridCol w:w="884"/>
        <w:gridCol w:w="1261"/>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001-39021</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98-1605615</w:t>
            </w:r>
          </w:p>
        </w:tc>
      </w:tr>
      <w:tr>
        <w:trPr/>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center"/>
        <w:rPr/>
      </w:pPr>
      <w:r>
        <w:rPr/>
      </w:r>
    </w:p>
    <w:tbl>
      <w:tblPr>
        <w:tblW w:w="4662" w:type="dxa"/>
        <w:jc w:val="left"/>
        <w:tblInd w:w="0" w:type="dxa"/>
        <w:tblLayout w:type="fixed"/>
        <w:tblCellMar>
          <w:top w:w="28" w:type="dxa"/>
          <w:left w:w="28" w:type="dxa"/>
          <w:bottom w:w="28" w:type="dxa"/>
          <w:right w:w="28" w:type="dxa"/>
        </w:tblCellMar>
      </w:tblPr>
      <w:tblGrid>
        <w:gridCol w:w="1194"/>
        <w:gridCol w:w="1051"/>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 Discovery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92618</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(844) 933-3627</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0" w:after="283"/>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1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10" w:after="283"/>
        <w:jc w:val="left"/>
        <w:rPr/>
      </w:pPr>
      <w:r>
        <w:rPr/>
      </w:r>
    </w:p>
    <w:p>
      <w:pPr>
        <w:pStyle w:val="TextBody"/>
        <w:bidi w:val="0"/>
        <w:spacing w:lineRule="auto" w:line="29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1" w:after="283"/>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9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5"/>
        <w:gridCol w:w="1912"/>
        <w:gridCol w:w="1934"/>
        <w:gridCol w:w="436"/>
        <w:gridCol w:w="436"/>
        <w:gridCol w:w="438"/>
        <w:gridCol w:w="777"/>
        <w:gridCol w:w="777"/>
        <w:gridCol w:w="1110"/>
      </w:tblGrid>
      <w:tr>
        <w:trPr/>
        <w:tc>
          <w:tcPr>
            <w:tcW w:w="238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6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t>
            </w:r>
          </w:p>
        </w:tc>
        <w:tc>
          <w:tcPr>
            <w:tcW w:w="2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r>
        <w:trPr/>
        <w:tc>
          <w:tcPr>
            <w:tcW w:w="6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Warrants, each whole warrant exercisable for one share of Class A Common Stock at an exercise price of $11.50 per share</w:t>
            </w:r>
          </w:p>
        </w:tc>
        <w:tc>
          <w:tcPr>
            <w:tcW w:w="1310"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MAPSW</w:t>
            </w:r>
          </w:p>
        </w:tc>
        <w:tc>
          <w:tcPr>
            <w:tcW w:w="2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before="0" w:after="0"/>
        <w:jc w:val="left"/>
        <w:rPr/>
      </w:pPr>
      <w:r>
        <w:rPr/>
      </w:r>
    </w:p>
    <w:p>
      <w:pPr>
        <w:pStyle w:val="TextBody"/>
        <w:bidi w:val="0"/>
        <w:spacing w:lineRule="auto" w:line="290" w:before="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ans-serif" w:hAnsi="Times New Roman;sans-serif"/>
          <w:b w:val="false"/>
          <w:color w:val="000000"/>
          <w:sz w:val="20"/>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8, 2023, WM Technology, Inc. (the "Company") announced its financial results for the second quarter ended June 30, 2023. The full text of the press release issued in connection with the announcement is furnished as Exhibit 99.1 to this Current Report on Form 8-K and is incorporated by reference.</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4.01     Change in Registrant’s Certifying Accountant</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reported, on June 8, 2023, the Company was notified by Baker Tilly US, LLP (“Baker Tilly”), of its decision to resign as the independent registered public accounting firm of the Company due to staffing constraints within Baker Tilly. The resignation is effective immediately following the filing of the Company’s Quarterly Report on Form 10-Q for the quarter ended June 30, 2023.</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 2023, the Audit Committee of the Board of Directors of the Company approved the appointment of Moss Adams LLP ("Moss Adams") as the Company’s new independent registered public accounting firm for the fiscal year ending December 31, 2023. Moss Adams' engagement is effective immediately following the filing of the Company’s Quarterly Report on Form 10-Q for the quarter ended June 30, 2023.</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years ended December 31, 2022, and 2021, and the subsequent interim periods through the date of filing of this Current Report on Form 8-K, neither the Company nor anyone acting on its behalf has consulted with Moss Adams regarding (i) the application of accounting principles to a specific transaction, either completed or proposed, or the type of audit opinion that might be rendered on the Company’s financial statements or the effectiveness of internal control over financial reporting, and neither a written report or oral advice was provided to the Company that Moss Adams concluded was an important factor considered by the Company in reaching a decision as to any accounting, auditing, or financial reporting issue, (ii) any matter that was the subject of a disagreement within the meaning of Item 304(a)(1)(iv) of Regulation S-K, or (iii) any reportable event within the meaning of Item 304(a)(1)(v)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Exhibits </w:t>
      </w:r>
    </w:p>
    <w:tbl>
      <w:tblPr>
        <w:tblW w:w="917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152"/>
        <w:gridCol w:w="2152"/>
        <w:gridCol w:w="3061"/>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wmtechnologyincearningsrel.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wmtechnologyincearningsrel.htm">
              <w:r>
                <w:rPr>
                  <w:rStyle w:val="InternetLink"/>
                  <w:rFonts w:ascii="Times New Roman;sans-serif" w:hAnsi="Times New Roman;sans-serif"/>
                  <w:b w:val="false"/>
                  <w:color w:val="0000FF"/>
                  <w:sz w:val="20"/>
                  <w:u w:val="single"/>
                </w:rPr>
                <w:t>Press Release dated August 8, 2023</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included as Exhibit 101)</w:t>
            </w:r>
          </w:p>
        </w:tc>
      </w:tr>
    </w:tbl>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10" w:after="283"/>
        <w:jc w:val="left"/>
        <w:rPr/>
      </w:pPr>
      <w:r>
        <w:rPr/>
      </w:r>
    </w:p>
    <w:p>
      <w:pPr>
        <w:pStyle w:val="TextBody"/>
        <w:bidi w:val="0"/>
        <w:spacing w:lineRule="auto" w:line="290"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734" w:type="dxa"/>
        <w:jc w:val="left"/>
        <w:tblInd w:w="0" w:type="dxa"/>
        <w:tblLayout w:type="fixed"/>
        <w:tblCellMar>
          <w:top w:w="28" w:type="dxa"/>
          <w:left w:w="28" w:type="dxa"/>
          <w:bottom w:w="28" w:type="dxa"/>
          <w:right w:w="28" w:type="dxa"/>
        </w:tblCellMar>
      </w:tblPr>
      <w:tblGrid>
        <w:gridCol w:w="361"/>
        <w:gridCol w:w="317"/>
        <w:gridCol w:w="317"/>
        <w:gridCol w:w="317"/>
        <w:gridCol w:w="317"/>
        <w:gridCol w:w="317"/>
        <w:gridCol w:w="383"/>
        <w:gridCol w:w="383"/>
        <w:gridCol w:w="383"/>
        <w:gridCol w:w="771"/>
        <w:gridCol w:w="771"/>
        <w:gridCol w:w="1097"/>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194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2023</w:t>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WM TECHNOLOGY, INC.</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Mary Hoitt</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 Hoitt</w:t>
            </w:r>
          </w:p>
        </w:tc>
      </w:tr>
      <w:tr>
        <w:trPr/>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9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120" w:after="283"/>
        <w:jc w:val="left"/>
        <w:rPr/>
      </w:pPr>
      <w:r>
        <w:rPr/>
        <w:drawing>
          <wp:inline distT="0" distB="0" distL="0" distR="0">
            <wp:extent cx="238125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742950"/>
                    </a:xfrm>
                    <a:prstGeom prst="rect">
                      <a:avLst/>
                    </a:prstGeom>
                  </pic:spPr>
                </pic:pic>
              </a:graphicData>
            </a:graphic>
          </wp:inline>
        </w:drawing>
      </w:r>
    </w:p>
    <w:p>
      <w:pPr>
        <w:pStyle w:val="TextBody"/>
        <w:bidi w:val="0"/>
        <w:spacing w:before="120" w:after="283"/>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WM Technology, Inc. Reports Second Quarter 2023 Financial Results</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Announces Second Quarter 2023 Financial Results with Revenue of $50.9 million, Net Income of $2.0 million and </w:t>
        <w:br/>
        <w:t>Adjusted EBITDA of $10.2 million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color w:val="000000"/>
          <w:sz w:val="20"/>
        </w:rPr>
        <w:t xml:space="preserve">Irvine, Calif. -- August 8, 2023 -- </w:t>
      </w:r>
      <w:r>
        <w:rPr>
          <w:rFonts w:ascii="Times New Roman;sans-serif" w:hAnsi="Times New Roman;sans-serif"/>
          <w:b w:val="false"/>
          <w:color w:val="000000"/>
          <w:sz w:val="20"/>
        </w:rPr>
        <w:t xml:space="preserve">WM Technology, Inc. (“WM Technology” or the “Company”) (Nasdaq: MAPS), a leading technology and software infrastructure provider to the cannabis industry, today announced its financial results for the second quarter ended June 30, 2023. </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ans-serif" w:hAnsi="Times New Roman;sans-serif"/>
          <w:b w:val="false"/>
          <w:color w:val="000000"/>
          <w:sz w:val="20"/>
        </w:rPr>
        <w:t xml:space="preserve">Our second quarter results reflect the positive changes we have made to our business over the past few quarters and our commitment to returning to positive cash flow and Adjusted EBITDA,” said Doug Francis, Executive Chair of WM Technology. “We continue to strengthen our financial position, and we’re seeing the strategic and operational changes we’ve implemented take hold, delivering increased value to our stakeholders which in turn will generate long-term, sustainable growth and profitability for WM Technology. It’s imperative that we continue to develop and deliver valuable products and services for our clients, ensuring Weedmaps is the best destination for consumers to discover and order cannabis through participating retailers. While there is more to do, I am proud of the progress we have made to date.”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Second Quarter 2023 Financial Highlights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Revenue was $50.9 million as compared to $58.3 million in the second quarter of 2022 (“prior year period”).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Average monthly paying clients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was 5,609, as compared to 5,537 from the prior year period.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Average monthly revenue per paying client</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was $3,022, as compared to $3,509 from the prior year period.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Net income was $2.0 million as compared to net income of $19.8 million from the prior year period.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Adjusted EBITDA</w:t>
      </w: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 xml:space="preserve">was $10.2 million as compared to $(0.6) million from the prior year period.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Basic and diluted net income per share were both $0.01 based on 92.9 million and 93.6 million of Class A Common Stock weighted average shares outstanding, respectively. </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Total shares outstanding across Class A and Class V Common Stock were 148.9 million as of June 30, 2023.</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Cash totaled $24.6 million as of June 30, 2023, with no debt.</w:t>
      </w:r>
    </w:p>
    <w:p>
      <w:pPr>
        <w:pStyle w:val="TextBody"/>
        <w:bidi w:val="0"/>
        <w:spacing w:before="0" w:after="6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Reconciliations of GAAP to non-GAAP financial measures have been provided in the tables included in this release.</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(1)Average monthly paying clients are defined as the average of the number of paying clients billed in a month across a particular period (and for which services were provided).</w:t>
      </w:r>
    </w:p>
    <w:p>
      <w:pPr>
        <w:pStyle w:val="TextBody"/>
        <w:bidi w:val="0"/>
        <w:spacing w:lineRule="auto" w:line="26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(2)Average monthly revenue per paying client is defined as the average monthly revenue for any particular period divided by the average monthly paying clients in the same respective period.</w:t>
      </w:r>
    </w:p>
    <w:p>
      <w:pPr>
        <w:pStyle w:val="TextBody"/>
        <w:bidi w:val="0"/>
        <w:spacing w:lineRule="auto" w:line="26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(3)For further information about how we calculate EBITDA and Adjusted EBITDA as well as limitations of their use and a reconciliation of EBITDA and Adjusted EBITDA to net income (loss), see “Reconciliation of Net Income (Loss) to EBITDA and Adjusted EBITDA” below.</w:t>
      </w:r>
    </w:p>
    <w:p>
      <w:pPr>
        <w:pStyle w:val="TextBody"/>
        <w:bidi w:val="0"/>
        <w:jc w:val="both"/>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76"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Business Outlook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information available as of August 8, 2023, WM Technology is issuing guidance for the third quarter of 2023 as follows: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shd w:fill="FFFFFF" w:val="clear"/>
        </w:rPr>
        <w:t>•</w:t>
      </w:r>
      <w:r>
        <w:rPr>
          <w:rFonts w:ascii="Times New Roman;sans-serif" w:hAnsi="Times New Roman;sans-serif"/>
          <w:b w:val="false"/>
          <w:color w:val="000000"/>
          <w:sz w:val="20"/>
          <w:shd w:fill="FFFFFF" w:val="clear"/>
        </w:rPr>
        <w:t>Revenue is estimated to b</w:t>
      </w:r>
      <w:r>
        <w:rPr>
          <w:rFonts w:ascii="Times New Roman;sans-serif" w:hAnsi="Times New Roman;sans-serif"/>
          <w:b w:val="false"/>
          <w:color w:val="000000"/>
          <w:sz w:val="20"/>
        </w:rPr>
        <w:t>e $47 million</w:t>
      </w:r>
    </w:p>
    <w:p>
      <w:pPr>
        <w:pStyle w:val="TextBody"/>
        <w:bidi w:val="0"/>
        <w:spacing w:lineRule="auto" w:line="288" w:before="0" w:after="60"/>
        <w:ind w:left="0" w:right="0" w:hanging="360"/>
        <w:jc w:val="both"/>
        <w:rPr/>
      </w:pPr>
      <w:r>
        <w:rPr>
          <w:color w:val="000000"/>
          <w:shd w:fill="FFFFFF" w:val="clear"/>
        </w:rPr>
        <w:t>•</w:t>
      </w:r>
      <w:r>
        <w:rPr>
          <w:rFonts w:ascii="Times New Roman;sans-serif" w:hAnsi="Times New Roman;sans-serif"/>
          <w:b w:val="false"/>
          <w:color w:val="000000"/>
          <w:sz w:val="20"/>
          <w:shd w:fill="FFFFFF" w:val="clear"/>
        </w:rPr>
        <w:t>Non-GAAP Adjusted EBITDA</w:t>
      </w:r>
      <w:r>
        <w:rPr>
          <w:rFonts w:ascii="Times New Roman;sans-serif" w:hAnsi="Times New Roman;sans-serif"/>
          <w:b w:val="false"/>
          <w:color w:val="000000"/>
          <w:sz w:val="13"/>
          <w:shd w:fill="FFFFFF" w:val="clear"/>
        </w:rPr>
        <w:t>(1)</w:t>
      </w:r>
      <w:r>
        <w:rPr>
          <w:color w:val="000000"/>
          <w:shd w:fill="FFFFFF" w:val="clear"/>
        </w:rPr>
        <w:t xml:space="preserve"> </w:t>
      </w:r>
      <w:r>
        <w:rPr>
          <w:rFonts w:ascii="Times New Roman;sans-serif" w:hAnsi="Times New Roman;sans-serif"/>
          <w:b w:val="false"/>
          <w:color w:val="000000"/>
          <w:sz w:val="20"/>
          <w:shd w:fill="FFFFFF" w:val="clear"/>
        </w:rPr>
        <w:t xml:space="preserve">is estimated to be approximately $4 million. </w:t>
      </w:r>
    </w:p>
    <w:p>
      <w:pPr>
        <w:pStyle w:val="TextBody"/>
        <w:bidi w:val="0"/>
        <w:spacing w:before="0" w:after="60"/>
        <w:jc w:val="both"/>
        <w:rPr/>
      </w:pPr>
      <w:r>
        <w:rPr/>
      </w:r>
    </w:p>
    <w:p>
      <w:pPr>
        <w:pStyle w:val="TextBody"/>
        <w:bidi w:val="0"/>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The guidance provided above is only an estimate of what we believe is realizable as of the date of this release. We are not readily able to provide a reconciliation of projected Non-GAAP Adjusted EBITDA to projected net income (loss) without unreasonable effort. This guidance assumes that no business acquisitions, investments, restructurings, or legal settlements are concluded in the period.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Independent Registered Accounting Firm</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reported, on June 8, 2023, the Company was notified by Baker Tilly US, LLP (“Baker Tilly”), of its decision to resign as the independent registered public accounting firm of the Company due to staffing constraints within Baker Tilly. The resignation is effective immediately following the filing of the Company’s Quarterly Report on Form 10-Q for the quarter ended June 30,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2, 2023, the Audit Committee of the Board of Directors of the Company approved the appointment of Moss Adams LLP (“Moss Adams”) as the Company’s new independent registered public accounting firm for the fiscal year ending December 31, 2023. Moss Adams’ engagement is effective immediately following the filing of the Company’s Quarterly Report on Form 10-Q for the quarter ended June 30, 2023.</w:t>
      </w:r>
    </w:p>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Investor Conference Call and Webcasts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host a conference call and webcast today, Tuesday, August 8, 2023, at 2:00 p.m. Pacific Time (5:00 p.m. Eastern Time) at https://edge.media-server.com/mmc/p/55jhnmgv. A webcast replay will also be archived at ir.weedmaps.com.</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used, and intends to continue to use, the investor relations portion of its website as a means of disclosing material non-public information and for complying with disclosure obligations under Regulation FD.</w:t>
      </w:r>
    </w:p>
    <w:p>
      <w:pPr>
        <w:pStyle w:val="TextBody"/>
        <w:bidi w:val="0"/>
        <w:spacing w:before="0" w:after="0"/>
        <w:jc w:val="both"/>
        <w:rPr/>
      </w:pPr>
      <w:r>
        <w:rPr/>
      </w:r>
    </w:p>
    <w:p>
      <w:pPr>
        <w:pStyle w:val="TextBody"/>
        <w:bidi w:val="0"/>
        <w:jc w:val="both"/>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120"/>
        <w:jc w:val="both"/>
        <w:rPr>
          <w:rFonts w:ascii="Times New Roman;sans-serif" w:hAnsi="Times New Roman;sans-serif"/>
          <w:b/>
          <w:color w:val="000000"/>
          <w:sz w:val="20"/>
        </w:rPr>
      </w:pPr>
      <w:r>
        <w:rPr>
          <w:rFonts w:ascii="Times New Roman;sans-serif" w:hAnsi="Times New Roman;sans-serif"/>
          <w:b/>
          <w:color w:val="000000"/>
          <w:sz w:val="20"/>
        </w:rPr>
        <w:t>About WM Technology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Founded in 2008, WM Technology operates the leading online cannabis marketplace for consumers together with a comprehensive set of eCommerce and compliance software solutions for cannabis businesses, which are sold to retailers and brands in the U.S. state-legal and Canadian cannabis markets. The Company is driven by a passion for the plant, and is on a mission to champion the truth and stand with all who believe in open access to cannabis.</w:t>
      </w:r>
    </w:p>
    <w:p>
      <w:pPr>
        <w:pStyle w:val="TextBody"/>
        <w:bidi w:val="0"/>
        <w:spacing w:lineRule="auto" w:line="256" w:before="0" w:after="0"/>
        <w:jc w:val="both"/>
        <w:rPr/>
      </w:pPr>
      <w:r>
        <w:rPr>
          <w:rFonts w:ascii="Times New Roman;sans-serif" w:hAnsi="Times New Roman;sans-serif"/>
          <w:b w:val="false"/>
          <w:color w:val="000000"/>
          <w:sz w:val="20"/>
        </w:rPr>
        <w:t>The Company’s technology addresses the challenges facing both consumers seeking to understand cannabis products and businesses who serve cannabis users in a legally compliant fashion. Over the past 14 years, the Weedmaps marketplace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r>
        <w:rPr>
          <w:rFonts w:ascii="Calibri;sans-serif" w:hAnsi="Calibri;sans-serif"/>
          <w:b w:val="false"/>
          <w:color w:val="000000"/>
          <w:sz w:val="22"/>
        </w:rPr>
        <w: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WM Technology holds a strong belief in the power of cannabis and the importance of enabling safe, legal access to consumers worldwide. Since inception, WM Technology has worked tirelessly, not only to become the most comprehensive platform for consumers, but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Headquartered in Irvine, California, WM Technology supports remote work for all eligible employees. Visit us at www.weedmaps.com.</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includes “forward-looking statements” regarding our future business expectations which involve risks and uncertainties.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and projections of market opportunity and market share.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customers and retain existing customers; expectations and timing related to commercial product launches; success of the Company’s go-to-market strategy; ability to scale its business and expand its offerings; the Company’s competitive advantages and growth strategies; the Company’s future capital requirements and sources and uses of cash; the Company’s ability to obtain funding for our future operations; the outcome of any known and unknown litigation and regulatory proceedings; changes in domestic and foreign business, market, financial, political and legal conditions; risks relating to the uncertainty of the projected financial information with respect to the Company;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develop new products and solutions, bring them to market in a timely manner, and make enhancements to its platform and the Company’s ability to maintain and grow its two-sided digital network, including its ability to acquire and retain paying customers; the effects of competition on the Company’s future business; the Company’s success in retaining or recruiting, or changes required in, officers, key employees or directors, including the CEO search; the possibility that we may be adversely affected by other economic, business or competitive factors; the possibility that the Company may be adversely affected by other economic, business or competitive and those factors discussed in the Company’s 2022 Annual Report on Form 10-K filed with Securities and Exchange Commission (the “SEC”) on March 16, 2023 and subsequent Form 10-Qs or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 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w:t>
      </w:r>
    </w:p>
    <w:p>
      <w:pPr>
        <w:pStyle w:val="TextBody"/>
        <w:bidi w:val="0"/>
        <w:spacing w:before="12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date of this press release. Accordingly, undue reliance should not be placed upon the forward-looking statements.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Use of Non-GAAP Financial Measures</w:t>
      </w:r>
    </w:p>
    <w:p>
      <w:pPr>
        <w:pStyle w:val="TextBody"/>
        <w:bidi w:val="0"/>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including net income (loss), are prepared in accordance with principles generally accepted in the United States of America (“GAAP”).</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change in tax receivable agreement liability, transaction related bonuses, impairment loss, transaction costs, legal settlements and other legal costs, reduction in force and other non-cash, unusual and/or infrequent costs in the case of Adjusted EBITDA. Below we have provided a reconciliation of net income (loss) (the most directly comparable GAAP financial measure) to EBITDA; and from EBITDA to Adjusted EBITDA.</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pStyle w:val="TextBody"/>
        <w:bidi w:val="0"/>
        <w:spacing w:lineRule="auto" w:line="288" w:before="120" w:after="6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pStyle w:val="TextBody"/>
        <w:bidi w:val="0"/>
        <w:spacing w:lineRule="auto" w:line="288" w:before="60" w:after="60"/>
        <w:ind w:left="0" w:right="0" w:hanging="360"/>
        <w:jc w:val="both"/>
        <w:rPr/>
      </w:pPr>
      <w:r>
        <w:rPr>
          <w:color w:val="000000"/>
        </w:rPr>
        <w:t>•</w:t>
      </w:r>
      <w:r>
        <w:rPr>
          <w:rFonts w:ascii="Times New Roman;sans-serif" w:hAnsi="Times New Roman;sans-serif"/>
          <w:b w:val="false"/>
          <w:color w:val="000000"/>
          <w:sz w:val="20"/>
        </w:rPr>
        <w:t>EBITDA and Adjusted EBITDA do not reflect changes in, or cash requirements for, our working capital needs; and</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color w:val="000000"/>
          <w:sz w:val="20"/>
        </w:rPr>
        <w:t>EBITDA and Adjusted EBITDA do not reflect tax payments that may represent a reduction in cash available to us.</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you should consider EBITDA and Adjusted EBITDA alongside other financial performance measures, including net income (loss) and our other GAAP results.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Definition of Key Operating and Financial Metrics</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Average Monthly Revenue Per Paying Client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t>
      </w:r>
    </w:p>
    <w:p>
      <w:pPr>
        <w:pStyle w:val="TextBody"/>
        <w:bidi w:val="0"/>
        <w:spacing w:lineRule="auto" w:line="288" w:before="0" w:after="120"/>
        <w:ind w:left="0" w:right="0" w:hanging="360"/>
        <w:jc w:val="both"/>
        <w:rPr/>
      </w:pPr>
      <w:r>
        <w:rPr>
          <w:color w:val="000000"/>
        </w:rPr>
        <w:t>•</w:t>
      </w:r>
      <w:r>
        <w:rPr>
          <w:rFonts w:ascii="Times New Roman;sans-serif" w:hAnsi="Times New Roman;sans-serif"/>
          <w:b/>
          <w:color w:val="000000"/>
          <w:sz w:val="20"/>
        </w:rPr>
        <w:t>Average Monthly Paying Clients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We define average monthly paying clients as the monthly average of clients billed each month over a particular period (and for which services were provided).</w:t>
      </w:r>
    </w:p>
    <w:p>
      <w:pPr>
        <w:pStyle w:val="TextBody"/>
        <w:bidi w:val="0"/>
        <w:spacing w:before="12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tbl>
      <w:tblPr>
        <w:tblW w:w="10205" w:type="dxa"/>
        <w:jc w:val="left"/>
        <w:tblInd w:w="0" w:type="dxa"/>
        <w:tblLayout w:type="fixed"/>
        <w:tblCellMar>
          <w:top w:w="28" w:type="dxa"/>
          <w:left w:w="28" w:type="dxa"/>
          <w:bottom w:w="28" w:type="dxa"/>
          <w:right w:w="28" w:type="dxa"/>
        </w:tblCellMar>
      </w:tblPr>
      <w:tblGrid>
        <w:gridCol w:w="2712"/>
        <w:gridCol w:w="2138"/>
        <w:gridCol w:w="2108"/>
        <w:gridCol w:w="109"/>
        <w:gridCol w:w="109"/>
        <w:gridCol w:w="109"/>
        <w:gridCol w:w="219"/>
        <w:gridCol w:w="859"/>
        <w:gridCol w:w="113"/>
        <w:gridCol w:w="109"/>
        <w:gridCol w:w="109"/>
        <w:gridCol w:w="109"/>
        <w:gridCol w:w="247"/>
        <w:gridCol w:w="970"/>
        <w:gridCol w:w="185"/>
      </w:tblGrid>
      <w:tr>
        <w:trPr/>
        <w:tc>
          <w:tcPr>
            <w:tcW w:w="2712"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6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188,742 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199,035 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 liability,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 $0.0001 par value; 75,000,000 shares authorized; no shares issued and outstanding at June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 $0.0001 par value; 1,500,000,000 shares authorized; 93,415,644 shares issued and outstanding at June 30, 2023 and 92,062,468 shares issued and outstanding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V Common Stock - $0.0001 par value; 500,000,000 shares authorized, 55,486,361 shares issued and outstanding at June 30,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WM Technology,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101,397 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6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114,777 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188,742 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199,035 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1716"/>
        <w:gridCol w:w="1330"/>
        <w:gridCol w:w="1347"/>
        <w:gridCol w:w="244"/>
        <w:gridCol w:w="837"/>
        <w:gridCol w:w="113"/>
        <w:gridCol w:w="113"/>
        <w:gridCol w:w="113"/>
        <w:gridCol w:w="113"/>
        <w:gridCol w:w="244"/>
        <w:gridCol w:w="837"/>
        <w:gridCol w:w="113"/>
        <w:gridCol w:w="109"/>
        <w:gridCol w:w="109"/>
        <w:gridCol w:w="109"/>
        <w:gridCol w:w="244"/>
        <w:gridCol w:w="837"/>
        <w:gridCol w:w="109"/>
        <w:gridCol w:w="109"/>
        <w:gridCol w:w="109"/>
        <w:gridCol w:w="109"/>
        <w:gridCol w:w="219"/>
        <w:gridCol w:w="862"/>
        <w:gridCol w:w="160"/>
      </w:tblGrid>
      <w:tr>
        <w:trPr/>
        <w:tc>
          <w:tcPr>
            <w:tcW w:w="171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115,746 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shown separately below)</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71,312 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WM Technology, Inc.</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shares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92,851,349 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86,425,352 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79,476,383 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diluted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93,622,582 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87,230,850 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92,589,011 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79,476,383 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714" w:type="dxa"/>
        <w:jc w:val="left"/>
        <w:tblInd w:w="0" w:type="dxa"/>
        <w:tblLayout w:type="fixed"/>
        <w:tblCellMar>
          <w:top w:w="28" w:type="dxa"/>
          <w:left w:w="28" w:type="dxa"/>
          <w:bottom w:w="28" w:type="dxa"/>
          <w:right w:w="28" w:type="dxa"/>
        </w:tblCellMar>
      </w:tblPr>
      <w:tblGrid>
        <w:gridCol w:w="2597"/>
        <w:gridCol w:w="2286"/>
        <w:gridCol w:w="2302"/>
        <w:gridCol w:w="211"/>
        <w:gridCol w:w="721"/>
        <w:gridCol w:w="109"/>
        <w:gridCol w:w="109"/>
        <w:gridCol w:w="109"/>
        <w:gridCol w:w="109"/>
        <w:gridCol w:w="211"/>
        <w:gridCol w:w="796"/>
        <w:gridCol w:w="154"/>
      </w:tblGrid>
      <w:tr>
        <w:trPr/>
        <w:tc>
          <w:tcPr>
            <w:tcW w:w="259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 holdback release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insurance premium financing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repayment of related party note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NET INCOME (LOSS) TO EBITDA AND ADJUSTED EBITDA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120" w:after="120"/>
        <w:jc w:val="left"/>
        <w:rPr/>
      </w:pPr>
      <w:r>
        <w:rPr/>
      </w:r>
    </w:p>
    <w:tbl>
      <w:tblPr>
        <w:tblW w:w="9271" w:type="dxa"/>
        <w:jc w:val="left"/>
        <w:tblInd w:w="0" w:type="dxa"/>
        <w:tblLayout w:type="fixed"/>
        <w:tblCellMar>
          <w:top w:w="28" w:type="dxa"/>
          <w:left w:w="28" w:type="dxa"/>
          <w:bottom w:w="28" w:type="dxa"/>
          <w:right w:w="28" w:type="dxa"/>
        </w:tblCellMar>
      </w:tblPr>
      <w:tblGrid>
        <w:gridCol w:w="1374"/>
        <w:gridCol w:w="1206"/>
        <w:gridCol w:w="1215"/>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96"/>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bonus (recovery) expense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settlements and other legal costs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force (recovery) expense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68" w:before="0" w:after="0"/>
        <w:ind w:left="0" w:right="0" w:hanging="360"/>
        <w:jc w:val="both"/>
        <w:rPr/>
      </w:pPr>
      <w:r>
        <w:rPr>
          <w:rFonts w:ascii="Times New Roman;sans-serif" w:hAnsi="Times New Roman;sans-serif"/>
          <w:b w:val="false"/>
          <w:color w:val="000000"/>
          <w:sz w:val="16"/>
        </w:rPr>
        <w:t>(1)    </w:t>
      </w:r>
      <w:r>
        <w:rPr>
          <w:rFonts w:ascii="Times New Roman;sans-serif" w:hAnsi="Times New Roman;sans-serif"/>
          <w:b w:val="false"/>
          <w:color w:val="000000"/>
          <w:sz w:val="20"/>
        </w:rPr>
        <w:t>Stock-based compensation expense is recorded in the following expense categories on the accompanying consolidated statements of operations for the three and six months ended June 30, 2023 and 2022:</w:t>
      </w:r>
    </w:p>
    <w:tbl>
      <w:tblPr>
        <w:tblW w:w="9139" w:type="dxa"/>
        <w:jc w:val="left"/>
        <w:tblInd w:w="0" w:type="dxa"/>
        <w:tblLayout w:type="fixed"/>
        <w:tblCellMar>
          <w:top w:w="28" w:type="dxa"/>
          <w:left w:w="28" w:type="dxa"/>
          <w:bottom w:w="28" w:type="dxa"/>
          <w:right w:w="28" w:type="dxa"/>
        </w:tblCellMar>
      </w:tblPr>
      <w:tblGrid>
        <w:gridCol w:w="1360"/>
        <w:gridCol w:w="1198"/>
        <w:gridCol w:w="1206"/>
        <w:gridCol w:w="251"/>
        <w:gridCol w:w="735"/>
        <w:gridCol w:w="130"/>
        <w:gridCol w:w="130"/>
        <w:gridCol w:w="130"/>
        <w:gridCol w:w="130"/>
        <w:gridCol w:w="251"/>
        <w:gridCol w:w="735"/>
        <w:gridCol w:w="130"/>
        <w:gridCol w:w="109"/>
        <w:gridCol w:w="109"/>
        <w:gridCol w:w="109"/>
        <w:gridCol w:w="218"/>
        <w:gridCol w:w="637"/>
        <w:gridCol w:w="112"/>
        <w:gridCol w:w="112"/>
        <w:gridCol w:w="112"/>
        <w:gridCol w:w="112"/>
        <w:gridCol w:w="218"/>
        <w:gridCol w:w="746"/>
        <w:gridCol w:w="159"/>
      </w:tblGrid>
      <w:tr>
        <w:trPr/>
        <w:tc>
          <w:tcPr>
            <w:tcW w:w="136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2"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capitalized to software development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cost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516380"/>
                <wp:effectExtent l="0" t="0" r="0" b="0"/>
                <wp:wrapNone/>
                <wp:docPr id="12" name="Frame11"/>
                <a:graphic xmlns:a="http://schemas.openxmlformats.org/drawingml/2006/main">
                  <a:graphicData uri="http://schemas.microsoft.com/office/word/2010/wordprocessingShape">
                    <wps:wsp>
                      <wps:cNvSpPr txBox="1"/>
                      <wps:spPr>
                        <a:xfrm>
                          <a:off x="0" y="0"/>
                          <a:ext cx="6480175" cy="1516380"/>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SELECTED KEY OPERATING METRICS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Selected Key Operating Metrics</w:t>
      </w:r>
    </w:p>
    <w:p>
      <w:pPr>
        <w:pStyle w:val="TextBody"/>
        <w:bidi w:val="0"/>
        <w:spacing w:before="120" w:after="120"/>
        <w:jc w:val="left"/>
        <w:rPr/>
      </w:pPr>
      <w:r>
        <w:rPr/>
      </w:r>
    </w:p>
    <w:tbl>
      <w:tblPr>
        <w:tblW w:w="9022" w:type="dxa"/>
        <w:jc w:val="left"/>
        <w:tblInd w:w="0" w:type="dxa"/>
        <w:tblLayout w:type="fixed"/>
        <w:tblCellMar>
          <w:top w:w="28" w:type="dxa"/>
          <w:left w:w="28" w:type="dxa"/>
          <w:bottom w:w="28" w:type="dxa"/>
          <w:right w:w="28" w:type="dxa"/>
        </w:tblCellMar>
      </w:tblPr>
      <w:tblGrid>
        <w:gridCol w:w="1322"/>
        <w:gridCol w:w="1159"/>
        <w:gridCol w:w="1164"/>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322"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paying clients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paying client</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6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Investor Relations: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investors@weedmaps.com</w:t>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Media Contract:</w:t>
      </w:r>
    </w:p>
    <w:p>
      <w:pPr>
        <w:pStyle w:val="TextBody"/>
        <w:bidi w:val="0"/>
        <w:spacing w:lineRule="auto" w:line="288" w:before="120" w:after="283"/>
        <w:jc w:val="left"/>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press@weedmaps.com</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16380"/>
                <wp:effectExtent l="0" t="0" r="0" b="0"/>
                <wp:wrapNone/>
                <wp:docPr id="13" name="Frame12"/>
                <a:graphic xmlns:a="http://schemas.openxmlformats.org/drawingml/2006/main">
                  <a:graphicData uri="http://schemas.microsoft.com/office/word/2010/wordprocessingShape">
                    <wps:wsp>
                      <wps:cNvSpPr txBox="1"/>
                      <wps:spPr>
                        <a:xfrm>
                          <a:off x="0" y="0"/>
                          <a:ext cx="6480175" cy="1516380"/>
                        </a:xfrm>
                        <a:prstGeom prst="rect"/>
                        <a:solidFill>
                          <a:srgbClr val="FFFFFF"/>
                        </a:solidFill>
                      </wps:spPr>
                      <wps:txbx>
                        <w:txbxContent>
                          <w:p>
                            <w:pPr>
                              <w:pStyle w:val="TextBody"/>
                              <w:bidi w:val="0"/>
                              <w:spacing w:before="120" w:after="283"/>
                              <w:jc w:val="center"/>
                              <w:rPr/>
                            </w:pPr>
                            <w:r>
                              <w:rPr/>
                            </w:r>
                            <w:r>
                              <w:br w:type="page"/>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4117</Words>
  <Characters>23258</Characters>
  <CharactersWithSpaces>27016</CharactersWithSpaces>
  <Paragraphs>625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