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May 3, 2021</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220"/>
          </w:cols>
          <w:pgMar w:left="320" w:top="463" w:right="359" w:bottom="1440" w:gutter="0" w:footer="0" w:header="0"/>
        </w:sectPr>
      </w:pPr>
    </w:p>
    <w:p>
      <w:pPr>
        <w:spacing w:after="0" w:line="225" w:lineRule="exact"/>
        <w:rPr>
          <w:sz w:val="24"/>
          <w:szCs w:val="24"/>
          <w:color w:val="auto"/>
        </w:rPr>
      </w:pPr>
    </w:p>
    <w:p>
      <w:pPr>
        <w:jc w:val="center"/>
        <w:ind w:right="39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020"/>
          </w:cols>
          <w:pgMar w:left="320" w:top="463" w:right="35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905-4923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400" w:firstLine="8"/>
        <w:spacing w:after="0" w:line="224"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800"/>
        <w:spacing w:after="0" w:line="225"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3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602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SSPKW</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SSPKU</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Securities and Exchange Commission (“SEC”) together issued a statement entitled “Staff Statement on Accounting and Reporting Considerations for Warrants Issued by Special Purpose Acquisition Companies (“SPACs”)” (the “SEC Staff Statement”). The SEC Staff Statement, among other things, discussed potential accounting implications of certain terms that are common in warrants issued in connection with the initial public offerings of special purpose acquisition companies, and similar to terms contained in the Warrant Agreement, dated August 7, 2019 (the “Warrant Agreement”), between Silver Spike Acquisition Corp. (the “Company”) and Continental Stock Transfer &amp; Trust Company, as warrant agent.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 SEC Staff Statement, the Company reevaluated the accounting treatment of (i) the 12,500,000 redeemable warrants (the “Public Warrants”) that were included as part of the units issued by the Company in its initial public offering (the “IPO”) and (ii) the 7,000,000 private placement warrants (the “Private Placement Warrants” and, together with the Public Warrants, the “Warrants”) that were issued to the Company’s sponsor in a private placement that closed concurrently with the IPO, and determined to classify the Warrants as derivative liabilities measured at fair value, with changes in fair value each period being reported in earnings. While the Company has not generated any operating revenues to date and does not expect to generate any operating revenues until after completion of its initial business combination, the change in fair value of the Warrants is a non-cash charge and will be reflected in the Company’s statement of operations.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30, 2021, the Company’s management and the Audit Committee of the Company’s board of directors (the “Audit Committee”), after consultation with management and a discussion with Marcum LLP, the Company’s independent registered public accounting firm (the “Independent Accounting Firm”), concluded that it is appropriate to restate certain items in (i) the Company’s previously issued audited balance sheet dated as of August 12, 2019, which was related to the Company’s IPO, and (ii) the Company’s previously issued audited financial statements as of December 31, 2019 and December 31, 2020 and for the period from July 7, 2019 (inception) through December 31, 2019 and for the period from January 1, 2020 to December 31, 2020 (the “Relevant Periods”). Considering such restatement, such audited financial statements should no longer be relied upon. The Company will file an amendment to its Annual Report on Form 10-K for the fiscal year ended December 31, 2020, which will include the restated audited financial statements for the Relevant Periods as well as the interim quarterly periods.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unless the Company amends the terms of the Warrants, the Company expects to continue to classify the Warrants as liabilities, which would require the Company to incur the cost of measuring the fair value of the warrant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the Independent Accounting Firm.</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announced today that it still expects to close its previously announced business combination with WM Holding Company, LLC, a Delaware limited liability company (“WMH”), before the end of the second calendar quarter of this year. The delay in closing was driven by the need to amend the Company’s Annual Report on Form 10-K as a result of the changes to the accounting treatment for warrants issued by special purpose acquisition companies due to the Securities and Exchange Commission’s staff statement on the same topic issued on April 12, 2021.</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the Company announced that it received an update from WMH that WMH does not intend to update its financial projections for the years ended December 31, 2021, 2022 and 2023 from its financial projections included in the investor presentation (the “Presentation”) that was filed as Exhibit 99.2 to the Company’s Current Report on Form 8-K filed on December 10, 2020, as WMH’s management believes these projections still represent the current forward outlook of WMH. This preliminary projected financial information was prepared by, and is the responsibility of, WMH’s management and remains subject to the disclaimers set forth in the Presentation.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projected financial information. See “—Forward Looking Statements” below. Neither our independent registered public accounting firm nor any other independent registered public accounting firm has audited, reviewed or compiled, examined or performed any procedures with respect to these preliminary results, nor have they expressed any opinion or any other form of assurance on these preliminary financial results. These preliminary estimates reflect WMH’s management’s estimates based solely upon information available as of the date of this Current Report on Form 8-K and are not a comprehensive statement of WMH’s projected financial results. The information presented herein should not be considered a substitute for the financial statements for any period covered by the projected financial statements once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information in 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the equityholders of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2020 and Quarterly Report on Form 10-Q for the quarter ended September 30, 2020, and the Registration Statement, in each case, under the heading “Risk Factors,” and other documents of Silver Spike filed, or to be filed, with the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proposed business combination will be submitted to shareholders of Silver Spike for their consideration. Silver Spike has filed a registration statement on Form S-4 (the “Registration Statement”) with the SEC which includes a preliminary proxy statement and will include a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equityholders in connection with the completion of the proposed business combination. After the Registration Statement has been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as well as other documents filed with the SEC regarding the proposed business combination and other documents filed with the SEC by Silver Spike, without charge, at the SEC's website located at www.sec.gov or by directing a request to 660 Madison Ave Suite 1600, New York, NY 10065 or </w:t>
      </w:r>
      <w:r>
        <w:rPr>
          <w:rFonts w:ascii="Arial" w:cs="Arial" w:eastAsia="Arial" w:hAnsi="Arial"/>
          <w:sz w:val="16"/>
          <w:szCs w:val="16"/>
          <w:u w:val="single" w:color="auto"/>
          <w:color w:val="0000FF"/>
        </w:rPr>
        <w:t>notices@silverspikecap.com</w:t>
      </w:r>
      <w:r>
        <w:rPr>
          <w:rFonts w:ascii="Arial" w:cs="Arial" w:eastAsia="Arial" w:hAnsi="Arial"/>
          <w:sz w:val="16"/>
          <w:szCs w:val="16"/>
          <w:color w:val="auto"/>
        </w:rPr>
        <w: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the Registration Statement. You can find more information about Silver Spike’s directors and executive officers in Silver Spike’s final prospectus dated August 7, 2019 and filed with the SEC on August 9, 2019. Additional information regarding the participants is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54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2021-05-03T15:28:11Z</dcterms:created>
  <dcterms:modified xsi:type="dcterms:W3CDTF">2021-05-03T15:28:11Z</dcterms:modified>
</cp:coreProperties>
</file>